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23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17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 Tisdagen den 21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2013/14:226 av Mats Pertoft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Moms för e-tidningar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2013/14:66 Erkännande och verkställighet av beslut om utvidgat förverkande inom Europeiska unionen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prop. 2013/14:39 På väg mot en giftfri vardag – plattform för kemikaliepolitiken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2013/14:MJ8 av Matilda Ernkrans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2013/14:MJ9 av Jens Holm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2013/14:MJ10 av Josef Fransson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2013/14:MJ11 av Åsa Romson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t>med anledning av skr. 2013/14:63 2013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2013/14:Ju7 av Richard Jomshof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Utbildningsminister Jan Björklund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2013/14:199 av Jabar Amin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Skolresultaten i PISA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2013/14:203 av Louise Malmström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gymnasieskola som ökar klasskillnader och intolerans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2013/14:208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Riskkapitalet inom utbildningssektorn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2013/14:209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Riskkapitalbolag i skola, vård och omsorg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2013/14:210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Riskkapitalbolag inom hälso- och sjukvården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2013/14:211 av Peter Persson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Riskkapitalet inom vård, skola och omsorg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2013/14:222 av Teres Lindberg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Riskkapitalbolag som ägare av välfärdsföretag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2013/14:223 av Teres Lindberg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Privata utförare i 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Ulf Kristersson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Karin Enström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23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2014-01-23</SAFIR_Sammantradesdatum_Doc>
    <SAFIR_SammantradeID xmlns="C07A1A6C-0B19-41D9-BDF8-F523BA3921EB">0a052cd7-95a1-4e76-9bea-e3d451e0ca08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3E43A-06D6-43C8-A498-148BFA07CD7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