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201</w:t>
            </w:r>
            <w:r w:rsidR="00E362AB">
              <w:rPr>
                <w:b/>
              </w:rPr>
              <w:t>9/20</w:t>
            </w:r>
            <w:r w:rsidR="00520D71">
              <w:rPr>
                <w:b/>
              </w:rPr>
              <w:t>:</w:t>
            </w:r>
            <w:r w:rsidR="00EE4788">
              <w:rPr>
                <w:b/>
              </w:rPr>
              <w:t>26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20</w:t>
            </w:r>
            <w:r w:rsidR="00520D71">
              <w:t>-</w:t>
            </w:r>
            <w:r w:rsidR="00EE4788">
              <w:t>02</w:t>
            </w:r>
            <w:r w:rsidR="00520D71">
              <w:t>-</w:t>
            </w:r>
            <w:r w:rsidR="00EE4788">
              <w:t>13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EE4788">
            <w:r>
              <w:t>09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687130">
              <w:t>09:15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E2E78" w:rsidRDefault="009A3C6E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snapToGrid w:val="0"/>
              </w:rPr>
              <w:t xml:space="preserve">EU-överläggning med regeringen enligt RO 7 kap. 12 § </w:t>
            </w:r>
            <w:r>
              <w:rPr>
                <w:b/>
                <w:bCs/>
                <w:color w:val="000000"/>
                <w:szCs w:val="24"/>
              </w:rPr>
              <w:t>om</w:t>
            </w:r>
            <w:r w:rsidR="00807B3A">
              <w:rPr>
                <w:b/>
                <w:bCs/>
                <w:color w:val="000000"/>
                <w:szCs w:val="24"/>
              </w:rPr>
              <w:t xml:space="preserve"> </w:t>
            </w:r>
            <w:r w:rsidR="00807B3A" w:rsidRPr="00807B3A">
              <w:rPr>
                <w:b/>
                <w:bCs/>
                <w:color w:val="000000"/>
                <w:szCs w:val="24"/>
              </w:rPr>
              <w:t xml:space="preserve">det strategiska innovationsprogrammet för </w:t>
            </w:r>
            <w:proofErr w:type="gramStart"/>
            <w:r w:rsidR="00807B3A" w:rsidRPr="00807B3A">
              <w:rPr>
                <w:b/>
                <w:bCs/>
                <w:color w:val="000000"/>
                <w:szCs w:val="24"/>
              </w:rPr>
              <w:t>Europeiska</w:t>
            </w:r>
            <w:proofErr w:type="gramEnd"/>
            <w:r w:rsidR="00807B3A" w:rsidRPr="00807B3A">
              <w:rPr>
                <w:b/>
                <w:bCs/>
                <w:color w:val="000000"/>
                <w:szCs w:val="24"/>
              </w:rPr>
              <w:t xml:space="preserve"> institutet för innovation och teknik (EIT) 2021--2027</w:t>
            </w:r>
          </w:p>
          <w:p w:rsidR="00807B3A" w:rsidRPr="00807B3A" w:rsidRDefault="00807B3A" w:rsidP="00662279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br/>
              <w:t xml:space="preserve">Utskottet överlade med </w:t>
            </w:r>
            <w:r w:rsidRPr="00807B3A">
              <w:rPr>
                <w:bCs/>
                <w:color w:val="000000"/>
                <w:szCs w:val="24"/>
              </w:rPr>
              <w:t xml:space="preserve">Statssekreteraren Malin </w:t>
            </w:r>
            <w:proofErr w:type="spellStart"/>
            <w:r w:rsidRPr="00807B3A">
              <w:rPr>
                <w:bCs/>
                <w:color w:val="000000"/>
                <w:szCs w:val="24"/>
              </w:rPr>
              <w:t>Cederfeldt</w:t>
            </w:r>
            <w:proofErr w:type="spellEnd"/>
            <w:r w:rsidRPr="00807B3A">
              <w:rPr>
                <w:bCs/>
                <w:color w:val="000000"/>
                <w:szCs w:val="24"/>
              </w:rPr>
              <w:t xml:space="preserve"> Östberg, ämnesrådet David Edvardsson, ämnesrådet Åsa Petri, forskningsrådet Ana </w:t>
            </w:r>
            <w:proofErr w:type="spellStart"/>
            <w:r w:rsidRPr="00807B3A">
              <w:rPr>
                <w:bCs/>
                <w:color w:val="000000"/>
                <w:szCs w:val="24"/>
              </w:rPr>
              <w:t>Beremendi</w:t>
            </w:r>
            <w:proofErr w:type="spellEnd"/>
            <w:r w:rsidRPr="00807B3A">
              <w:rPr>
                <w:bCs/>
                <w:color w:val="000000"/>
                <w:szCs w:val="24"/>
              </w:rPr>
              <w:t xml:space="preserve"> och departementssekreteraren Christian Hansen, samtliga från Utbildningsdepartementet</w:t>
            </w:r>
            <w:r>
              <w:rPr>
                <w:bCs/>
                <w:color w:val="000000"/>
                <w:szCs w:val="24"/>
              </w:rPr>
              <w:t xml:space="preserve">, om </w:t>
            </w:r>
            <w:r w:rsidRPr="00807B3A">
              <w:rPr>
                <w:bCs/>
                <w:color w:val="000000"/>
                <w:szCs w:val="24"/>
              </w:rPr>
              <w:t xml:space="preserve">det strategiska innovationsprogrammet för </w:t>
            </w:r>
            <w:proofErr w:type="gramStart"/>
            <w:r w:rsidRPr="00807B3A">
              <w:rPr>
                <w:bCs/>
                <w:color w:val="000000"/>
                <w:szCs w:val="24"/>
              </w:rPr>
              <w:t>Europeiska</w:t>
            </w:r>
            <w:proofErr w:type="gramEnd"/>
            <w:r w:rsidRPr="00807B3A">
              <w:rPr>
                <w:bCs/>
                <w:color w:val="000000"/>
                <w:szCs w:val="24"/>
              </w:rPr>
              <w:t xml:space="preserve"> institutet för innovation och teknik (EIT) 2021</w:t>
            </w:r>
            <w:r>
              <w:rPr>
                <w:bCs/>
                <w:color w:val="000000"/>
                <w:szCs w:val="24"/>
              </w:rPr>
              <w:t>—</w:t>
            </w:r>
            <w:r w:rsidRPr="00807B3A">
              <w:rPr>
                <w:bCs/>
                <w:color w:val="000000"/>
                <w:szCs w:val="24"/>
              </w:rPr>
              <w:t>2027</w:t>
            </w:r>
            <w:r>
              <w:rPr>
                <w:bCs/>
                <w:color w:val="000000"/>
                <w:szCs w:val="24"/>
              </w:rPr>
              <w:t>.</w:t>
            </w:r>
          </w:p>
          <w:p w:rsidR="009A3C6E" w:rsidRDefault="009A3C6E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807B3A" w:rsidRDefault="00807B3A" w:rsidP="00662279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Underlag för överläggningen</w:t>
            </w:r>
          </w:p>
          <w:p w:rsidR="00807B3A" w:rsidRPr="00807B3A" w:rsidRDefault="00807B3A" w:rsidP="00807B3A">
            <w:pPr>
              <w:tabs>
                <w:tab w:val="left" w:pos="1701"/>
              </w:tabs>
              <w:rPr>
                <w:snapToGrid w:val="0"/>
              </w:rPr>
            </w:pPr>
            <w:r w:rsidRPr="00807B3A">
              <w:rPr>
                <w:snapToGrid w:val="0"/>
              </w:rPr>
              <w:t xml:space="preserve">Promemoria från Utbildningsdepartementet (Dnr </w:t>
            </w:r>
            <w:proofErr w:type="gramStart"/>
            <w:r w:rsidRPr="00807B3A">
              <w:rPr>
                <w:snapToGrid w:val="0"/>
              </w:rPr>
              <w:t>1277-2019</w:t>
            </w:r>
            <w:proofErr w:type="gramEnd"/>
            <w:r w:rsidRPr="00807B3A">
              <w:rPr>
                <w:snapToGrid w:val="0"/>
              </w:rPr>
              <w:t>/20)</w:t>
            </w:r>
          </w:p>
          <w:p w:rsidR="00807B3A" w:rsidRPr="00807B3A" w:rsidRDefault="00807B3A" w:rsidP="00807B3A">
            <w:pPr>
              <w:tabs>
                <w:tab w:val="left" w:pos="1701"/>
              </w:tabs>
              <w:rPr>
                <w:snapToGrid w:val="0"/>
              </w:rPr>
            </w:pPr>
            <w:r w:rsidRPr="00807B3A">
              <w:rPr>
                <w:snapToGrid w:val="0"/>
              </w:rPr>
              <w:t>Rådsdokument 5676/20</w:t>
            </w:r>
          </w:p>
          <w:p w:rsidR="00807B3A" w:rsidRDefault="00807B3A" w:rsidP="00662279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807B3A" w:rsidRDefault="00807B3A" w:rsidP="00807B3A">
            <w:pPr>
              <w:tabs>
                <w:tab w:val="left" w:pos="1701"/>
              </w:tabs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Regeringens förslag till svensk ståndpunkt</w:t>
            </w:r>
          </w:p>
          <w:p w:rsidR="00807B3A" w:rsidRDefault="00B553DA" w:rsidP="00807B3A">
            <w:pPr>
              <w:tabs>
                <w:tab w:val="left" w:pos="1701"/>
              </w:tabs>
              <w:rPr>
                <w:snapToGrid w:val="0"/>
              </w:rPr>
            </w:pPr>
            <w:r w:rsidRPr="00B553DA">
              <w:rPr>
                <w:snapToGrid w:val="0"/>
              </w:rPr>
              <w:t>Regeringen anser att förslaget till det strategiska innovationsprogrammet för EIT ger bra förutsättningar för EIT och KI-grupperna att lyckas utveckla samverkan mellan högre utbildning, forskning och innovation på det sätt som avsetts med inrättandet av EIT.</w:t>
            </w:r>
          </w:p>
          <w:p w:rsidR="00B553DA" w:rsidRDefault="00B553DA" w:rsidP="00807B3A">
            <w:pPr>
              <w:tabs>
                <w:tab w:val="left" w:pos="1701"/>
              </w:tabs>
              <w:rPr>
                <w:snapToGrid w:val="0"/>
              </w:rPr>
            </w:pPr>
          </w:p>
          <w:p w:rsidR="00B553DA" w:rsidRDefault="00B553DA" w:rsidP="00807B3A">
            <w:pPr>
              <w:tabs>
                <w:tab w:val="left" w:pos="1701"/>
              </w:tabs>
              <w:rPr>
                <w:snapToGrid w:val="0"/>
              </w:rPr>
            </w:pPr>
            <w:r w:rsidRPr="00B553DA">
              <w:rPr>
                <w:snapToGrid w:val="0"/>
              </w:rPr>
              <w:t>Regeringen anser vidare att reglerna i förordningen för Horisont Europa ska gälla även EIT. Det innebär att de artiklar i förordningen för Horisont Europa om excellens, jämställdhet samt rapportering och utvärdering även ska gälla fullt ut för EIT och KI-grupperna.</w:t>
            </w:r>
          </w:p>
          <w:p w:rsidR="00B553DA" w:rsidRDefault="00B553DA" w:rsidP="00807B3A">
            <w:pPr>
              <w:tabs>
                <w:tab w:val="left" w:pos="1701"/>
              </w:tabs>
              <w:rPr>
                <w:snapToGrid w:val="0"/>
              </w:rPr>
            </w:pPr>
          </w:p>
          <w:p w:rsidR="00B553DA" w:rsidRDefault="00B553DA" w:rsidP="00807B3A">
            <w:pPr>
              <w:tabs>
                <w:tab w:val="left" w:pos="1701"/>
              </w:tabs>
              <w:rPr>
                <w:snapToGrid w:val="0"/>
              </w:rPr>
            </w:pPr>
            <w:r w:rsidRPr="00B553DA">
              <w:rPr>
                <w:snapToGrid w:val="0"/>
              </w:rPr>
              <w:t>Regeringen anser att en ny KI-grupp inom kultur och kreativa näringar har potential att främja europeisk konkurrenskraft och stärka andra insatser inom områden såsom kulturarv, demokrati, social inkludering och social innovation.</w:t>
            </w:r>
          </w:p>
          <w:p w:rsidR="00B553DA" w:rsidRDefault="00B553DA" w:rsidP="00807B3A">
            <w:pPr>
              <w:tabs>
                <w:tab w:val="left" w:pos="1701"/>
              </w:tabs>
              <w:rPr>
                <w:snapToGrid w:val="0"/>
              </w:rPr>
            </w:pPr>
          </w:p>
          <w:p w:rsidR="00B553DA" w:rsidRDefault="00B553DA" w:rsidP="00807B3A">
            <w:pPr>
              <w:tabs>
                <w:tab w:val="left" w:pos="1701"/>
              </w:tabs>
              <w:rPr>
                <w:snapToGrid w:val="0"/>
              </w:rPr>
            </w:pPr>
            <w:r w:rsidRPr="00B553DA">
              <w:rPr>
                <w:snapToGrid w:val="0"/>
              </w:rPr>
              <w:t>Regeringen föreslår därför att Sverige ställer sig bakom beslutet om det strategiska innovationsprogrammet för EIT vid rådsmötet.</w:t>
            </w:r>
          </w:p>
          <w:p w:rsidR="00B553DA" w:rsidRDefault="00B553DA" w:rsidP="00807B3A">
            <w:pPr>
              <w:tabs>
                <w:tab w:val="left" w:pos="1701"/>
              </w:tabs>
              <w:rPr>
                <w:snapToGrid w:val="0"/>
              </w:rPr>
            </w:pPr>
          </w:p>
          <w:p w:rsidR="00807B3A" w:rsidRPr="00CA6BB2" w:rsidRDefault="00807B3A" w:rsidP="00807B3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Utskottet</w:t>
            </w:r>
          </w:p>
          <w:p w:rsidR="00807B3A" w:rsidRPr="007D0184" w:rsidRDefault="00807B3A" w:rsidP="00807B3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7D0184">
              <w:rPr>
                <w:color w:val="000000"/>
                <w:szCs w:val="24"/>
              </w:rPr>
              <w:t xml:space="preserve">Ordföranden konstaterade att det fanns stöd i utskottet för regeringens ståndpunkt. </w:t>
            </w:r>
          </w:p>
          <w:p w:rsidR="00807B3A" w:rsidRPr="007D0184" w:rsidRDefault="00807B3A" w:rsidP="00807B3A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807B3A" w:rsidRPr="00807B3A" w:rsidRDefault="00807B3A" w:rsidP="0066227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7D0184">
              <w:rPr>
                <w:color w:val="000000"/>
                <w:szCs w:val="24"/>
              </w:rPr>
              <w:lastRenderedPageBreak/>
              <w:t>Denna paragraf förklarades omedelbart justerad.</w:t>
            </w:r>
          </w:p>
          <w:p w:rsidR="00807B3A" w:rsidRDefault="00807B3A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9A3C6E" w:rsidTr="0001177E">
        <w:tc>
          <w:tcPr>
            <w:tcW w:w="567" w:type="dxa"/>
          </w:tcPr>
          <w:p w:rsidR="009A3C6E" w:rsidRPr="003B4DE8" w:rsidRDefault="009A3C6E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9A3C6E" w:rsidRDefault="009A3C6E" w:rsidP="00662279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snapToGrid w:val="0"/>
              </w:rPr>
              <w:t xml:space="preserve">EU-överläggning med regeringen enligt RO 7 kap. 12 § </w:t>
            </w:r>
            <w:r>
              <w:rPr>
                <w:b/>
                <w:bCs/>
                <w:color w:val="000000"/>
                <w:szCs w:val="24"/>
              </w:rPr>
              <w:t>om</w:t>
            </w:r>
            <w:r w:rsidR="00807B3A">
              <w:rPr>
                <w:b/>
                <w:bCs/>
                <w:color w:val="000000"/>
                <w:szCs w:val="24"/>
              </w:rPr>
              <w:t xml:space="preserve"> </w:t>
            </w:r>
            <w:r w:rsidR="00807B3A" w:rsidRPr="00807B3A">
              <w:rPr>
                <w:b/>
                <w:bCs/>
                <w:color w:val="000000"/>
                <w:szCs w:val="24"/>
              </w:rPr>
              <w:t>en strategisk ansats till internationellt samarbete inom forskning och innovation</w:t>
            </w:r>
          </w:p>
          <w:p w:rsidR="009A3C6E" w:rsidRDefault="00807B3A" w:rsidP="00662279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br/>
            </w:r>
            <w:r w:rsidRPr="00807B3A">
              <w:rPr>
                <w:snapToGrid w:val="0"/>
              </w:rPr>
              <w:t xml:space="preserve">Utskottet överlade med Statssekreteraren Malin </w:t>
            </w:r>
            <w:proofErr w:type="spellStart"/>
            <w:r w:rsidRPr="00807B3A">
              <w:rPr>
                <w:snapToGrid w:val="0"/>
              </w:rPr>
              <w:t>Cederfeldt</w:t>
            </w:r>
            <w:proofErr w:type="spellEnd"/>
            <w:r w:rsidRPr="00807B3A">
              <w:rPr>
                <w:snapToGrid w:val="0"/>
              </w:rPr>
              <w:t xml:space="preserve"> Östberg, ämnesrådet David Edvardsson, ämnesrådet Åsa Petri, forskningsrådet Ana </w:t>
            </w:r>
            <w:proofErr w:type="spellStart"/>
            <w:r w:rsidRPr="00807B3A">
              <w:rPr>
                <w:snapToGrid w:val="0"/>
              </w:rPr>
              <w:t>Beremendi</w:t>
            </w:r>
            <w:proofErr w:type="spellEnd"/>
            <w:r w:rsidRPr="00807B3A">
              <w:rPr>
                <w:snapToGrid w:val="0"/>
              </w:rPr>
              <w:t xml:space="preserve"> och departementssekreteraren Christian Hansen, samtliga från Utbildningsdepartementet, om</w:t>
            </w:r>
            <w:r>
              <w:rPr>
                <w:snapToGrid w:val="0"/>
              </w:rPr>
              <w:t xml:space="preserve"> </w:t>
            </w:r>
            <w:r w:rsidRPr="00807B3A">
              <w:rPr>
                <w:snapToGrid w:val="0"/>
              </w:rPr>
              <w:t>en strategisk ansats till internationellt samarbete inom forskning och innovation</w:t>
            </w:r>
            <w:r>
              <w:rPr>
                <w:snapToGrid w:val="0"/>
              </w:rPr>
              <w:t>.</w:t>
            </w:r>
          </w:p>
          <w:p w:rsidR="00807B3A" w:rsidRDefault="00807B3A" w:rsidP="00662279">
            <w:pPr>
              <w:tabs>
                <w:tab w:val="left" w:pos="1701"/>
              </w:tabs>
              <w:rPr>
                <w:snapToGrid w:val="0"/>
              </w:rPr>
            </w:pPr>
          </w:p>
          <w:p w:rsidR="00807B3A" w:rsidRDefault="00807B3A" w:rsidP="00807B3A">
            <w:pPr>
              <w:tabs>
                <w:tab w:val="left" w:pos="1701"/>
              </w:tabs>
              <w:rPr>
                <w:i/>
                <w:snapToGrid w:val="0"/>
              </w:rPr>
            </w:pPr>
            <w:r>
              <w:rPr>
                <w:i/>
                <w:snapToGrid w:val="0"/>
              </w:rPr>
              <w:t>Underlag för överläggningen</w:t>
            </w:r>
          </w:p>
          <w:p w:rsidR="00807B3A" w:rsidRPr="00807B3A" w:rsidRDefault="00807B3A" w:rsidP="00807B3A">
            <w:pPr>
              <w:tabs>
                <w:tab w:val="left" w:pos="1701"/>
              </w:tabs>
              <w:rPr>
                <w:snapToGrid w:val="0"/>
              </w:rPr>
            </w:pPr>
            <w:r w:rsidRPr="00807B3A">
              <w:rPr>
                <w:snapToGrid w:val="0"/>
              </w:rPr>
              <w:t xml:space="preserve">Promemoria från Utbildningsdepartementet (Dnr </w:t>
            </w:r>
            <w:proofErr w:type="gramStart"/>
            <w:r>
              <w:rPr>
                <w:snapToGrid w:val="0"/>
              </w:rPr>
              <w:t>1278</w:t>
            </w:r>
            <w:r w:rsidRPr="00807B3A">
              <w:rPr>
                <w:snapToGrid w:val="0"/>
              </w:rPr>
              <w:t>-2019</w:t>
            </w:r>
            <w:proofErr w:type="gramEnd"/>
            <w:r w:rsidRPr="00807B3A">
              <w:rPr>
                <w:snapToGrid w:val="0"/>
              </w:rPr>
              <w:t>/20)</w:t>
            </w:r>
          </w:p>
          <w:p w:rsidR="00807B3A" w:rsidRDefault="00807B3A" w:rsidP="00807B3A">
            <w:pPr>
              <w:tabs>
                <w:tab w:val="left" w:pos="1701"/>
              </w:tabs>
              <w:rPr>
                <w:i/>
                <w:snapToGrid w:val="0"/>
              </w:rPr>
            </w:pPr>
          </w:p>
          <w:p w:rsidR="00807B3A" w:rsidRDefault="00807B3A" w:rsidP="00807B3A">
            <w:pPr>
              <w:tabs>
                <w:tab w:val="left" w:pos="1701"/>
              </w:tabs>
              <w:rPr>
                <w:i/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Regeringens förslag till svensk ståndpunkt</w:t>
            </w:r>
          </w:p>
          <w:p w:rsidR="00B553DA" w:rsidRPr="00B553DA" w:rsidRDefault="00B553DA" w:rsidP="00B553DA">
            <w:pPr>
              <w:tabs>
                <w:tab w:val="left" w:pos="1701"/>
              </w:tabs>
              <w:rPr>
                <w:snapToGrid w:val="0"/>
              </w:rPr>
            </w:pPr>
            <w:r w:rsidRPr="00B553DA">
              <w:rPr>
                <w:snapToGrid w:val="0"/>
              </w:rPr>
              <w:t>För att uppfylla FN:s hållbarhetsmål och för att bemöta de uppsatta</w:t>
            </w:r>
          </w:p>
          <w:p w:rsidR="00B553DA" w:rsidRPr="00B553DA" w:rsidRDefault="00B553DA" w:rsidP="00B553DA">
            <w:pPr>
              <w:tabs>
                <w:tab w:val="left" w:pos="1701"/>
              </w:tabs>
              <w:rPr>
                <w:snapToGrid w:val="0"/>
              </w:rPr>
            </w:pPr>
            <w:r w:rsidRPr="00B553DA">
              <w:rPr>
                <w:snapToGrid w:val="0"/>
              </w:rPr>
              <w:t>globala utmaningarna krävs samarbete på global nivå. Regeringen</w:t>
            </w:r>
          </w:p>
          <w:p w:rsidR="00B553DA" w:rsidRPr="00B553DA" w:rsidRDefault="00B553DA" w:rsidP="00B553DA">
            <w:pPr>
              <w:tabs>
                <w:tab w:val="left" w:pos="1701"/>
              </w:tabs>
              <w:rPr>
                <w:snapToGrid w:val="0"/>
              </w:rPr>
            </w:pPr>
            <w:r w:rsidRPr="00B553DA">
              <w:rPr>
                <w:snapToGrid w:val="0"/>
              </w:rPr>
              <w:t>anser därför att möjligheterna till internationellt samarbete inom</w:t>
            </w:r>
          </w:p>
          <w:p w:rsidR="00B553DA" w:rsidRPr="00B553DA" w:rsidRDefault="00B553DA" w:rsidP="00B553DA">
            <w:pPr>
              <w:tabs>
                <w:tab w:val="left" w:pos="1701"/>
              </w:tabs>
              <w:rPr>
                <w:snapToGrid w:val="0"/>
              </w:rPr>
            </w:pPr>
            <w:r w:rsidRPr="00B553DA">
              <w:rPr>
                <w:snapToGrid w:val="0"/>
              </w:rPr>
              <w:t>forskning och innovation bör öka i Horisont Europa jämfört med</w:t>
            </w:r>
          </w:p>
          <w:p w:rsidR="00807B3A" w:rsidRDefault="00B553DA" w:rsidP="00B553DA">
            <w:pPr>
              <w:tabs>
                <w:tab w:val="left" w:pos="1701"/>
              </w:tabs>
              <w:rPr>
                <w:snapToGrid w:val="0"/>
              </w:rPr>
            </w:pPr>
            <w:r w:rsidRPr="00B553DA">
              <w:rPr>
                <w:snapToGrid w:val="0"/>
              </w:rPr>
              <w:t>tidigare ramprogram.</w:t>
            </w:r>
          </w:p>
          <w:p w:rsidR="00B553DA" w:rsidRDefault="00B553DA" w:rsidP="00B553DA">
            <w:pPr>
              <w:tabs>
                <w:tab w:val="left" w:pos="1701"/>
              </w:tabs>
              <w:rPr>
                <w:snapToGrid w:val="0"/>
              </w:rPr>
            </w:pPr>
          </w:p>
          <w:p w:rsidR="00B553DA" w:rsidRPr="00B553DA" w:rsidRDefault="00B553DA" w:rsidP="00B553DA">
            <w:pPr>
              <w:tabs>
                <w:tab w:val="left" w:pos="1701"/>
              </w:tabs>
              <w:rPr>
                <w:snapToGrid w:val="0"/>
              </w:rPr>
            </w:pPr>
            <w:r w:rsidRPr="00B553DA">
              <w:rPr>
                <w:snapToGrid w:val="0"/>
              </w:rPr>
              <w:t>Tredje land bör därför ges utökade möjligheter att ansluta sig till hela</w:t>
            </w:r>
          </w:p>
          <w:p w:rsidR="00B553DA" w:rsidRDefault="00B553DA" w:rsidP="00B553DA">
            <w:pPr>
              <w:tabs>
                <w:tab w:val="left" w:pos="1701"/>
              </w:tabs>
              <w:rPr>
                <w:snapToGrid w:val="0"/>
              </w:rPr>
            </w:pPr>
            <w:r w:rsidRPr="00B553DA">
              <w:rPr>
                <w:snapToGrid w:val="0"/>
              </w:rPr>
              <w:t>eller delar av ramprogrammet. Detta gäller även Storbritannien</w:t>
            </w:r>
            <w:r>
              <w:rPr>
                <w:snapToGrid w:val="0"/>
              </w:rPr>
              <w:t xml:space="preserve">, </w:t>
            </w:r>
            <w:r w:rsidR="00CE5568">
              <w:rPr>
                <w:snapToGrid w:val="0"/>
              </w:rPr>
              <w:t xml:space="preserve">som </w:t>
            </w:r>
            <w:r w:rsidRPr="00B553DA">
              <w:rPr>
                <w:snapToGrid w:val="0"/>
              </w:rPr>
              <w:t>bör inbjudas till att ansluta sig till ramprogrammet på samma villkor som andra länder utanför EU.</w:t>
            </w:r>
          </w:p>
          <w:p w:rsidR="00B553DA" w:rsidRDefault="00B553DA" w:rsidP="00B553DA">
            <w:pPr>
              <w:tabs>
                <w:tab w:val="left" w:pos="1701"/>
              </w:tabs>
              <w:rPr>
                <w:snapToGrid w:val="0"/>
              </w:rPr>
            </w:pPr>
          </w:p>
          <w:p w:rsidR="00B553DA" w:rsidRDefault="00B553DA" w:rsidP="00B553DA">
            <w:pPr>
              <w:tabs>
                <w:tab w:val="left" w:pos="1701"/>
              </w:tabs>
              <w:rPr>
                <w:snapToGrid w:val="0"/>
              </w:rPr>
            </w:pPr>
            <w:r w:rsidRPr="00B553DA">
              <w:rPr>
                <w:snapToGrid w:val="0"/>
              </w:rPr>
              <w:t xml:space="preserve">Regeringen anser att det bör bedömas positivt att länder i Europa, som inte är med i EU, anpassat sin nationella lagstiftning till </w:t>
            </w:r>
            <w:proofErr w:type="gramStart"/>
            <w:r w:rsidRPr="00B553DA">
              <w:rPr>
                <w:snapToGrid w:val="0"/>
              </w:rPr>
              <w:t>EU:s.</w:t>
            </w:r>
            <w:proofErr w:type="gramEnd"/>
            <w:r w:rsidRPr="00B553DA">
              <w:rPr>
                <w:snapToGrid w:val="0"/>
              </w:rPr>
              <w:t xml:space="preserve"> Att exempelvis tillåta fri rörlighet bör förenkla associering till ramprogrammet.</w:t>
            </w:r>
          </w:p>
          <w:p w:rsidR="00B553DA" w:rsidRDefault="00B553DA" w:rsidP="00B553DA">
            <w:pPr>
              <w:tabs>
                <w:tab w:val="left" w:pos="1701"/>
              </w:tabs>
              <w:rPr>
                <w:snapToGrid w:val="0"/>
              </w:rPr>
            </w:pPr>
          </w:p>
          <w:p w:rsidR="00807B3A" w:rsidRPr="00CA6BB2" w:rsidRDefault="00807B3A" w:rsidP="00807B3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>
              <w:rPr>
                <w:i/>
                <w:color w:val="000000"/>
                <w:szCs w:val="24"/>
              </w:rPr>
              <w:t>Utskottet</w:t>
            </w:r>
          </w:p>
          <w:p w:rsidR="00807B3A" w:rsidRPr="007D0184" w:rsidRDefault="00807B3A" w:rsidP="00807B3A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7D0184">
              <w:rPr>
                <w:color w:val="000000"/>
                <w:szCs w:val="24"/>
              </w:rPr>
              <w:t xml:space="preserve">Ordföranden konstaterade att det fanns stöd i utskottet för regeringens ståndpunkt. </w:t>
            </w:r>
          </w:p>
          <w:p w:rsidR="00807B3A" w:rsidRPr="007D0184" w:rsidRDefault="00807B3A" w:rsidP="00807B3A">
            <w:pPr>
              <w:tabs>
                <w:tab w:val="left" w:pos="1701"/>
              </w:tabs>
              <w:rPr>
                <w:color w:val="000000"/>
                <w:szCs w:val="24"/>
              </w:rPr>
            </w:pPr>
          </w:p>
          <w:p w:rsidR="00807B3A" w:rsidRPr="00807B3A" w:rsidRDefault="00807B3A" w:rsidP="00662279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7D0184">
              <w:rPr>
                <w:color w:val="000000"/>
                <w:szCs w:val="24"/>
              </w:rPr>
              <w:t>Denna paragraf förklarades omedelbart justerad.</w:t>
            </w:r>
          </w:p>
          <w:p w:rsidR="009A3C6E" w:rsidRDefault="009A3C6E" w:rsidP="00662279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EA76B1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201</w:t>
            </w:r>
            <w:r w:rsidR="00E362AB">
              <w:rPr>
                <w:snapToGrid w:val="0"/>
              </w:rPr>
              <w:t>9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20</w:t>
            </w:r>
            <w:r w:rsidR="00A2367D">
              <w:rPr>
                <w:snapToGrid w:val="0"/>
              </w:rPr>
              <w:t>:</w:t>
            </w:r>
            <w:r w:rsidR="009A3C6E">
              <w:rPr>
                <w:snapToGrid w:val="0"/>
              </w:rPr>
              <w:t>25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EA76B1" w:rsidTr="0001177E">
        <w:tc>
          <w:tcPr>
            <w:tcW w:w="567" w:type="dxa"/>
          </w:tcPr>
          <w:p w:rsidR="00EA76B1" w:rsidRPr="003B4DE8" w:rsidRDefault="00EA76B1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EA76B1" w:rsidRDefault="00EA76B1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Övriga frågor</w:t>
            </w:r>
          </w:p>
          <w:p w:rsidR="00EA76B1" w:rsidRDefault="00EA76B1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EA76B1" w:rsidRDefault="008F705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Daniel Riazat (V) önskade att utskottet bjuder in </w:t>
            </w:r>
            <w:r w:rsidRPr="008F705F">
              <w:rPr>
                <w:snapToGrid w:val="0"/>
              </w:rPr>
              <w:t>Specialpedagogiska skolmyndigheten</w:t>
            </w:r>
            <w:r>
              <w:rPr>
                <w:snapToGrid w:val="0"/>
              </w:rPr>
              <w:t xml:space="preserve"> (SPSM) till utskottet för att informera om stöd till synskadade elever och deras familjer. </w:t>
            </w:r>
          </w:p>
          <w:p w:rsidR="008F705F" w:rsidRDefault="008F705F">
            <w:pPr>
              <w:tabs>
                <w:tab w:val="left" w:pos="1701"/>
              </w:tabs>
              <w:rPr>
                <w:snapToGrid w:val="0"/>
              </w:rPr>
            </w:pPr>
          </w:p>
          <w:p w:rsidR="008F705F" w:rsidRPr="008F705F" w:rsidRDefault="008F705F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Ordföranden konstaterade att presidiet kommer att bereda frågan. </w:t>
            </w:r>
          </w:p>
          <w:p w:rsidR="00EA76B1" w:rsidRPr="00EA76B1" w:rsidRDefault="00EA76B1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9A3C6E">
              <w:rPr>
                <w:szCs w:val="24"/>
              </w:rPr>
              <w:t>tis</w:t>
            </w:r>
            <w:r w:rsidR="00BB7028">
              <w:rPr>
                <w:szCs w:val="24"/>
              </w:rPr>
              <w:t xml:space="preserve">dagen den </w:t>
            </w:r>
            <w:r w:rsidR="009A3C6E">
              <w:rPr>
                <w:szCs w:val="24"/>
              </w:rPr>
              <w:t xml:space="preserve">18 februari </w:t>
            </w:r>
            <w:r w:rsidR="00BB7028">
              <w:rPr>
                <w:szCs w:val="24"/>
              </w:rPr>
              <w:t>20</w:t>
            </w:r>
            <w:r w:rsidR="005F0E85">
              <w:rPr>
                <w:szCs w:val="24"/>
              </w:rPr>
              <w:t>20</w:t>
            </w:r>
            <w:r>
              <w:rPr>
                <w:szCs w:val="24"/>
              </w:rPr>
              <w:t xml:space="preserve"> kl. </w:t>
            </w:r>
            <w:r w:rsidR="009A3C6E">
              <w:rPr>
                <w:szCs w:val="24"/>
              </w:rPr>
              <w:t>11</w:t>
            </w:r>
            <w:r>
              <w:rPr>
                <w:szCs w:val="24"/>
              </w:rPr>
              <w:t>.00.</w:t>
            </w: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9A3C6E" w:rsidP="00D817DA">
            <w:pPr>
              <w:tabs>
                <w:tab w:val="left" w:pos="1701"/>
              </w:tabs>
            </w:pPr>
            <w:r>
              <w:t>Jonas Brynhildsen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9A3C6E">
              <w:t>tis</w:t>
            </w:r>
            <w:r w:rsidRPr="00C56172">
              <w:t xml:space="preserve">dagen </w:t>
            </w:r>
            <w:r w:rsidR="009A3C6E">
              <w:t>den 18 februari</w:t>
            </w:r>
            <w:r w:rsidR="00BB7028">
              <w:t xml:space="preserve"> 20</w:t>
            </w:r>
            <w:r w:rsidR="005F0E85">
              <w:t>20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142"/>
        <w:gridCol w:w="45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95"/>
        <w:gridCol w:w="61"/>
        <w:gridCol w:w="356"/>
        <w:gridCol w:w="356"/>
        <w:gridCol w:w="356"/>
        <w:gridCol w:w="356"/>
      </w:tblGrid>
      <w:tr w:rsidR="00BB702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</w:pPr>
            <w:r>
              <w:lastRenderedPageBreak/>
              <w:t>UTBILDNINGSUTSKOTTET</w:t>
            </w: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jc w:val="center"/>
              <w:rPr>
                <w:b/>
              </w:rPr>
            </w:pPr>
            <w:r>
              <w:rPr>
                <w:b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B7028" w:rsidRDefault="00BB7028" w:rsidP="004C1EAB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BB7028" w:rsidRDefault="00BB7028" w:rsidP="004C1EAB">
            <w:pPr>
              <w:tabs>
                <w:tab w:val="left" w:pos="1701"/>
              </w:tabs>
            </w:pPr>
            <w:r>
              <w:t>till protokoll</w:t>
            </w:r>
          </w:p>
          <w:p w:rsidR="00BB7028" w:rsidRDefault="00BB7028" w:rsidP="00E362AB">
            <w:pPr>
              <w:tabs>
                <w:tab w:val="left" w:pos="1701"/>
              </w:tabs>
            </w:pPr>
            <w:r>
              <w:t>201</w:t>
            </w:r>
            <w:r w:rsidR="00E362AB">
              <w:t>9/20</w:t>
            </w:r>
            <w:r>
              <w:t>:</w:t>
            </w:r>
            <w:r w:rsidR="00EE4788">
              <w:t>26</w:t>
            </w:r>
          </w:p>
        </w:tc>
      </w:tr>
      <w:tr w:rsidR="00C150F8" w:rsidTr="004C1EAB"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</w:pPr>
          </w:p>
        </w:tc>
        <w:tc>
          <w:tcPr>
            <w:tcW w:w="368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jc w:val="center"/>
              <w:rPr>
                <w:b/>
              </w:rPr>
            </w:pP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50F8" w:rsidRDefault="00C150F8" w:rsidP="004C1EAB">
            <w:pPr>
              <w:tabs>
                <w:tab w:val="left" w:pos="1701"/>
              </w:tabs>
              <w:rPr>
                <w:b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 §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BB702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67487F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Gunilla Svantorp (S),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8F705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87F" w:rsidRDefault="0067487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6110B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Haddad</w:t>
            </w:r>
            <w:r w:rsidR="00BB7028">
              <w:rPr>
                <w:sz w:val="22"/>
                <w:szCs w:val="22"/>
              </w:rPr>
              <w:t xml:space="preserve"> (L), </w:t>
            </w:r>
            <w:r w:rsidR="000867B0">
              <w:rPr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F705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00117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437505" w:rsidP="000867B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Kristina Axén Olin</w:t>
            </w:r>
            <w:r w:rsidR="009A1CEC">
              <w:rPr>
                <w:sz w:val="22"/>
                <w:szCs w:val="22"/>
              </w:rPr>
              <w:t xml:space="preserve"> (M)</w:t>
            </w:r>
            <w:r w:rsidR="000867B0">
              <w:rPr>
                <w:sz w:val="22"/>
                <w:szCs w:val="22"/>
              </w:rPr>
              <w:t>, 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F705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0117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F705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Püss</w:t>
            </w:r>
            <w:r w:rsidR="00C150F8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EC27A5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EC27A5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F705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F705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F705F" w:rsidP="004C1EAB">
            <w: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F705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8F705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82E31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Gudrun Brunegård</w:t>
            </w:r>
            <w:r w:rsidR="00C150F8">
              <w:rPr>
                <w:sz w:val="22"/>
                <w:szCs w:val="22"/>
              </w:rPr>
              <w:t xml:space="preserve">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F705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F705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</w:t>
            </w:r>
            <w:r w:rsidR="00B63606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F705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Falk</w:t>
            </w:r>
            <w:r w:rsidR="00C150F8">
              <w:rPr>
                <w:sz w:val="22"/>
                <w:szCs w:val="22"/>
              </w:rPr>
              <w:t xml:space="preserve">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E9391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</w:t>
            </w:r>
            <w:r w:rsidR="004309E7">
              <w:rPr>
                <w:sz w:val="22"/>
                <w:szCs w:val="22"/>
              </w:rPr>
              <w:t xml:space="preserve"> </w:t>
            </w:r>
            <w:r w:rsidR="00C150F8">
              <w:rPr>
                <w:sz w:val="22"/>
                <w:szCs w:val="22"/>
              </w:rPr>
              <w:t>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F705F" w:rsidP="004C1EAB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407517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Pr="003D41A2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8F705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7517" w:rsidRDefault="00407517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8F705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E524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</w:t>
            </w:r>
            <w:r w:rsidR="00C150F8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9E1FCA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1712BC" w:rsidRPr="009E1FCA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12BC" w:rsidRPr="009E1FCA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D65276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8F705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276" w:rsidRPr="00402D5D" w:rsidRDefault="00D6527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25D78" w:rsidRPr="00402D5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0C461C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D78" w:rsidRPr="00402D5D" w:rsidRDefault="00825D7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8F705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1712BC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 xml:space="preserve">Ulrika Heindorff </w:t>
            </w:r>
            <w:r w:rsidR="00C150F8" w:rsidRPr="000C461C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0C461C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Ebba Hermansson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0C46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C150F8" w:rsidP="009B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4218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C150F8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18D" w:rsidRDefault="0034218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Pr="003D41A2" w:rsidRDefault="001712BC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Ann-Britt Åsebol </w:t>
            </w:r>
            <w:r w:rsidR="00C150F8">
              <w:rPr>
                <w:sz w:val="22"/>
                <w:szCs w:val="22"/>
              </w:rPr>
              <w:t>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8F705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CA226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</w:t>
            </w:r>
            <w:r w:rsidR="00E2514D">
              <w:rPr>
                <w:sz w:val="22"/>
                <w:szCs w:val="22"/>
              </w:rPr>
              <w:t>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2514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14D" w:rsidRDefault="00E2514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71F8E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rPr>
                <w:sz w:val="22"/>
                <w:szCs w:val="22"/>
              </w:rPr>
            </w:pPr>
            <w:r w:rsidRPr="00071F8E">
              <w:rPr>
                <w:sz w:val="22"/>
                <w:szCs w:val="22"/>
              </w:rPr>
              <w:t>Mats Berglund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8F705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1F8E" w:rsidRDefault="00071F8E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F705F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B080B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80B" w:rsidRDefault="008B080B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237DB6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7DB6" w:rsidRDefault="00237DB6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7C52B4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52B4" w:rsidRDefault="007C52B4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E15C69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 Lodenius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5C69" w:rsidRDefault="00E15C69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929D2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rPr>
                <w:sz w:val="22"/>
                <w:szCs w:val="22"/>
              </w:rPr>
            </w:pPr>
            <w:r w:rsidRPr="008929D2">
              <w:rPr>
                <w:sz w:val="22"/>
                <w:szCs w:val="22"/>
              </w:rPr>
              <w:t>Lars-Arne Staxäng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29D2" w:rsidRDefault="008929D2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F46F0D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Pr="008929D2" w:rsidRDefault="00F46F0D" w:rsidP="004C1E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Inga-Lill Sjöblom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6F0D" w:rsidRDefault="00F46F0D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BB7028" w:rsidTr="004C1E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3402" w:type="dxa"/>
            <w:gridSpan w:val="2"/>
          </w:tcPr>
          <w:p w:rsidR="00BB7028" w:rsidRPr="003D41A2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BB7028" w:rsidRDefault="00BB7028" w:rsidP="004C1EAB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AB2E46" w:rsidRPr="00EA76B1" w:rsidRDefault="00AB2E46" w:rsidP="00EA76B1">
      <w:pPr>
        <w:tabs>
          <w:tab w:val="left" w:pos="1276"/>
        </w:tabs>
        <w:rPr>
          <w:b/>
          <w:sz w:val="28"/>
        </w:rPr>
      </w:pPr>
    </w:p>
    <w:sectPr w:rsidR="00AB2E46" w:rsidRPr="00EA76B1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5C3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D5522"/>
    <w:rsid w:val="001F5AC6"/>
    <w:rsid w:val="002059AD"/>
    <w:rsid w:val="00207D45"/>
    <w:rsid w:val="0022226E"/>
    <w:rsid w:val="00237DB6"/>
    <w:rsid w:val="002462FF"/>
    <w:rsid w:val="00253162"/>
    <w:rsid w:val="002608E3"/>
    <w:rsid w:val="00267FC1"/>
    <w:rsid w:val="002871AD"/>
    <w:rsid w:val="002D5CD8"/>
    <w:rsid w:val="002E7435"/>
    <w:rsid w:val="002E7751"/>
    <w:rsid w:val="002F31F6"/>
    <w:rsid w:val="002F53A6"/>
    <w:rsid w:val="00303E1D"/>
    <w:rsid w:val="003125C1"/>
    <w:rsid w:val="00330C61"/>
    <w:rsid w:val="00335FB0"/>
    <w:rsid w:val="003372A6"/>
    <w:rsid w:val="0034218D"/>
    <w:rsid w:val="00355251"/>
    <w:rsid w:val="00360AE7"/>
    <w:rsid w:val="00361E18"/>
    <w:rsid w:val="00370F89"/>
    <w:rsid w:val="003806C2"/>
    <w:rsid w:val="0038157D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74B5"/>
    <w:rsid w:val="00483EB5"/>
    <w:rsid w:val="004875DF"/>
    <w:rsid w:val="004C4C01"/>
    <w:rsid w:val="004E024A"/>
    <w:rsid w:val="00501D18"/>
    <w:rsid w:val="00520D71"/>
    <w:rsid w:val="005331E3"/>
    <w:rsid w:val="00533945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601C28"/>
    <w:rsid w:val="00602725"/>
    <w:rsid w:val="0060305B"/>
    <w:rsid w:val="006110B5"/>
    <w:rsid w:val="00622525"/>
    <w:rsid w:val="00637376"/>
    <w:rsid w:val="00650ADB"/>
    <w:rsid w:val="00656ECC"/>
    <w:rsid w:val="00662279"/>
    <w:rsid w:val="00666846"/>
    <w:rsid w:val="00667E8B"/>
    <w:rsid w:val="0067487F"/>
    <w:rsid w:val="00680665"/>
    <w:rsid w:val="00687130"/>
    <w:rsid w:val="006965E4"/>
    <w:rsid w:val="006A2991"/>
    <w:rsid w:val="006B026C"/>
    <w:rsid w:val="006B1BCF"/>
    <w:rsid w:val="006B1D76"/>
    <w:rsid w:val="006B4C5A"/>
    <w:rsid w:val="006B65A5"/>
    <w:rsid w:val="006B7A08"/>
    <w:rsid w:val="006E0945"/>
    <w:rsid w:val="006E0C6A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7B3A"/>
    <w:rsid w:val="00823C8C"/>
    <w:rsid w:val="00825D78"/>
    <w:rsid w:val="00827DBD"/>
    <w:rsid w:val="00832BA8"/>
    <w:rsid w:val="0083501D"/>
    <w:rsid w:val="00841B9D"/>
    <w:rsid w:val="00872753"/>
    <w:rsid w:val="00876835"/>
    <w:rsid w:val="00886BA6"/>
    <w:rsid w:val="008929D2"/>
    <w:rsid w:val="008B080B"/>
    <w:rsid w:val="008B4A0D"/>
    <w:rsid w:val="008C35C4"/>
    <w:rsid w:val="008E2E78"/>
    <w:rsid w:val="008F6C98"/>
    <w:rsid w:val="008F705F"/>
    <w:rsid w:val="008F7983"/>
    <w:rsid w:val="009171C9"/>
    <w:rsid w:val="00923EFE"/>
    <w:rsid w:val="00925ABE"/>
    <w:rsid w:val="0094358D"/>
    <w:rsid w:val="00960E59"/>
    <w:rsid w:val="00985715"/>
    <w:rsid w:val="009A1313"/>
    <w:rsid w:val="009A164A"/>
    <w:rsid w:val="009A1CEC"/>
    <w:rsid w:val="009A3C6E"/>
    <w:rsid w:val="009B52FA"/>
    <w:rsid w:val="009D5E29"/>
    <w:rsid w:val="009E1FCA"/>
    <w:rsid w:val="009E7A20"/>
    <w:rsid w:val="00A0106A"/>
    <w:rsid w:val="00A03D80"/>
    <w:rsid w:val="00A102DB"/>
    <w:rsid w:val="00A13D11"/>
    <w:rsid w:val="00A2367D"/>
    <w:rsid w:val="00A370F4"/>
    <w:rsid w:val="00A47DB2"/>
    <w:rsid w:val="00A575C3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40576"/>
    <w:rsid w:val="00B432F2"/>
    <w:rsid w:val="00B529AF"/>
    <w:rsid w:val="00B553DA"/>
    <w:rsid w:val="00B6136A"/>
    <w:rsid w:val="00B63606"/>
    <w:rsid w:val="00B73227"/>
    <w:rsid w:val="00B734EF"/>
    <w:rsid w:val="00BA05FF"/>
    <w:rsid w:val="00BA1F9C"/>
    <w:rsid w:val="00BA404C"/>
    <w:rsid w:val="00BB4FC6"/>
    <w:rsid w:val="00BB6E1B"/>
    <w:rsid w:val="00BB7028"/>
    <w:rsid w:val="00BF1E92"/>
    <w:rsid w:val="00BF5F58"/>
    <w:rsid w:val="00C04265"/>
    <w:rsid w:val="00C1169B"/>
    <w:rsid w:val="00C150F8"/>
    <w:rsid w:val="00C21DC4"/>
    <w:rsid w:val="00C318F6"/>
    <w:rsid w:val="00C422E7"/>
    <w:rsid w:val="00C616C4"/>
    <w:rsid w:val="00C62BD3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C15D0"/>
    <w:rsid w:val="00CD10D8"/>
    <w:rsid w:val="00CD4DBD"/>
    <w:rsid w:val="00CE524E"/>
    <w:rsid w:val="00CE5568"/>
    <w:rsid w:val="00CF376E"/>
    <w:rsid w:val="00CF6815"/>
    <w:rsid w:val="00CF7C43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51F"/>
    <w:rsid w:val="00DE08F2"/>
    <w:rsid w:val="00DE3264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A76B1"/>
    <w:rsid w:val="00EB577E"/>
    <w:rsid w:val="00EC27A5"/>
    <w:rsid w:val="00EC418A"/>
    <w:rsid w:val="00EE4788"/>
    <w:rsid w:val="00EE4C8A"/>
    <w:rsid w:val="00EE73D8"/>
    <w:rsid w:val="00F12574"/>
    <w:rsid w:val="00F23954"/>
    <w:rsid w:val="00F33EF9"/>
    <w:rsid w:val="00F46F0D"/>
    <w:rsid w:val="00F7021F"/>
    <w:rsid w:val="00F70C44"/>
    <w:rsid w:val="00F72877"/>
    <w:rsid w:val="00F816D5"/>
    <w:rsid w:val="00F8533C"/>
    <w:rsid w:val="00FA12EF"/>
    <w:rsid w:val="00FA543D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ABA38A-61AE-4D60-A3BE-93DAF6C80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19-2020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Protokollsmall-2019-2020</Template>
  <TotalTime>0</TotalTime>
  <Pages>5</Pages>
  <Words>721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2</cp:revision>
  <cp:lastPrinted>2013-04-22T11:37:00Z</cp:lastPrinted>
  <dcterms:created xsi:type="dcterms:W3CDTF">2020-02-20T08:54:00Z</dcterms:created>
  <dcterms:modified xsi:type="dcterms:W3CDTF">2020-02-20T08:54:00Z</dcterms:modified>
</cp:coreProperties>
</file>