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D6E" w:rsidRPr="000E7F2C" w:rsidRDefault="00F13D6E" w:rsidP="00770CCC">
      <w:pPr>
        <w:pStyle w:val="Hemstlrubrik"/>
      </w:pPr>
      <w:r w:rsidRPr="000E7F2C">
        <w:t>Förslag till riksdagsbeslut</w:t>
      </w:r>
    </w:p>
    <w:p w:rsidR="00F13D6E" w:rsidRPr="000E7F2C" w:rsidRDefault="007A2FC0" w:rsidP="00F13D6E">
      <w:pPr>
        <w:pStyle w:val="Hemstlatt"/>
      </w:pPr>
      <w:r w:rsidRPr="000E7F2C">
        <w:t>Riksdagen begär att regeringen lägger fram förslag om att upphäva 6 § kärntekniklagen.</w:t>
      </w:r>
    </w:p>
    <w:p w:rsidR="00F13D6E" w:rsidRPr="000E7F2C" w:rsidRDefault="00F13D6E" w:rsidP="00F13D6E">
      <w:pPr>
        <w:pStyle w:val="Rubrik1"/>
      </w:pPr>
      <w:r w:rsidRPr="000E7F2C">
        <w:t>Motivering</w:t>
      </w:r>
    </w:p>
    <w:p w:rsidR="00F13D6E" w:rsidRPr="000E7F2C" w:rsidRDefault="00F13D6E" w:rsidP="00925EA5">
      <w:r w:rsidRPr="000E7F2C">
        <w:t>Det är hög tid att vi tillåter kärnteknisk forskning i Sverige. Tankeförbudet hör inte hemma i en modern demokrati. Redan år 1987 infördes i kärntekni</w:t>
      </w:r>
      <w:r w:rsidRPr="000E7F2C">
        <w:t>k</w:t>
      </w:r>
      <w:r w:rsidRPr="000E7F2C">
        <w:t>lagen en bestämmelse (6§) som säger att ”man inte får utarbeta konstruktion</w:t>
      </w:r>
      <w:r w:rsidRPr="000E7F2C">
        <w:t>s</w:t>
      </w:r>
      <w:r w:rsidRPr="000E7F2C">
        <w:t>ritningar, beräkna kostnader, beställa utrustning eller vidta andra sådana fö</w:t>
      </w:r>
      <w:r w:rsidRPr="000E7F2C">
        <w:t>r</w:t>
      </w:r>
      <w:r w:rsidRPr="000E7F2C">
        <w:t>beredande åtgärder i syfte att inom landet uppföra en kärnkraf</w:t>
      </w:r>
      <w:r w:rsidR="00925EA5" w:rsidRPr="000E7F2C">
        <w:t>s</w:t>
      </w:r>
      <w:r w:rsidRPr="000E7F2C">
        <w:t>treaktor”. Syftet med detta var att ytterligare förtydliga att de energipolitiska riktlinjerna ligger fast. Denna bestämmelse är dock meningslös eftersom det redan i 5§ framgår att ”tillstånd att uppföra en kärnkraftsreaktor får inte meddelas”. Av rent principiella skäl bör 6§ snarast upphävas. Vi har i</w:t>
      </w:r>
      <w:r w:rsidR="0097050B" w:rsidRPr="000E7F2C">
        <w:t xml:space="preserve"> </w:t>
      </w:r>
      <w:r w:rsidRPr="000E7F2C">
        <w:t>dag i Sverige en la</w:t>
      </w:r>
      <w:r w:rsidRPr="000E7F2C">
        <w:t>g</w:t>
      </w:r>
      <w:r w:rsidRPr="000E7F2C">
        <w:t>stiftning där yttrande</w:t>
      </w:r>
      <w:r w:rsidR="00925EA5" w:rsidRPr="000E7F2C">
        <w:t>-</w:t>
      </w:r>
      <w:r w:rsidRPr="000E7F2C">
        <w:t xml:space="preserve"> och tankefrihet skall ligga till grund, och denna text hör således inte hemma i svensk lag. Största anledningen till att avskaffa denna paragraf är naturligtvis att den hämmar den akademiska friheten och därig</w:t>
      </w:r>
      <w:r w:rsidRPr="000E7F2C">
        <w:t>e</w:t>
      </w:r>
      <w:r w:rsidRPr="000E7F2C">
        <w:t>nom allvarligt urhol</w:t>
      </w:r>
      <w:r w:rsidR="00925EA5" w:rsidRPr="000E7F2C">
        <w:t>kar vår kompetens inom området.</w:t>
      </w:r>
    </w:p>
    <w:p w:rsidR="00F13D6E" w:rsidRPr="000E7F2C" w:rsidRDefault="00F13D6E" w:rsidP="00925EA5">
      <w:pPr>
        <w:pStyle w:val="Normaltindrag"/>
      </w:pPr>
      <w:r w:rsidRPr="000E7F2C">
        <w:t>Det kan inte vara möjligt att Sverige som betraktas som ett högteknol</w:t>
      </w:r>
      <w:r w:rsidRPr="000E7F2C">
        <w:t>o</w:t>
      </w:r>
      <w:r w:rsidRPr="000E7F2C">
        <w:t>giskt välutvecklat land ska</w:t>
      </w:r>
      <w:r w:rsidR="0097050B" w:rsidRPr="000E7F2C">
        <w:t>ll</w:t>
      </w:r>
      <w:r w:rsidRPr="000E7F2C">
        <w:t xml:space="preserve"> ha en sådan lag.  Svenska forskare inom området flyr i dag landet för att kunna utveckla nya tankar och idéer i andra länder där man är mer framåtsträvande vad gäller energiforskning än Sverige. Tvärv</w:t>
      </w:r>
      <w:r w:rsidRPr="000E7F2C">
        <w:t>e</w:t>
      </w:r>
      <w:r w:rsidRPr="000E7F2C">
        <w:t>tenska</w:t>
      </w:r>
      <w:r w:rsidRPr="000E7F2C">
        <w:t>p</w:t>
      </w:r>
      <w:r w:rsidRPr="000E7F2C">
        <w:t>lig forskning och utbildning om energikällors uthållighet, ekonomi och milj</w:t>
      </w:r>
      <w:r w:rsidRPr="000E7F2C">
        <w:t>ö</w:t>
      </w:r>
      <w:r w:rsidRPr="000E7F2C">
        <w:t>påverkan som leder till en samlad syn på hela energisystemet är ytterst ang</w:t>
      </w:r>
      <w:r w:rsidRPr="000E7F2C">
        <w:t>e</w:t>
      </w:r>
      <w:r w:rsidRPr="000E7F2C">
        <w:t>lägen. Möjligheten att ytterligare minska riskerna med kärnkraft motiverar stora forskningsinsatser för att reducera det radioaktiva avfallets radiotoxicitet. Det är också viktigt att intensifiera forskningen kring hur so</w:t>
      </w:r>
      <w:r w:rsidRPr="000E7F2C">
        <w:t>l</w:t>
      </w:r>
      <w:r w:rsidRPr="000E7F2C">
        <w:t>energi effektivt kan omvandlas till olika energibärare. Eftersom energiprise</w:t>
      </w:r>
      <w:r w:rsidRPr="000E7F2C">
        <w:t>r</w:t>
      </w:r>
      <w:r w:rsidRPr="000E7F2C">
        <w:t>na sannolikt kommer att stiga inom de närmaste decennierna, framförallt genom brist på billig olja, behöver utveckling och implementering av ny te</w:t>
      </w:r>
      <w:r w:rsidRPr="000E7F2C">
        <w:t>k</w:t>
      </w:r>
      <w:r w:rsidRPr="000E7F2C">
        <w:t xml:space="preserve">nik inom </w:t>
      </w:r>
      <w:r w:rsidRPr="000E7F2C">
        <w:lastRenderedPageBreak/>
        <w:t>energisektorn kraftigt påskyndas. Vi måste också beakta att energ</w:t>
      </w:r>
      <w:r w:rsidRPr="000E7F2C">
        <w:t>i</w:t>
      </w:r>
      <w:r w:rsidRPr="000E7F2C">
        <w:t>tillförse</w:t>
      </w:r>
      <w:r w:rsidR="00925EA5" w:rsidRPr="000E7F2C">
        <w:t>ln är så säker som möjligt, bl.</w:t>
      </w:r>
      <w:r w:rsidRPr="000E7F2C">
        <w:t>a. med hänsyn till ri</w:t>
      </w:r>
      <w:r w:rsidR="00925EA5" w:rsidRPr="000E7F2C">
        <w:t xml:space="preserve">sker för olyckor och sabotage. </w:t>
      </w:r>
    </w:p>
    <w:p w:rsidR="00F13D6E" w:rsidRPr="000E7F2C" w:rsidRDefault="00F13D6E" w:rsidP="00925EA5">
      <w:pPr>
        <w:pStyle w:val="Normaltindrag"/>
      </w:pPr>
      <w:r w:rsidRPr="000E7F2C">
        <w:t>Med dagens lagstiftning kommer vi inte heller att kunna följa med i u</w:t>
      </w:r>
      <w:r w:rsidRPr="000E7F2C">
        <w:t>t</w:t>
      </w:r>
      <w:r w:rsidRPr="000E7F2C">
        <w:t>vecklingen vad gäller oskadliggörande av kärnbränsle på rätt sätt. En sak är att vi inte bygger nya kärnkraftverk, men vi ska</w:t>
      </w:r>
      <w:r w:rsidR="0097050B" w:rsidRPr="000E7F2C">
        <w:t>ll</w:t>
      </w:r>
      <w:r w:rsidRPr="000E7F2C">
        <w:t xml:space="preserve"> inte motverka och stoppa forskning inom området hur vi på bästa sätt kan ta hand om vår</w:t>
      </w:r>
      <w:r w:rsidR="00925EA5" w:rsidRPr="000E7F2C">
        <w:t>t redan exist</w:t>
      </w:r>
      <w:r w:rsidR="00925EA5" w:rsidRPr="000E7F2C">
        <w:t>e</w:t>
      </w:r>
      <w:r w:rsidR="00925EA5" w:rsidRPr="000E7F2C">
        <w:t>rande kärnavfall!</w:t>
      </w:r>
    </w:p>
    <w:p w:rsidR="00F13D6E" w:rsidRPr="000E7F2C" w:rsidRDefault="00F13D6E" w:rsidP="00925EA5">
      <w:pPr>
        <w:pStyle w:val="Normaltindrag"/>
      </w:pPr>
      <w:r w:rsidRPr="000E7F2C">
        <w:t>Ett tydligt exempel har vi i att i dag pågår det högkvalitativ forskning inom området transmutation, ADTT (Accelerator Driven Transmutation Technol</w:t>
      </w:r>
      <w:r w:rsidRPr="000E7F2C">
        <w:t>o</w:t>
      </w:r>
      <w:r w:rsidRPr="000E7F2C">
        <w:t>gies) som är en möjlig metod att oskadliggöra långlivat radioaktivt avfall, framför</w:t>
      </w:r>
      <w:r w:rsidR="00925EA5" w:rsidRPr="000E7F2C">
        <w:t xml:space="preserve"> </w:t>
      </w:r>
      <w:r w:rsidRPr="000E7F2C">
        <w:t>allt plutonium. Denna metod studeras sedan ett tiotal år i USA, Japan och Europa. ADTT innebär att en intensiv protonstråle produceras med en accelerator. Då protonerna bromsas upp i ett material, oftast bly, alstras ett stort antal neutroner. Dessa kan sedan utlösa kedjereaktioner i ett omgivande medium innehållande radioaktivt avfall. På detta sätt kan radioaktiviteten i avfallet fås att försvinna betydligt snabbare än om det skulle lämnas att min</w:t>
      </w:r>
      <w:r w:rsidRPr="000E7F2C">
        <w:t>s</w:t>
      </w:r>
      <w:r w:rsidRPr="000E7F2C">
        <w:t>ka på naturligt sätt i ett avfallsförvar. Beräkningar och mätningar visar att ADTT-metoden kan förkorta livslängden av radioaktivt avfall från flera hun</w:t>
      </w:r>
      <w:r w:rsidRPr="000E7F2C">
        <w:t>d</w:t>
      </w:r>
      <w:r w:rsidRPr="000E7F2C">
        <w:t>ra tusen år till några hundratal år, och att större delen av plutoniet i avfallet kan elimineras på något tiotal år. Grundläggande forskning kan förhop</w:t>
      </w:r>
      <w:r w:rsidRPr="000E7F2C">
        <w:t>p</w:t>
      </w:r>
      <w:r w:rsidRPr="000E7F2C">
        <w:t>ningsvis inom ett par decennier ge svar på frågan om ADTT-metoden är en lösning på kärnkraftens avfallsproblem. Den eventuella praktiska använ</w:t>
      </w:r>
      <w:r w:rsidRPr="000E7F2C">
        <w:t>d</w:t>
      </w:r>
      <w:r w:rsidRPr="000E7F2C">
        <w:t xml:space="preserve">ningen ligger framåt i tiden. </w:t>
      </w:r>
    </w:p>
    <w:p w:rsidR="00F13D6E" w:rsidRPr="000E7F2C" w:rsidRDefault="00F13D6E" w:rsidP="00925EA5">
      <w:pPr>
        <w:pStyle w:val="Normaltindrag"/>
      </w:pPr>
      <w:r w:rsidRPr="000E7F2C">
        <w:t xml:space="preserve">Det är ändå angeläget att </w:t>
      </w:r>
      <w:r w:rsidR="00925EA5" w:rsidRPr="000E7F2C">
        <w:t xml:space="preserve">6 § </w:t>
      </w:r>
      <w:r w:rsidRPr="000E7F2C">
        <w:t>lagen om kärnteknisk verksamhet (Lag 1987:3), som förbjuder arbeten som syftar till uppförande av kärnkraftsrea</w:t>
      </w:r>
      <w:r w:rsidRPr="000E7F2C">
        <w:t>k</w:t>
      </w:r>
      <w:r w:rsidRPr="000E7F2C">
        <w:t>tor i Sver</w:t>
      </w:r>
      <w:r w:rsidRPr="000E7F2C">
        <w:t>i</w:t>
      </w:r>
      <w:r w:rsidRPr="000E7F2C">
        <w:t>ge, avskaffas. En anläggning för destruktion av radioaktivt avfall skulle dä</w:t>
      </w:r>
      <w:r w:rsidRPr="000E7F2C">
        <w:t>r</w:t>
      </w:r>
      <w:r w:rsidRPr="000E7F2C">
        <w:t>med kunna uppföras i Sverige och oavsett om vi inte skall uppföra fler kär</w:t>
      </w:r>
      <w:r w:rsidRPr="000E7F2C">
        <w:t>n</w:t>
      </w:r>
      <w:r w:rsidRPr="000E7F2C">
        <w:t>kraftverk måste vi ändå vara med och ta ansvar för det</w:t>
      </w:r>
      <w:r w:rsidR="00925EA5" w:rsidRPr="000E7F2C">
        <w:t xml:space="preserve"> avfall vi redan nu pr</w:t>
      </w:r>
      <w:r w:rsidR="00925EA5" w:rsidRPr="000E7F2C">
        <w:t>o</w:t>
      </w:r>
      <w:r w:rsidR="00925EA5" w:rsidRPr="000E7F2C">
        <w:t>ducerat.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5EA5" w:rsidRPr="000E7F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EA5" w:rsidRPr="000E7F2C" w:rsidRDefault="00925EA5" w:rsidP="00925EA5">
            <w:pPr>
              <w:pStyle w:val="UnderskriftDatum"/>
              <w:spacing w:before="240"/>
            </w:pPr>
            <w:r w:rsidRPr="000E7F2C">
              <w:t>Stockholm den 3 oktober 2005</w:t>
            </w:r>
          </w:p>
        </w:tc>
        <w:tc>
          <w:tcPr>
            <w:tcW w:w="3047" w:type="dxa"/>
          </w:tcPr>
          <w:p w:rsidR="00925EA5" w:rsidRPr="000E7F2C" w:rsidRDefault="00925EA5" w:rsidP="00925EA5">
            <w:pPr>
              <w:pStyle w:val="Underskrifter"/>
              <w:spacing w:before="240"/>
            </w:pPr>
          </w:p>
        </w:tc>
      </w:tr>
      <w:tr w:rsidR="00925EA5" w:rsidRPr="000E7F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EA5" w:rsidRPr="000E7F2C" w:rsidRDefault="00925EA5" w:rsidP="00925EA5">
            <w:pPr>
              <w:pStyle w:val="Underskrifter"/>
            </w:pPr>
            <w:r w:rsidRPr="000E7F2C">
              <w:t>Ewa Björling (m)</w:t>
            </w:r>
          </w:p>
        </w:tc>
        <w:tc>
          <w:tcPr>
            <w:tcW w:w="3047" w:type="dxa"/>
          </w:tcPr>
          <w:p w:rsidR="00925EA5" w:rsidRPr="000E7F2C" w:rsidRDefault="00925EA5" w:rsidP="00925EA5">
            <w:pPr>
              <w:pStyle w:val="Underskrifter"/>
            </w:pPr>
          </w:p>
        </w:tc>
      </w:tr>
    </w:tbl>
    <w:p w:rsidR="00E84F25" w:rsidRPr="000E7F2C" w:rsidRDefault="00E84F25" w:rsidP="00925EA5">
      <w:pPr>
        <w:pStyle w:val="Normaltindrag"/>
      </w:pPr>
    </w:p>
    <w:sectPr w:rsidR="00E84F25" w:rsidRPr="000E7F2C" w:rsidSect="00925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A3C" w:rsidRPr="000E7F2C" w:rsidRDefault="00003A3C">
      <w:r w:rsidRPr="000E7F2C">
        <w:separator/>
      </w:r>
    </w:p>
  </w:endnote>
  <w:endnote w:type="continuationSeparator" w:id="0">
    <w:p w:rsidR="00003A3C" w:rsidRPr="000E7F2C" w:rsidRDefault="00003A3C">
      <w:r w:rsidRPr="000E7F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93" w:rsidRPr="000E7F2C" w:rsidRDefault="000E7F2C" w:rsidP="00925EA5">
    <w:pPr>
      <w:pStyle w:val="Sidfot"/>
    </w:pPr>
    <w:r w:rsidRPr="000E7F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61551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5" w:rsidRDefault="00925E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C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5EA5" w:rsidRDefault="00925E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C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0B" w:rsidRPr="000E7F2C" w:rsidRDefault="000E7F2C" w:rsidP="00925EA5">
    <w:pPr>
      <w:pStyle w:val="Sidfot"/>
    </w:pPr>
    <w:r w:rsidRPr="000E7F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9510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5" w:rsidRDefault="00925E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C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EA5" w:rsidRDefault="00925E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C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0B" w:rsidRPr="000E7F2C" w:rsidRDefault="000E7F2C" w:rsidP="00925EA5">
    <w:pPr>
      <w:pStyle w:val="Sidfot"/>
    </w:pPr>
    <w:r w:rsidRPr="000E7F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355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5" w:rsidRDefault="00925E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C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EA5" w:rsidRDefault="00925E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C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A3C" w:rsidRPr="000E7F2C" w:rsidRDefault="00003A3C">
      <w:r w:rsidRPr="000E7F2C">
        <w:separator/>
      </w:r>
    </w:p>
  </w:footnote>
  <w:footnote w:type="continuationSeparator" w:id="0">
    <w:p w:rsidR="00003A3C" w:rsidRPr="000E7F2C" w:rsidRDefault="00003A3C">
      <w:r w:rsidRPr="000E7F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93" w:rsidRPr="000E7F2C" w:rsidRDefault="000E7F2C" w:rsidP="00925EA5">
    <w:pPr>
      <w:pStyle w:val="Sidhuvud"/>
    </w:pPr>
    <w:r w:rsidRPr="000E7F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569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5" w:rsidRDefault="00925E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0C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0CCC"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5EA5" w:rsidRDefault="00925E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0C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0CCC"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0B" w:rsidRPr="000E7F2C" w:rsidRDefault="000E7F2C" w:rsidP="00925EA5">
    <w:pPr>
      <w:pStyle w:val="Sidhuvud"/>
    </w:pPr>
    <w:r w:rsidRPr="000E7F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4729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5" w:rsidRDefault="00925E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0C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0CCC"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5EA5" w:rsidRDefault="00925E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0C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0CCC"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5" w:rsidRPr="000E7F2C" w:rsidRDefault="00925EA5">
    <w:pPr>
      <w:pStyle w:val="FSHNormal"/>
      <w:tabs>
        <w:tab w:val="right" w:pos="5840"/>
      </w:tabs>
    </w:pPr>
    <w:r w:rsidRPr="000E7F2C">
      <w:br/>
    </w:r>
    <w:r w:rsidRPr="000E7F2C">
      <w:fldChar w:fldCharType="begin" w:fldLock="1"/>
    </w:r>
    <w:r w:rsidRPr="000E7F2C">
      <w:instrText xml:space="preserve"> DOCPROPERTY</w:instrText>
    </w:r>
    <w:r w:rsidRPr="000E7F2C">
      <w:rPr>
        <w:sz w:val="18"/>
      </w:rPr>
      <w:instrText xml:space="preserve"> "YearUser" *\charformat </w:instrText>
    </w:r>
    <w:r w:rsidRPr="000E7F2C">
      <w:fldChar w:fldCharType="separate"/>
    </w:r>
    <w:r w:rsidR="00770CCC" w:rsidRPr="000E7F2C">
      <w:t>2005/06</w:t>
    </w:r>
    <w:r w:rsidRPr="000E7F2C">
      <w:fldChar w:fldCharType="end"/>
    </w:r>
    <w:r w:rsidRPr="000E7F2C">
      <w:t xml:space="preserve"> </w:t>
    </w:r>
    <w:r w:rsidRPr="000E7F2C">
      <w:tab/>
      <w:t xml:space="preserve">mnr: </w:t>
    </w:r>
    <w:r w:rsidRPr="000E7F2C">
      <w:fldChar w:fldCharType="begin" w:fldLock="1"/>
    </w:r>
    <w:r w:rsidRPr="000E7F2C">
      <w:instrText xml:space="preserve"> DOCPROPERTY</w:instrText>
    </w:r>
    <w:r w:rsidRPr="000E7F2C">
      <w:rPr>
        <w:sz w:val="18"/>
      </w:rPr>
      <w:instrText xml:space="preserve"> "Motionsnummer" *\charformat </w:instrText>
    </w:r>
    <w:r w:rsidRPr="000E7F2C">
      <w:fldChar w:fldCharType="separate"/>
    </w:r>
    <w:r w:rsidR="00770CCC" w:rsidRPr="000E7F2C">
      <w:t>N322</w:t>
    </w:r>
    <w:r w:rsidRPr="000E7F2C">
      <w:fldChar w:fldCharType="end"/>
    </w:r>
    <w:r w:rsidRPr="000E7F2C">
      <w:br/>
    </w:r>
    <w:r w:rsidRPr="000E7F2C">
      <w:fldChar w:fldCharType="begin" w:fldLock="1"/>
    </w:r>
    <w:r w:rsidRPr="000E7F2C">
      <w:instrText xml:space="preserve"> DOCPROPERTY</w:instrText>
    </w:r>
    <w:r w:rsidRPr="000E7F2C">
      <w:rPr>
        <w:sz w:val="18"/>
      </w:rPr>
      <w:instrText xml:space="preserve"> "Samling" *\charformat </w:instrText>
    </w:r>
    <w:r w:rsidRPr="000E7F2C">
      <w:fldChar w:fldCharType="end"/>
    </w:r>
    <w:r w:rsidRPr="000E7F2C">
      <w:tab/>
      <w:t xml:space="preserve">pnr: </w:t>
    </w:r>
    <w:r w:rsidRPr="000E7F2C">
      <w:fldChar w:fldCharType="begin" w:fldLock="1"/>
    </w:r>
    <w:r w:rsidRPr="000E7F2C">
      <w:instrText xml:space="preserve"> DOCPROPERTY</w:instrText>
    </w:r>
    <w:r w:rsidRPr="000E7F2C">
      <w:rPr>
        <w:sz w:val="18"/>
      </w:rPr>
      <w:instrText xml:space="preserve"> "Partinummer" *\charformat </w:instrText>
    </w:r>
    <w:r w:rsidRPr="000E7F2C">
      <w:fldChar w:fldCharType="separate"/>
    </w:r>
    <w:r w:rsidR="00770CCC" w:rsidRPr="000E7F2C">
      <w:t>m1629</w:t>
    </w:r>
    <w:r w:rsidRPr="000E7F2C">
      <w:fldChar w:fldCharType="end"/>
    </w:r>
  </w:p>
  <w:p w:rsidR="00925EA5" w:rsidRPr="000E7F2C" w:rsidRDefault="00925EA5">
    <w:pPr>
      <w:pStyle w:val="FSHRub1"/>
    </w:pPr>
    <w:r w:rsidRPr="000E7F2C">
      <w:t>Motion till riksdagen</w:t>
    </w:r>
    <w:r w:rsidRPr="000E7F2C">
      <w:br/>
    </w:r>
    <w:r w:rsidRPr="000E7F2C">
      <w:fldChar w:fldCharType="begin" w:fldLock="1"/>
    </w:r>
    <w:r w:rsidRPr="000E7F2C">
      <w:instrText xml:space="preserve"> DOCPROPERTY "YearUser" *\charformat </w:instrText>
    </w:r>
    <w:r w:rsidRPr="000E7F2C">
      <w:fldChar w:fldCharType="separate"/>
    </w:r>
    <w:r w:rsidR="00770CCC" w:rsidRPr="000E7F2C">
      <w:t>2005/06</w:t>
    </w:r>
    <w:r w:rsidRPr="000E7F2C">
      <w:fldChar w:fldCharType="end"/>
    </w:r>
    <w:r w:rsidRPr="000E7F2C">
      <w:t>:</w:t>
    </w:r>
    <w:r w:rsidRPr="000E7F2C">
      <w:fldChar w:fldCharType="begin" w:fldLock="1"/>
    </w:r>
    <w:r w:rsidRPr="000E7F2C">
      <w:instrText xml:space="preserve"> DOCPROPERTY "Motionsnummer" *\charformat </w:instrText>
    </w:r>
    <w:r w:rsidRPr="000E7F2C">
      <w:fldChar w:fldCharType="separate"/>
    </w:r>
    <w:r w:rsidR="00770CCC" w:rsidRPr="000E7F2C">
      <w:t>N322</w:t>
    </w:r>
    <w:r w:rsidRPr="000E7F2C">
      <w:fldChar w:fldCharType="end"/>
    </w:r>
  </w:p>
  <w:p w:rsidR="00925EA5" w:rsidRPr="000E7F2C" w:rsidRDefault="00925EA5">
    <w:pPr>
      <w:pStyle w:val="FSHNormalS5"/>
    </w:pPr>
    <w:r w:rsidRPr="000E7F2C">
      <w:fldChar w:fldCharType="begin" w:fldLock="1"/>
    </w:r>
    <w:r w:rsidRPr="000E7F2C">
      <w:instrText xml:space="preserve"> DOCPROPERTY "MotionarText" *\charformat </w:instrText>
    </w:r>
    <w:r w:rsidRPr="000E7F2C">
      <w:fldChar w:fldCharType="separate"/>
    </w:r>
    <w:r w:rsidR="00770CCC" w:rsidRPr="000E7F2C">
      <w:t>av Ewa Björling (m)</w:t>
    </w:r>
    <w:r w:rsidRPr="000E7F2C">
      <w:fldChar w:fldCharType="end"/>
    </w:r>
    <w:r w:rsidRPr="000E7F2C">
      <w:br/>
    </w:r>
    <w:r w:rsidRPr="000E7F2C">
      <w:fldChar w:fldCharType="begin" w:fldLock="1"/>
    </w:r>
    <w:r w:rsidRPr="000E7F2C">
      <w:instrText xml:space="preserve"> DOCPROPERTY "SvarFrasKort" *\charformat </w:instrText>
    </w:r>
    <w:r w:rsidRPr="000E7F2C">
      <w:fldChar w:fldCharType="end"/>
    </w:r>
  </w:p>
  <w:p w:rsidR="00925EA5" w:rsidRPr="000E7F2C" w:rsidRDefault="00925EA5">
    <w:pPr>
      <w:pStyle w:val="FSHTitel"/>
    </w:pPr>
    <w:r w:rsidRPr="000E7F2C">
      <w:fldChar w:fldCharType="begin" w:fldLock="1"/>
    </w:r>
    <w:r w:rsidRPr="000E7F2C">
      <w:instrText xml:space="preserve"> DOCPROPERTY</w:instrText>
    </w:r>
    <w:r w:rsidRPr="000E7F2C">
      <w:rPr>
        <w:sz w:val="18"/>
      </w:rPr>
      <w:instrText xml:space="preserve"> "RubrikSvar" *\charformat </w:instrText>
    </w:r>
    <w:r w:rsidRPr="000E7F2C">
      <w:fldChar w:fldCharType="separate"/>
    </w:r>
    <w:r w:rsidR="00770CCC" w:rsidRPr="000E7F2C">
      <w:t>Kärnteknisk forskning</w:t>
    </w:r>
    <w:r w:rsidRPr="000E7F2C">
      <w:fldChar w:fldCharType="end"/>
    </w:r>
  </w:p>
  <w:p w:rsidR="00925EA5" w:rsidRPr="000E7F2C" w:rsidRDefault="00925EA5" w:rsidP="00925EA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7C13"/>
    <w:multiLevelType w:val="multilevel"/>
    <w:tmpl w:val="92D2140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24A2140"/>
    <w:multiLevelType w:val="multilevel"/>
    <w:tmpl w:val="2C147348"/>
    <w:lvl w:ilvl="0">
      <w:start w:val="1"/>
      <w:numFmt w:val="decimal"/>
      <w:pStyle w:val="Rubrik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1259DE"/>
    <w:multiLevelType w:val="hybridMultilevel"/>
    <w:tmpl w:val="B8B2141A"/>
    <w:lvl w:ilvl="0" w:tplc="0B5657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450410">
    <w:abstractNumId w:val="15"/>
  </w:num>
  <w:num w:numId="2" w16cid:durableId="2110199068">
    <w:abstractNumId w:val="11"/>
  </w:num>
  <w:num w:numId="3" w16cid:durableId="61635731">
    <w:abstractNumId w:val="12"/>
  </w:num>
  <w:num w:numId="4" w16cid:durableId="1577789186">
    <w:abstractNumId w:val="13"/>
  </w:num>
  <w:num w:numId="5" w16cid:durableId="916403506">
    <w:abstractNumId w:val="8"/>
  </w:num>
  <w:num w:numId="6" w16cid:durableId="130560219">
    <w:abstractNumId w:val="3"/>
  </w:num>
  <w:num w:numId="7" w16cid:durableId="8600969">
    <w:abstractNumId w:val="2"/>
  </w:num>
  <w:num w:numId="8" w16cid:durableId="1641839326">
    <w:abstractNumId w:val="1"/>
  </w:num>
  <w:num w:numId="9" w16cid:durableId="1501234882">
    <w:abstractNumId w:val="0"/>
  </w:num>
  <w:num w:numId="10" w16cid:durableId="2034962301">
    <w:abstractNumId w:val="9"/>
  </w:num>
  <w:num w:numId="11" w16cid:durableId="1345399777">
    <w:abstractNumId w:val="7"/>
  </w:num>
  <w:num w:numId="12" w16cid:durableId="486896575">
    <w:abstractNumId w:val="6"/>
  </w:num>
  <w:num w:numId="13" w16cid:durableId="866020988">
    <w:abstractNumId w:val="5"/>
  </w:num>
  <w:num w:numId="14" w16cid:durableId="1817380679">
    <w:abstractNumId w:val="4"/>
  </w:num>
  <w:num w:numId="15" w16cid:durableId="1664428171">
    <w:abstractNumId w:val="10"/>
  </w:num>
  <w:num w:numId="16" w16cid:durableId="212010458">
    <w:abstractNumId w:val="16"/>
  </w:num>
  <w:num w:numId="17" w16cid:durableId="842402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F13D6E"/>
    <w:rsid w:val="00003A3C"/>
    <w:rsid w:val="0004381F"/>
    <w:rsid w:val="00064BC3"/>
    <w:rsid w:val="00066775"/>
    <w:rsid w:val="000723F4"/>
    <w:rsid w:val="00072FB9"/>
    <w:rsid w:val="000A7936"/>
    <w:rsid w:val="000E7F2C"/>
    <w:rsid w:val="00100531"/>
    <w:rsid w:val="00201DFB"/>
    <w:rsid w:val="00204A63"/>
    <w:rsid w:val="00212FF1"/>
    <w:rsid w:val="00230193"/>
    <w:rsid w:val="0025068A"/>
    <w:rsid w:val="002818D3"/>
    <w:rsid w:val="002D11A8"/>
    <w:rsid w:val="00356786"/>
    <w:rsid w:val="00445271"/>
    <w:rsid w:val="004A0504"/>
    <w:rsid w:val="004E38D9"/>
    <w:rsid w:val="005B145B"/>
    <w:rsid w:val="00740D6D"/>
    <w:rsid w:val="00770CCC"/>
    <w:rsid w:val="00794149"/>
    <w:rsid w:val="007A2FC0"/>
    <w:rsid w:val="007B67A7"/>
    <w:rsid w:val="007C6092"/>
    <w:rsid w:val="00925EA5"/>
    <w:rsid w:val="0097050B"/>
    <w:rsid w:val="009871FA"/>
    <w:rsid w:val="00A053C6"/>
    <w:rsid w:val="00B13BF0"/>
    <w:rsid w:val="00C1285C"/>
    <w:rsid w:val="00C27B7D"/>
    <w:rsid w:val="00CF7A43"/>
    <w:rsid w:val="00D07D93"/>
    <w:rsid w:val="00D1174F"/>
    <w:rsid w:val="00DC6C70"/>
    <w:rsid w:val="00E22893"/>
    <w:rsid w:val="00E360DE"/>
    <w:rsid w:val="00E75D28"/>
    <w:rsid w:val="00E84F25"/>
    <w:rsid w:val="00F13D6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FAA28D-474D-430A-AF86-84080B78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25EA5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25EA5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25EA5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25EA5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25EA5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25EA5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25EA5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925EA5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925EA5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">
    <w:name w:val="Body Text"/>
    <w:basedOn w:val="Normal"/>
    <w:rsid w:val="00F13D6E"/>
    <w:pPr>
      <w:tabs>
        <w:tab w:val="left" w:pos="7938"/>
      </w:tabs>
      <w:spacing w:line="240" w:lineRule="auto"/>
      <w:ind w:right="-4960"/>
    </w:pPr>
    <w:rPr>
      <w:rFonts w:ascii="Times" w:eastAsia="Times" w:hAnsi="Times"/>
      <w:b/>
      <w:color w:val="0000FF"/>
    </w:rPr>
  </w:style>
  <w:style w:type="paragraph" w:styleId="Brdtext2">
    <w:name w:val="Body Text 2"/>
    <w:basedOn w:val="Normal"/>
    <w:rsid w:val="00F13D6E"/>
    <w:pPr>
      <w:spacing w:line="240" w:lineRule="auto"/>
      <w:ind w:right="-35"/>
    </w:pPr>
    <w:rPr>
      <w:rFonts w:ascii="Times" w:eastAsia="Times" w:hAnsi="Times"/>
      <w:b/>
      <w:color w:val="0000FF"/>
    </w:rPr>
  </w:style>
  <w:style w:type="paragraph" w:customStyle="1" w:styleId="Hemstlrubrik">
    <w:name w:val="Hemstl_rubrik"/>
    <w:basedOn w:val="Rubrik1"/>
    <w:next w:val="Normal"/>
    <w:rsid w:val="00925EA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2FC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987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606</Words>
  <Characters>3497</Characters>
  <Application>Microsoft Office Word</Application>
  <DocSecurity>4</DocSecurity>
  <Lines>62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N322</vt:lpstr>
    </vt:vector>
  </TitlesOfParts>
  <Company>Riksdagen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N322</dc:title>
  <dc:subject>N322</dc:subject>
  <dc:creator>Riksdagen</dc:creator>
  <cp:keywords>Riksdagen</cp:keywords>
  <dc:description/>
  <cp:lastModifiedBy>Lars Brink</cp:lastModifiedBy>
  <cp:revision>2</cp:revision>
  <cp:lastPrinted>2006-01-12T09:55:00Z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Kärnteknisk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Kärnteknisk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Björling (m)</vt:lpwstr>
  </property>
  <property fmtid="{D5CDD505-2E9C-101B-9397-08002B2CF9AE}" pid="26" name="MotionarLista">
    <vt:lpwstr>Björling,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Björling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20052006000000000109000016290069</vt:lpwstr>
  </property>
  <property fmtid="{D5CDD505-2E9C-101B-9397-08002B2CF9AE}" pid="47" name="datum">
    <vt:lpwstr>051003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20052006000000000109000016290069</vt:lpwstr>
  </property>
  <property fmtid="{D5CDD505-2E9C-101B-9397-08002B2CF9AE}" pid="50" name="nummer">
    <vt:lpwstr>322</vt:lpwstr>
  </property>
  <property fmtid="{D5CDD505-2E9C-101B-9397-08002B2CF9AE}" pid="51" name="utskottsbeteckning">
    <vt:lpwstr>N</vt:lpwstr>
  </property>
</Properties>
</file>