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A0918">
        <w:tblPrEx>
          <w:tblCellMar>
            <w:top w:w="0" w:type="dxa"/>
            <w:left w:w="0" w:type="dxa"/>
            <w:bottom w:w="0" w:type="dxa"/>
            <w:right w:w="0" w:type="dxa"/>
          </w:tblCellMar>
        </w:tblPrEx>
        <w:trPr>
          <w:gridAfter w:val="2"/>
          <w:wAfter w:w="1758" w:type="dxa"/>
          <w:cantSplit/>
          <w:trHeight w:val="1320"/>
        </w:trPr>
        <w:tc>
          <w:tcPr>
            <w:tcW w:w="5897" w:type="dxa"/>
          </w:tcPr>
          <w:p w:rsidR="00AA0918" w:rsidRPr="00AA0918" w:rsidRDefault="00AA0918">
            <w:pPr>
              <w:pStyle w:val="HuvudRubrik"/>
            </w:pPr>
            <w:r w:rsidRPr="00AA0918">
              <w:t>Regeringskansliet</w:t>
            </w:r>
          </w:p>
          <w:p w:rsidR="00AA0918" w:rsidRPr="00AA0918" w:rsidRDefault="00AA0918">
            <w:pPr>
              <w:pStyle w:val="HuvudRubrik"/>
            </w:pPr>
            <w:r w:rsidRPr="00AA0918">
              <w:t>Faktapromemoria  2008/09:FPM94</w:t>
            </w:r>
          </w:p>
        </w:tc>
      </w:tr>
      <w:tr w:rsidR="00000000" w:rsidRPr="00AA0918">
        <w:tblPrEx>
          <w:tblCellMar>
            <w:top w:w="0" w:type="dxa"/>
            <w:left w:w="0" w:type="dxa"/>
            <w:bottom w:w="0" w:type="dxa"/>
            <w:right w:w="0" w:type="dxa"/>
          </w:tblCellMar>
        </w:tblPrEx>
        <w:trPr>
          <w:gridAfter w:val="2"/>
          <w:wAfter w:w="1758" w:type="dxa"/>
          <w:cantSplit/>
          <w:trHeight w:val="240"/>
        </w:trPr>
        <w:tc>
          <w:tcPr>
            <w:tcW w:w="5897" w:type="dxa"/>
          </w:tcPr>
          <w:p w:rsidR="00AA0918" w:rsidRPr="00AA0918" w:rsidRDefault="00AA0918">
            <w:pPr>
              <w:pStyle w:val="HuvudRubrik"/>
              <w:rPr>
                <w:sz w:val="28"/>
              </w:rPr>
            </w:pPr>
            <w:r w:rsidRPr="00AA0918">
              <w:t>Kommissionens tredje strategiska översyn av regelförenklingsarbetet</w:t>
            </w:r>
          </w:p>
        </w:tc>
      </w:tr>
      <w:tr w:rsidR="00000000" w:rsidRPr="00AA0918">
        <w:tblPrEx>
          <w:tblCellMar>
            <w:top w:w="0" w:type="dxa"/>
            <w:left w:w="0" w:type="dxa"/>
            <w:bottom w:w="0" w:type="dxa"/>
            <w:right w:w="0" w:type="dxa"/>
          </w:tblCellMar>
        </w:tblPrEx>
        <w:trPr>
          <w:cantSplit/>
          <w:trHeight w:val="285"/>
        </w:trPr>
        <w:tc>
          <w:tcPr>
            <w:tcW w:w="7655" w:type="dxa"/>
            <w:gridSpan w:val="3"/>
          </w:tcPr>
          <w:p w:rsidR="00AA0918" w:rsidRPr="00AA0918" w:rsidRDefault="00AA0918">
            <w:pPr>
              <w:pStyle w:val="Departement"/>
              <w:rPr>
                <w:sz w:val="28"/>
              </w:rPr>
            </w:pPr>
            <w:r w:rsidRPr="00AA0918">
              <w:t>Näringsdepartementet</w:t>
            </w:r>
          </w:p>
        </w:tc>
      </w:tr>
      <w:tr w:rsidR="00000000" w:rsidRPr="00AA0918">
        <w:tblPrEx>
          <w:tblCellMar>
            <w:top w:w="0" w:type="dxa"/>
            <w:left w:w="0" w:type="dxa"/>
            <w:bottom w:w="0" w:type="dxa"/>
            <w:right w:w="0" w:type="dxa"/>
          </w:tblCellMar>
        </w:tblPrEx>
        <w:trPr>
          <w:cantSplit/>
          <w:trHeight w:val="240"/>
        </w:trPr>
        <w:tc>
          <w:tcPr>
            <w:tcW w:w="7655" w:type="dxa"/>
            <w:gridSpan w:val="3"/>
          </w:tcPr>
          <w:p w:rsidR="00AA0918" w:rsidRPr="00AA0918" w:rsidRDefault="00AA0918">
            <w:pPr>
              <w:pStyle w:val="Dokumentdatum"/>
            </w:pPr>
            <w:r w:rsidRPr="00AA0918">
              <w:t>2009-03-02</w:t>
            </w:r>
          </w:p>
        </w:tc>
      </w:tr>
      <w:tr w:rsidR="00000000" w:rsidRPr="00AA0918">
        <w:tblPrEx>
          <w:tblCellMar>
            <w:top w:w="0" w:type="dxa"/>
            <w:left w:w="0" w:type="dxa"/>
            <w:bottom w:w="0" w:type="dxa"/>
            <w:right w:w="0" w:type="dxa"/>
          </w:tblCellMar>
        </w:tblPrEx>
        <w:trPr>
          <w:cantSplit/>
          <w:trHeight w:val="726"/>
        </w:trPr>
        <w:tc>
          <w:tcPr>
            <w:tcW w:w="7655" w:type="dxa"/>
            <w:gridSpan w:val="3"/>
            <w:vAlign w:val="bottom"/>
          </w:tcPr>
          <w:p w:rsidR="00AA0918" w:rsidRPr="00AA0918" w:rsidRDefault="00AA0918">
            <w:pPr>
              <w:pStyle w:val="Dokumentbeteckning"/>
            </w:pPr>
            <w:r w:rsidRPr="00AA0918">
              <w:t>Dokumentbeteckning</w:t>
            </w:r>
          </w:p>
        </w:tc>
      </w:tr>
      <w:tr w:rsidR="00000000" w:rsidRPr="00AA0918">
        <w:tblPrEx>
          <w:tblCellMar>
            <w:top w:w="0" w:type="dxa"/>
            <w:left w:w="0" w:type="dxa"/>
            <w:bottom w:w="0" w:type="dxa"/>
            <w:right w:w="0" w:type="dxa"/>
          </w:tblCellMar>
        </w:tblPrEx>
        <w:trPr>
          <w:gridAfter w:val="1"/>
          <w:wAfter w:w="1560" w:type="dxa"/>
          <w:trHeight w:val="120"/>
        </w:trPr>
        <w:tc>
          <w:tcPr>
            <w:tcW w:w="6095" w:type="dxa"/>
            <w:gridSpan w:val="2"/>
          </w:tcPr>
          <w:p w:rsidR="00AA0918" w:rsidRPr="00AA0918" w:rsidRDefault="00AA0918">
            <w:bookmarkStart w:id="0" w:name="KomNr"/>
            <w:bookmarkEnd w:id="0"/>
            <w:r w:rsidRPr="00AA0918">
              <w:t>KOM (2009) 15</w:t>
            </w:r>
          </w:p>
        </w:tc>
      </w:tr>
      <w:tr w:rsidR="00000000" w:rsidRPr="00AA0918">
        <w:tblPrEx>
          <w:tblCellMar>
            <w:top w:w="0" w:type="dxa"/>
            <w:left w:w="0" w:type="dxa"/>
            <w:bottom w:w="0" w:type="dxa"/>
            <w:right w:w="0" w:type="dxa"/>
          </w:tblCellMar>
        </w:tblPrEx>
        <w:trPr>
          <w:gridAfter w:val="1"/>
          <w:wAfter w:w="1560" w:type="dxa"/>
          <w:trHeight w:val="120"/>
        </w:trPr>
        <w:tc>
          <w:tcPr>
            <w:tcW w:w="6095" w:type="dxa"/>
            <w:gridSpan w:val="2"/>
          </w:tcPr>
          <w:p w:rsidR="00AA0918" w:rsidRPr="00AA0918" w:rsidRDefault="00AA0918">
            <w:pPr>
              <w:pStyle w:val="Dokumentbeteckning-titel"/>
            </w:pPr>
            <w:r w:rsidRPr="00AA0918">
              <w:t>Meddelande från kommissionen till Europaparlamentet, rådet, Europeiska ekonomiska och sociala kommittén samt Regionkommittén - Den tredje strategiska översynen av "Bättre lagstiftning" i Europeiska unionen</w:t>
            </w:r>
          </w:p>
        </w:tc>
      </w:tr>
      <w:tr w:rsidR="00000000" w:rsidRPr="00AA0918">
        <w:tblPrEx>
          <w:tblCellMar>
            <w:top w:w="0" w:type="dxa"/>
            <w:left w:w="0" w:type="dxa"/>
            <w:bottom w:w="0" w:type="dxa"/>
            <w:right w:w="0" w:type="dxa"/>
          </w:tblCellMar>
        </w:tblPrEx>
        <w:trPr>
          <w:gridAfter w:val="1"/>
          <w:wAfter w:w="1560" w:type="dxa"/>
          <w:trHeight w:val="120"/>
        </w:trPr>
        <w:tc>
          <w:tcPr>
            <w:tcW w:w="6095" w:type="dxa"/>
            <w:gridSpan w:val="2"/>
          </w:tcPr>
          <w:p w:rsidR="00AA0918" w:rsidRPr="00AA0918" w:rsidRDefault="00AA0918">
            <w:r w:rsidRPr="00AA0918">
              <w:t>KOM (2009) 16</w:t>
            </w:r>
          </w:p>
        </w:tc>
      </w:tr>
      <w:tr w:rsidR="00000000" w:rsidRPr="00AA0918">
        <w:tblPrEx>
          <w:tblCellMar>
            <w:top w:w="0" w:type="dxa"/>
            <w:left w:w="0" w:type="dxa"/>
            <w:bottom w:w="0" w:type="dxa"/>
            <w:right w:w="0" w:type="dxa"/>
          </w:tblCellMar>
        </w:tblPrEx>
        <w:trPr>
          <w:gridAfter w:val="1"/>
          <w:wAfter w:w="1560" w:type="dxa"/>
          <w:trHeight w:val="120"/>
        </w:trPr>
        <w:tc>
          <w:tcPr>
            <w:tcW w:w="6095" w:type="dxa"/>
            <w:gridSpan w:val="2"/>
          </w:tcPr>
          <w:p w:rsidR="00AA0918" w:rsidRPr="00AA0918" w:rsidRDefault="00AA0918">
            <w:pPr>
              <w:pStyle w:val="Dokumentbeteckning-titel"/>
            </w:pPr>
            <w:r w:rsidRPr="00AA0918">
              <w:t>Kommissionens arbetsdokument - Minskning av administrativa bördor i Europeiska unionen</w:t>
            </w:r>
          </w:p>
        </w:tc>
      </w:tr>
      <w:tr w:rsidR="00000000" w:rsidRPr="00AA0918">
        <w:tblPrEx>
          <w:tblCellMar>
            <w:top w:w="0" w:type="dxa"/>
            <w:left w:w="0" w:type="dxa"/>
            <w:bottom w:w="0" w:type="dxa"/>
            <w:right w:w="0" w:type="dxa"/>
          </w:tblCellMar>
        </w:tblPrEx>
        <w:trPr>
          <w:gridAfter w:val="1"/>
          <w:wAfter w:w="1560" w:type="dxa"/>
          <w:trHeight w:val="120"/>
        </w:trPr>
        <w:tc>
          <w:tcPr>
            <w:tcW w:w="6095" w:type="dxa"/>
            <w:gridSpan w:val="2"/>
          </w:tcPr>
          <w:p w:rsidR="00AA0918" w:rsidRPr="00AA0918" w:rsidRDefault="00AA0918">
            <w:r w:rsidRPr="00AA0918">
              <w:t>KOM (2009) 17</w:t>
            </w:r>
          </w:p>
        </w:tc>
      </w:tr>
      <w:tr w:rsidR="00000000" w:rsidRPr="00AA0918">
        <w:tblPrEx>
          <w:tblCellMar>
            <w:top w:w="0" w:type="dxa"/>
            <w:left w:w="0" w:type="dxa"/>
            <w:bottom w:w="0" w:type="dxa"/>
            <w:right w:w="0" w:type="dxa"/>
          </w:tblCellMar>
        </w:tblPrEx>
        <w:trPr>
          <w:gridAfter w:val="1"/>
          <w:wAfter w:w="1560" w:type="dxa"/>
          <w:trHeight w:val="120"/>
        </w:trPr>
        <w:tc>
          <w:tcPr>
            <w:tcW w:w="6095" w:type="dxa"/>
            <w:gridSpan w:val="2"/>
          </w:tcPr>
          <w:p w:rsidR="00AA0918" w:rsidRPr="00AA0918" w:rsidRDefault="00AA0918">
            <w:pPr>
              <w:pStyle w:val="Dokumentbeteckning-titel"/>
            </w:pPr>
            <w:r w:rsidRPr="00AA0918">
              <w:t>Kommissionens arbetsdokument - Tredje lägesrapporten om strategin för förenkling av lagstiftningen</w:t>
            </w:r>
          </w:p>
        </w:tc>
      </w:tr>
    </w:tbl>
    <w:p w:rsidR="00AA0918" w:rsidRPr="00AA0918" w:rsidRDefault="00AA0918"/>
    <w:p w:rsidR="00AA0918" w:rsidRPr="00AA0918" w:rsidRDefault="00AA0918">
      <w:pPr>
        <w:pStyle w:val="Rubrik1"/>
        <w:numPr>
          <w:ilvl w:val="0"/>
          <w:numId w:val="0"/>
        </w:numPr>
      </w:pPr>
      <w:r w:rsidRPr="00AA0918">
        <w:t>Sammanfattning</w:t>
      </w:r>
    </w:p>
    <w:p w:rsidR="00AA0918" w:rsidRPr="00AA0918" w:rsidRDefault="00AA0918">
      <w:r w:rsidRPr="00AA0918">
        <w:t>Kommissionen presenterade i slutet av januari 2009 sin tredje strategiska översyn av regelförenklingsarbetet inom EU. Den belyser hur långt arbetet har kommit med bl.a. mätningar av företagens administrativa kostnader, förenkling av befintligt regelverk och minskning av företagens administrativa bördor samt användningen av konsekvensanalyser. Den strategiska översynen indikerar i stora drag att betydande framsteg har gjorts med att förbättra lagstiftningen inom EU, bl.a. i arbetet med kommissionens rulland</w:t>
      </w:r>
      <w:r w:rsidRPr="00AA0918">
        <w:t>e förenklingsprogram och åtgärdsprogram för minskning av administrativa bördor. I vissa avseenden, särskilt vad gäller rådets och parlamentets arbete med att anta regelförenklingsinitiativ inom ramen för medbeslutandeförfarandet, behöver dock processen föras snabbare framåt. Kommissionen framhåller vikten av att gemensamma ansträngningar görs av EU-institutionerna och medlemsstaterna i det fortsatta regelförenklingsarbetet.</w:t>
      </w:r>
    </w:p>
    <w:p w:rsidR="00AA0918" w:rsidRPr="00AA0918" w:rsidRDefault="00AA0918">
      <w:r w:rsidRPr="00AA0918">
        <w:t>Regeringen ser positivt på kommissionens arbete med regelförenkling.</w:t>
      </w:r>
    </w:p>
    <w:p w:rsidR="00AA0918" w:rsidRPr="00AA0918" w:rsidRDefault="00AA0918"/>
    <w:p w:rsidR="00AA0918" w:rsidRPr="00AA0918" w:rsidRDefault="00AA0918">
      <w:pPr>
        <w:pStyle w:val="Rubrik1"/>
      </w:pPr>
      <w:r w:rsidRPr="00AA0918">
        <w:t>Förslaget</w:t>
      </w:r>
    </w:p>
    <w:p w:rsidR="00AA0918" w:rsidRPr="00AA0918" w:rsidRDefault="00AA0918">
      <w:pPr>
        <w:pStyle w:val="Rubrik2"/>
      </w:pPr>
      <w:r w:rsidRPr="00AA0918">
        <w:t>Ärendets bakgrund</w:t>
      </w:r>
    </w:p>
    <w:p w:rsidR="00AA0918" w:rsidRPr="00AA0918" w:rsidRDefault="00AA0918">
      <w:r w:rsidRPr="00AA0918">
        <w:t>Kommissionen presenterade hösten 2005 sitt första rullande förenklingsprogram (KOM (2005) 535, slutlig) som uppdaterades genom nya initiativ i november 2006 (KOM (2006) 689, 690 och 691) för att stärka arbetet med regelförenkling. Till de första omkring 100 initiativen, som berör ca 220 rättsakter, lades ytterligare 43 initiativ, vilka kommer att vara föremål för åtgärder under åren 2006-2009. Det handlar i första hand om att förenkla gällande regler, höja kvaliteten på och öka användningen av konsekvensan</w:t>
      </w:r>
      <w:r w:rsidRPr="00AA0918">
        <w:t>alyser när nya regler utarbetas samt minska den administrativa bördan för Europas företag. Vidare aviserades mätningar av administrativa kostnader inom 13 prioriterade områden. Åtgärdsprogrammet för minskning av administrativa bördor antogs av kommissionen i januari 2007 (KOM(2007)23).</w:t>
      </w:r>
    </w:p>
    <w:p w:rsidR="00AA0918" w:rsidRPr="00AA0918" w:rsidRDefault="00AA0918">
      <w:r w:rsidRPr="00AA0918">
        <w:t>Vid Europeiska rådets möte i mars 2007 antogs kommissionens åtgärdsprogram. Vidare enades Europeiska rådet om att administrativa bördor hänförliga till EU:s regelverk bör minskas med 25 procent till år 2012. Rådet uppmanade v</w:t>
      </w:r>
      <w:r w:rsidRPr="00AA0918">
        <w:t xml:space="preserve">idare medlemsstaterna att sätta motsvarande ambitiösa mål på nationell nivå, vilket till årsskiftet 2008/09  har gjorts av 21 medlemsstater. </w:t>
      </w:r>
    </w:p>
    <w:p w:rsidR="00AA0918" w:rsidRPr="00AA0918" w:rsidRDefault="00AA0918">
      <w:pPr>
        <w:pStyle w:val="Rubrik2"/>
      </w:pPr>
      <w:r w:rsidRPr="00AA0918">
        <w:t>Förslagets innehåll</w:t>
      </w:r>
    </w:p>
    <w:p w:rsidR="00AA0918" w:rsidRPr="00AA0918" w:rsidRDefault="00AA0918">
      <w:pPr>
        <w:rPr>
          <w:szCs w:val="19"/>
        </w:rPr>
      </w:pPr>
      <w:r w:rsidRPr="00AA0918">
        <w:rPr>
          <w:szCs w:val="19"/>
        </w:rPr>
        <w:t>Kommissionen presenterade i slutet av januari 2009 sin tredje strategiska översyn av regelförenklingsarbetet inom EU. Den belyser hur långt arbetet har kommit med bl.a. mätningar av företagens administrativa kostnader, förenkling av befintligt regelverk och minskning av företagens administrativa bördor samt användningen av konsekvensanalyser. Den strategiska översynen indikerar i stora drag att betydande framsteg har gjorts med att förbättra lagstiftningen inom EU, bl.a. i arbetet med kommissionens rulland</w:t>
      </w:r>
      <w:r w:rsidRPr="00AA0918">
        <w:rPr>
          <w:szCs w:val="19"/>
        </w:rPr>
        <w:t>e förenklingsprogram och åtgärdsprogram för minskning av administrativa bördor. I vissa avseenden, särskilt vad gäller rådets och parlamentets arbete med att anta regelförenklingsinitiativ inom ramen för medbeslutandeförfarandet, behöver dock processen föras snabbare framåt.</w:t>
      </w:r>
    </w:p>
    <w:p w:rsidR="00AA0918" w:rsidRPr="00AA0918" w:rsidRDefault="00AA0918"/>
    <w:p w:rsidR="00AA0918" w:rsidRPr="00AA0918" w:rsidRDefault="00AA0918">
      <w:r w:rsidRPr="00AA0918">
        <w:t>Regelförenklingsarbetet på EU-nivå består av flera olika delar. Kommissionen presenterade hösten 2005 sitt första rullande förenklingsprogram, som därefter har uppdaterats med nya initiativ under 2006-2009. Det finns för närvarande ca 185 förenklingsinitiativ inom ramen för programmet. Kommissionen har hittills lagt fram förslag som förenklingar avseende 132 av dessa initiativ och själv antagit 75 av dem. Ett stort antal av de initiativ som beslutats av kommissionen är lagstiftningsförslag som kräver godkän</w:t>
      </w:r>
      <w:r w:rsidRPr="00AA0918">
        <w:t>nande av parlamentet och rådet, den återstående delen är rättsakter som kommissionen kan besluta om. Rådet och parlamentet hade till årsskiftet 2008/09 endast antagit 39 lagstiftningsförslag och 50 förslag ligger fortfarande och väntar på beslut inom ramen för medbeslutandeförfarandet. Kommissionen kommer under 2009 att presentera 33 nya förenklingsinitiativ inom ramen för det rullande förenklingsprogrammet.</w:t>
      </w:r>
    </w:p>
    <w:p w:rsidR="00AA0918" w:rsidRPr="00AA0918" w:rsidRDefault="00AA0918">
      <w:pPr>
        <w:rPr>
          <w:szCs w:val="19"/>
        </w:rPr>
      </w:pPr>
      <w:r w:rsidRPr="00AA0918">
        <w:rPr>
          <w:szCs w:val="19"/>
        </w:rPr>
        <w:t>Processen att minska de administrativa bördorna hänförliga till EU:s regelverk sker i flera steg. Ko</w:t>
      </w:r>
      <w:r w:rsidRPr="00AA0918">
        <w:rPr>
          <w:szCs w:val="19"/>
        </w:rPr>
        <w:t>mmissionen har låtit genomföra mätningar av företagens administrativa kostnader inom 13 prioriterade områden, totalt 42 rättsakter, vilka bedömts stå för ca 80 procent av företagens administrativa bördor. Mätningarna blev klara mot slutet av år 2008 och indikerar att de administrativa kostnaderna på områden som mäts uppgår till ca 115 – 130 miljarder euro. Tidigare, i avvaktan på slutförandet av mätningarna, lanserade kommissionen i två omgångar, våren 2007 respektive våren 2008,  totalt 21 enklare, omedelb</w:t>
      </w:r>
      <w:r w:rsidRPr="00AA0918">
        <w:rPr>
          <w:szCs w:val="19"/>
        </w:rPr>
        <w:t xml:space="preserve">ara förenklingsåtgärder, s.k. </w:t>
      </w:r>
      <w:r w:rsidRPr="00AA0918">
        <w:rPr>
          <w:i/>
          <w:szCs w:val="19"/>
        </w:rPr>
        <w:t>fast-track actions</w:t>
      </w:r>
      <w:r w:rsidRPr="00AA0918">
        <w:rPr>
          <w:szCs w:val="19"/>
        </w:rPr>
        <w:t>, vilka avser ge snabba minskningseffekt på företagens administrativa kostnader i storleksordningen 2,3 miljarder euro, totalt.  Vid sidan härav har kommissionen fristående lanserat ett antal minskningsförslag avseende 16 av de 42 ovan åsyftade rättsakterna. Efter att mätningarna har slutförts har kommissionen utlovat att nya förslag för att minska företagens administrativa bördor ska presenteras senare under 2009. Kommissionen har självt uppskattat besparings</w:t>
      </w:r>
      <w:r w:rsidRPr="00AA0918">
        <w:rPr>
          <w:szCs w:val="19"/>
        </w:rPr>
        <w:t>potentialen i liggande och kommande minskningsförslag till i runda tal 30 miljarder euro. Det kan i sammanhanget nämnas att den rådgivande högnivågruppen av oberoende intressenter för minskning av administrativa bördor under ledning av Edmund Stoiber, som kommissionen inrättade i augusti 2007, avgav under år 2008 flera yttranden kring hur arbetet med att minska företagens administrativa bördorna bör fortskrida. Kommissionen har även haft samråd med externa intressenter  via andra kanaler och har t.ex. emott</w:t>
      </w:r>
      <w:r w:rsidRPr="00AA0918">
        <w:rPr>
          <w:szCs w:val="19"/>
        </w:rPr>
        <w:t>agit 237 förslag, via den för ändamålet inrättade webbplatsen samt i rapporter och brev, om hur de administrativa bördorna skulle kunna minskas. Kommissionen har hittills valt att arbeta vidare med 27 av dessa idéer om hur bördorna kan minskas. Kommissionen har även låtit meddela att omfattningen av åtgärdsprogrammet för minskning av företagens administrativa bördor utvidgas med ytterligare 30 rättsakter utöver de ursprungliga 42 rättsakterna som har varit föremål för mätningar.</w:t>
      </w:r>
    </w:p>
    <w:p w:rsidR="00AA0918" w:rsidRPr="00AA0918" w:rsidRDefault="00AA0918"/>
    <w:p w:rsidR="00AA0918" w:rsidRPr="00AA0918" w:rsidRDefault="00AA0918">
      <w:r w:rsidRPr="00AA0918">
        <w:t>Arbetet med att förbättra konsekvensanalyserna av ny lagstiftning på EU-nivå fortsätter. Som ett led i detta arbetet inrättande kommissionen i november 2006 en  konsekvensbedömningsnämnd för att granska kvaliteten på konsekvensanalyserna. Nämnden har under år 2008 avgett drygt 180 yttranden över utkast till konsekvensanalyser från kommissionen. Vidare har kommissionen under 2008 sett över riktlinjerna för konsekvensanalyser i syfte att förbättra deras användning och kvalitet. Kommissionen genomförde 2008 13</w:t>
      </w:r>
      <w:r w:rsidRPr="00AA0918">
        <w:t>5 konsekvensanalyser att jämföra med 20 stycken år 2003. Under år 2009 räknar kommissionen med att utföra ca 100 konsekvensanalyser. Kommissionen framhåller att rådet och parlamentet behöver stärka sitt arbete med konsekvensanalyser och nämner i sammanhanget de tre institutionernas översyn av det gemensamma angreppssättet avseende konsekvensanalyser som  kommer att mynna ut i en slutrapport under 2009.</w:t>
      </w:r>
    </w:p>
    <w:p w:rsidR="00AA0918" w:rsidRPr="00AA0918" w:rsidRDefault="00AA0918">
      <w:r w:rsidRPr="00AA0918">
        <w:t>Vidare fortsätter arbetet med kommissionens kodifieringsprogram. Genom förenklingar och kodifiering av bef</w:t>
      </w:r>
      <w:r w:rsidRPr="00AA0918">
        <w:t>intligt regelverk har innevarande kommission vidtagit åtgärder som kommer att minska gemenskapsrättens volym med ca 10 procent enligt kommissionens uppskattning. Kommissionen fortsätter också med sin översyn av gemenskapsrätten och arbetet med att tillse att gemenskapsrätten implementeras och tillämpas korrekt i medlemsstaterna. Genom översynen av gemenskapsrätten har kommissionen identifierat 81 nya åtgärder som inkommande kommission kan överväga för framtida förenklingsprogram.</w:t>
      </w:r>
    </w:p>
    <w:p w:rsidR="00AA0918" w:rsidRPr="00AA0918" w:rsidRDefault="00AA0918">
      <w:r w:rsidRPr="00AA0918">
        <w:t>Kommissionen framhåller vik</w:t>
      </w:r>
      <w:r w:rsidRPr="00AA0918">
        <w:t>ten av att gemensamma ansträngningar görs av EU-institutionerna och medlemsstaterna i det fortsatta regelförenklingsarbetet, inte minst ifråga om arbetet med att minska företagens administrativa bördor. Rådet och parlamentet inbjuds till att så snart som möjligt anta liggande förenklingsförslag. De sex medlemsstater som vid årsskiftet 2008/09 inte satt nationella mål för minskning av de administrativa bördorna uppmanas av kommissionen att göra det före Europeiska rådets vårmöte 2009. De medlemsstater som, t</w:t>
      </w:r>
      <w:r w:rsidRPr="00AA0918">
        <w:t xml:space="preserve">ill skillnad från Sverige, ännu inte slutfört sina nationella basmätningar av företagens administrativa kostnader inbjuds av kommissionen till att göra det före utgången av år 2010. Kommissionen har tagit fram ett s.k. </w:t>
      </w:r>
      <w:r w:rsidRPr="00AA0918">
        <w:rPr>
          <w:i/>
        </w:rPr>
        <w:t>starter kit</w:t>
      </w:r>
      <w:r w:rsidRPr="00AA0918">
        <w:t xml:space="preserve"> i försök att underlätta medlemsstaters mätningar och minskning av administrativa bördor. Vidare kommer kommissionen å sin sida bl.a. att fortsätta arbetet med förenklingsförslag och minskning av företagens administrativa bördor samt fortsätta sitt arbete för att stärka användninge</w:t>
      </w:r>
      <w:r w:rsidRPr="00AA0918">
        <w:t>n av och kvaliteten på konsekvensanalyserna. Det kan härvid nämnas att ett nytt IT-verktyg förväntas kunna underlätta beaktandet av administrativa bördor i samband med ny regelgivning. I linje med den s.k.</w:t>
      </w:r>
      <w:r w:rsidRPr="00AA0918">
        <w:rPr>
          <w:i/>
        </w:rPr>
        <w:t xml:space="preserve"> ”Small Business Act” för Europa, </w:t>
      </w:r>
      <w:r w:rsidRPr="00AA0918">
        <w:t>har kommissionen även låtit meddela intentionen om att tillämpa gemensamma ikraftträdandedatum för framtida regleringar och beslut som berör företagen, vilket förväntas underlätta för småföretagen att bättre kunna anpassa sig till legislativa förändringar.</w:t>
      </w:r>
    </w:p>
    <w:p w:rsidR="00AA0918" w:rsidRPr="00AA0918" w:rsidRDefault="00AA0918"/>
    <w:p w:rsidR="00AA0918" w:rsidRPr="00AA0918" w:rsidRDefault="00AA0918">
      <w:pPr>
        <w:pStyle w:val="Rubrik2"/>
      </w:pPr>
      <w:r w:rsidRPr="00AA0918">
        <w:t>Gällande svenska regler och förslagets effekt på dessa</w:t>
      </w:r>
    </w:p>
    <w:p w:rsidR="00AA0918" w:rsidRPr="00AA0918" w:rsidRDefault="00AA0918">
      <w:r w:rsidRPr="00AA0918">
        <w:t>-</w:t>
      </w:r>
    </w:p>
    <w:p w:rsidR="00AA0918" w:rsidRPr="00AA0918" w:rsidRDefault="00AA0918">
      <w:pPr>
        <w:pStyle w:val="Rubrik2"/>
      </w:pPr>
      <w:r w:rsidRPr="00AA0918">
        <w:t>Budgetära konsekvenser / Konsekvensanalys</w:t>
      </w:r>
    </w:p>
    <w:p w:rsidR="00AA0918" w:rsidRPr="00AA0918" w:rsidRDefault="00AA0918">
      <w:r w:rsidRPr="00AA0918">
        <w:t>-</w:t>
      </w:r>
    </w:p>
    <w:p w:rsidR="00AA0918" w:rsidRPr="00AA0918" w:rsidRDefault="00AA0918">
      <w:pPr>
        <w:pStyle w:val="Rubrik1"/>
      </w:pPr>
      <w:r w:rsidRPr="00AA0918">
        <w:t>Ståndpunkter</w:t>
      </w:r>
    </w:p>
    <w:p w:rsidR="00AA0918" w:rsidRPr="00AA0918" w:rsidRDefault="00AA0918">
      <w:pPr>
        <w:pStyle w:val="Rubrik2"/>
      </w:pPr>
      <w:r w:rsidRPr="00AA0918">
        <w:t>Preliminär svensk ståndpunkt</w:t>
      </w:r>
    </w:p>
    <w:p w:rsidR="00AA0918" w:rsidRPr="00AA0918" w:rsidRDefault="00AA0918">
      <w:r w:rsidRPr="00AA0918">
        <w:t>Regeringen stödjer sedan tidigare kommissionens rullande förenklingsprogram och åtgärdsprogram för minskning av företagens administrativa bördor och det mål som antogs vid Europeiska rådets vårtoppmöte i mars 2007 om att administrativa bördor hänförliga till EU:s regelverk bör minskas med 25 procent till år 2012. Det är även viktigt att fortsätta ansträngningar görs för att bl.a. stärka användningen av och kvaliteten på konsekvensanalyserna i samband med ny regelgivning. Allt detta ligger i linje med reger</w:t>
      </w:r>
      <w:r w:rsidRPr="00AA0918">
        <w:t>ingens höga regelförenklingsambitioner på nationell nivå. EU:s rättsakter behöver ses över, moderniseras och förenklas för att stärka företagens konkurrenskraft. Varje förenklingsförslag på EU-nivå får bedömas var för sig när det väl presenteras.</w:t>
      </w:r>
    </w:p>
    <w:p w:rsidR="00AA0918" w:rsidRPr="00AA0918" w:rsidRDefault="00AA0918">
      <w:pPr>
        <w:pStyle w:val="Rubrik2"/>
      </w:pPr>
      <w:r w:rsidRPr="00AA0918">
        <w:t>Medlemsstaternas ståndpunkter</w:t>
      </w:r>
    </w:p>
    <w:p w:rsidR="00AA0918" w:rsidRPr="00AA0918" w:rsidRDefault="00AA0918">
      <w:r w:rsidRPr="00AA0918">
        <w:t xml:space="preserve">Ännu inte kända. Allmänt sett är dock regelförenkling en prioriterad fråga för flertalet medlemsstater. </w:t>
      </w:r>
    </w:p>
    <w:p w:rsidR="00AA0918" w:rsidRPr="00AA0918" w:rsidRDefault="00AA0918">
      <w:pPr>
        <w:pStyle w:val="Rubrik2"/>
      </w:pPr>
      <w:r w:rsidRPr="00AA0918">
        <w:t>Institutionernas ståndpunkter</w:t>
      </w:r>
    </w:p>
    <w:p w:rsidR="00AA0918" w:rsidRPr="00AA0918" w:rsidRDefault="00AA0918">
      <w:r w:rsidRPr="00AA0918">
        <w:t>Ännu inte kända. Regelförenklingsarbetet står dock sedan tidigare högt på EU:s dagordning för Lissabonstrategin</w:t>
      </w:r>
    </w:p>
    <w:p w:rsidR="00AA0918" w:rsidRPr="00AA0918" w:rsidRDefault="00AA0918">
      <w:pPr>
        <w:pStyle w:val="Rubrik2"/>
      </w:pPr>
      <w:r w:rsidRPr="00AA0918">
        <w:t>Remissinstansernas ståndpunkter</w:t>
      </w:r>
    </w:p>
    <w:p w:rsidR="00AA0918" w:rsidRPr="00AA0918" w:rsidRDefault="00AA0918">
      <w:r w:rsidRPr="00AA0918">
        <w:t>-</w:t>
      </w:r>
    </w:p>
    <w:p w:rsidR="00AA0918" w:rsidRPr="00AA0918" w:rsidRDefault="00AA0918">
      <w:pPr>
        <w:pStyle w:val="Rubrik1"/>
      </w:pPr>
      <w:r w:rsidRPr="00AA0918">
        <w:t>Förslagets förutsättningar</w:t>
      </w:r>
    </w:p>
    <w:p w:rsidR="00AA0918" w:rsidRPr="00AA0918" w:rsidRDefault="00AA0918">
      <w:pPr>
        <w:pStyle w:val="Rubrik2"/>
      </w:pPr>
      <w:r w:rsidRPr="00AA0918">
        <w:t>Rättslig grund och beslutsförfarande</w:t>
      </w:r>
    </w:p>
    <w:p w:rsidR="00AA0918" w:rsidRPr="00AA0918" w:rsidRDefault="00AA0918">
      <w:r w:rsidRPr="00AA0918">
        <w:t>-</w:t>
      </w:r>
    </w:p>
    <w:p w:rsidR="00AA0918" w:rsidRPr="00AA0918" w:rsidRDefault="00AA0918">
      <w:pPr>
        <w:pStyle w:val="Rubrik2"/>
      </w:pPr>
      <w:r w:rsidRPr="00AA0918">
        <w:t>Subsidiaritets- och proportionalitetsprincipen</w:t>
      </w:r>
    </w:p>
    <w:p w:rsidR="00AA0918" w:rsidRPr="00AA0918" w:rsidRDefault="00AA0918">
      <w:r w:rsidRPr="00AA0918">
        <w:t>-</w:t>
      </w:r>
    </w:p>
    <w:p w:rsidR="00AA0918" w:rsidRPr="00AA0918" w:rsidRDefault="00AA0918">
      <w:pPr>
        <w:pStyle w:val="Rubrik1"/>
      </w:pPr>
      <w:r w:rsidRPr="00AA0918">
        <w:t>Övrigt</w:t>
      </w:r>
    </w:p>
    <w:p w:rsidR="00AA0918" w:rsidRPr="00AA0918" w:rsidRDefault="00AA0918">
      <w:pPr>
        <w:pStyle w:val="Rubrik2"/>
      </w:pPr>
      <w:r w:rsidRPr="00AA0918">
        <w:t>Fortsatt behandling av ärendet</w:t>
      </w:r>
    </w:p>
    <w:p w:rsidR="00AA0918" w:rsidRPr="00AA0918" w:rsidRDefault="00AA0918">
      <w:r w:rsidRPr="00AA0918">
        <w:t>Regelförenklingsarbetet står, såsom ovan nämnts, högt på EU:s dagordning för Lissabonstrategin och det kommer att vara i betydande fokus under det fortsatt tjeckiska ordförandeskapet våren 2009. Nya rådslutsatser om det  fortsatta regelförenklingsarbetet planeras antas under våren 2009.</w:t>
      </w:r>
    </w:p>
    <w:p w:rsidR="00AA0918" w:rsidRPr="00AA0918" w:rsidRDefault="00AA0918"/>
    <w:p w:rsidR="00AA0918" w:rsidRPr="00AA0918" w:rsidRDefault="00AA0918">
      <w:pPr>
        <w:pStyle w:val="Rubrik2"/>
      </w:pPr>
      <w:r w:rsidRPr="00AA0918">
        <w:t>Fackuttryck/termer</w:t>
      </w:r>
    </w:p>
    <w:p w:rsidR="00AA0918" w:rsidRPr="00AA0918" w:rsidRDefault="00AA0918">
      <w:r w:rsidRPr="00AA0918">
        <w:t>-</w:t>
      </w:r>
    </w:p>
    <w:sectPr w:rsidR="00000000" w:rsidRPr="00AA091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0918" w:rsidRPr="00AA0918" w:rsidRDefault="00AA0918">
      <w:r w:rsidRPr="00AA0918">
        <w:separator/>
      </w:r>
    </w:p>
  </w:endnote>
  <w:endnote w:type="continuationSeparator" w:id="0">
    <w:p w:rsidR="00AA0918" w:rsidRPr="00AA0918" w:rsidRDefault="00AA0918">
      <w:r w:rsidRPr="00AA09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918" w:rsidRPr="00AA0918" w:rsidRDefault="00AA091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918" w:rsidRPr="00AA0918" w:rsidRDefault="00AA0918">
    <w:pPr>
      <w:pStyle w:val="SidfotH"/>
      <w:framePr w:wrap="around"/>
    </w:pPr>
    <w:r w:rsidRPr="00AA0918">
      <w:t>6</w:t>
    </w:r>
  </w:p>
  <w:p w:rsidR="00AA0918" w:rsidRPr="00AA0918" w:rsidRDefault="00AA091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918" w:rsidRPr="00AA0918" w:rsidRDefault="00AA0918">
    <w:pPr>
      <w:pStyle w:val="SidfotH"/>
      <w:framePr w:wrap="around"/>
    </w:pPr>
    <w:r w:rsidRPr="00AA0918">
      <w:t>1</w:t>
    </w:r>
  </w:p>
  <w:p w:rsidR="00AA0918" w:rsidRPr="00AA0918" w:rsidRDefault="00AA09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0918" w:rsidRPr="00AA0918" w:rsidRDefault="00AA0918">
      <w:r w:rsidRPr="00AA0918">
        <w:separator/>
      </w:r>
    </w:p>
  </w:footnote>
  <w:footnote w:type="continuationSeparator" w:id="0">
    <w:p w:rsidR="00AA0918" w:rsidRPr="00AA0918" w:rsidRDefault="00AA0918">
      <w:r w:rsidRPr="00AA09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918" w:rsidRPr="00AA0918" w:rsidRDefault="00AA091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918" w:rsidRPr="00AA0918" w:rsidRDefault="00AA0918">
    <w:pPr>
      <w:pStyle w:val="Kantrubrik"/>
      <w:framePr w:h="1157" w:hRule="exact" w:wrap="around" w:y="738"/>
    </w:pPr>
    <w:r w:rsidRPr="00AA0918">
      <w:t>2008/09:FPM94</w:t>
    </w:r>
  </w:p>
  <w:p w:rsidR="00AA0918" w:rsidRPr="00AA0918" w:rsidRDefault="00AA091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918" w:rsidRPr="00AA0918" w:rsidRDefault="00AA0918">
    <w:pPr>
      <w:pStyle w:val="Sidhuvud"/>
    </w:pPr>
    <w:r w:rsidRPr="00AA091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9773210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0918" w:rsidRDefault="00AA091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41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AA0918" w:rsidRDefault="00AA0918">
                    <w:pPr>
                      <w:pStyle w:val="Logo"/>
                    </w:pPr>
                    <w:r>
                      <w:object w:dxaOrig="840" w:dyaOrig="1545">
                        <v:shape id="_x0000_i1025" type="#_x0000_t75" style="width:42pt;height:77.5pt" filled="t">
                          <v:imagedata r:id="rId1" o:title=""/>
                        </v:shape>
                        <o:OLEObject Type="Embed" ProgID="Word.Picture.8" ShapeID="_x0000_i1025" DrawAspect="Content" ObjectID="_182751041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55143110">
    <w:abstractNumId w:val="4"/>
  </w:num>
  <w:num w:numId="2" w16cid:durableId="1482651060">
    <w:abstractNumId w:val="1"/>
  </w:num>
  <w:num w:numId="3" w16cid:durableId="1209100985">
    <w:abstractNumId w:val="2"/>
  </w:num>
  <w:num w:numId="4" w16cid:durableId="8878532">
    <w:abstractNumId w:val="3"/>
  </w:num>
  <w:num w:numId="5" w16cid:durableId="451099676">
    <w:abstractNumId w:val="5"/>
  </w:num>
  <w:num w:numId="6" w16cid:durableId="1226838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3-13"/>
    <w:docVar w:name="Ar" w:val="2008/09"/>
    <w:docVar w:name="Dep" w:val="Näringsdepartementet"/>
    <w:docVar w:name="DepWeb" w:val="Näringsdepartementet"/>
    <w:docVar w:name="GDB1" w:val="KOM (2009) 15"/>
    <w:docVar w:name="GDB10" w:val=" "/>
    <w:docVar w:name="GDB11" w:val=" "/>
    <w:docVar w:name="GDB12" w:val=" "/>
    <w:docVar w:name="GDB13" w:val=" "/>
    <w:docVar w:name="GDB2" w:val="KOM (2009) 16"/>
    <w:docVar w:name="GDB3" w:val="KOM (2009) 17"/>
    <w:docVar w:name="GDB4" w:val=" "/>
    <w:docVar w:name="GDB5" w:val=" "/>
    <w:docVar w:name="GDB6" w:val=" "/>
    <w:docVar w:name="GDB7" w:val=" "/>
    <w:docVar w:name="GDB8" w:val=" "/>
    <w:docVar w:name="GDB9" w:val=" "/>
    <w:docVar w:name="GDT1" w:val="Meddelande från kommissionen till Europaparlamentet, rådet, Europeiska ekonomiska och sociala kommittén samt Regionkommittén - Den tredje strategiska översynen av &quot;Bättre lagstiftning&quot; i Europeiska unionen"/>
    <w:docVar w:name="GDT10" w:val=" "/>
    <w:docVar w:name="GDT11" w:val=" "/>
    <w:docVar w:name="GDT12" w:val=" "/>
    <w:docVar w:name="GDT13" w:val=" "/>
    <w:docVar w:name="GDT2" w:val="Kommissionens arbetsdokument - Minskning av administrativa bördor i Europeiska unionen"/>
    <w:docVar w:name="GDT3" w:val="Kommissionens arbetsdokument - Tredje lägesrapporten om strategin för förenkling av lagstiftningen"/>
    <w:docVar w:name="GDT4" w:val=" "/>
    <w:docVar w:name="GDT5" w:val=" "/>
    <w:docVar w:name="GDT6" w:val=" "/>
    <w:docVar w:name="GDT7" w:val=" "/>
    <w:docVar w:name="GDT8" w:val=" "/>
    <w:docVar w:name="GDT9" w:val=" "/>
    <w:docVar w:name="GDTWeb" w:val="KOM (2009) 15, KOM (2009) 16, KOM (2009) 17"/>
    <w:docVar w:name="Nr" w:val="94"/>
    <w:docVar w:name="RD_APPVERSION" w:val="3.00"/>
    <w:docVar w:name="Rub" w:val="Kommissionens tredje strategiska översyn av regelförenklingsarbetet"/>
    <w:docVar w:name="UppDat" w:val="2009-03-02"/>
    <w:docVar w:name="Utsk" w:val="Näringsutskottet"/>
  </w:docVars>
  <w:rsids>
    <w:rsidRoot w:val="004A3CA5"/>
    <w:rsid w:val="004A3CA5"/>
    <w:rsid w:val="00AA091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EA1775B-25FE-4D17-A2D2-CB695D4FA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Brdtext">
    <w:name w:val="Body Text"/>
    <w:basedOn w:val="Normal"/>
    <w:next w:val="Brdtextmedindrag"/>
    <w:link w:val="BrdtextChar"/>
    <w:pPr>
      <w:tabs>
        <w:tab w:val="left" w:pos="2268"/>
      </w:tabs>
      <w:overflowPunct w:val="0"/>
      <w:autoSpaceDE w:val="0"/>
      <w:autoSpaceDN w:val="0"/>
      <w:adjustRightInd w:val="0"/>
      <w:spacing w:before="0" w:line="240" w:lineRule="auto"/>
      <w:textAlignment w:val="baseline"/>
    </w:pPr>
    <w:rPr>
      <w:sz w:val="20"/>
      <w:lang w:eastAsia="en-US"/>
    </w:rPr>
  </w:style>
  <w:style w:type="character" w:customStyle="1" w:styleId="BrdtextChar">
    <w:name w:val="Brödtext Char"/>
    <w:basedOn w:val="Standardstycketeckensnitt"/>
    <w:link w:val="Brdtext"/>
    <w:rPr>
      <w:lang w:val="sv-SE" w:eastAsia="en-US" w:bidi="ar-SA"/>
    </w:rPr>
  </w:style>
  <w:style w:type="paragraph" w:styleId="Brdtextmedindrag">
    <w:name w:val="Body Text Indent"/>
    <w:basedOn w:val="Normal"/>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388567">
      <w:bodyDiv w:val="1"/>
      <w:marLeft w:val="0"/>
      <w:marRight w:val="0"/>
      <w:marTop w:val="0"/>
      <w:marBottom w:val="0"/>
      <w:divBdr>
        <w:top w:val="none" w:sz="0" w:space="0" w:color="auto"/>
        <w:left w:val="none" w:sz="0" w:space="0" w:color="auto"/>
        <w:bottom w:val="none" w:sz="0" w:space="0" w:color="auto"/>
        <w:right w:val="none" w:sz="0" w:space="0" w:color="auto"/>
      </w:divBdr>
    </w:div>
    <w:div w:id="743334057">
      <w:bodyDiv w:val="1"/>
      <w:marLeft w:val="0"/>
      <w:marRight w:val="0"/>
      <w:marTop w:val="0"/>
      <w:marBottom w:val="0"/>
      <w:divBdr>
        <w:top w:val="none" w:sz="0" w:space="0" w:color="auto"/>
        <w:left w:val="none" w:sz="0" w:space="0" w:color="auto"/>
        <w:bottom w:val="none" w:sz="0" w:space="0" w:color="auto"/>
        <w:right w:val="none" w:sz="0" w:space="0" w:color="auto"/>
      </w:divBdr>
    </w:div>
    <w:div w:id="975186779">
      <w:bodyDiv w:val="1"/>
      <w:marLeft w:val="0"/>
      <w:marRight w:val="0"/>
      <w:marTop w:val="0"/>
      <w:marBottom w:val="0"/>
      <w:divBdr>
        <w:top w:val="none" w:sz="0" w:space="0" w:color="auto"/>
        <w:left w:val="none" w:sz="0" w:space="0" w:color="auto"/>
        <w:bottom w:val="none" w:sz="0" w:space="0" w:color="auto"/>
        <w:right w:val="none" w:sz="0" w:space="0" w:color="auto"/>
      </w:divBdr>
    </w:div>
    <w:div w:id="979072665">
      <w:bodyDiv w:val="1"/>
      <w:marLeft w:val="0"/>
      <w:marRight w:val="0"/>
      <w:marTop w:val="0"/>
      <w:marBottom w:val="0"/>
      <w:divBdr>
        <w:top w:val="none" w:sz="0" w:space="0" w:color="auto"/>
        <w:left w:val="none" w:sz="0" w:space="0" w:color="auto"/>
        <w:bottom w:val="none" w:sz="0" w:space="0" w:color="auto"/>
        <w:right w:val="none" w:sz="0" w:space="0" w:color="auto"/>
      </w:divBdr>
    </w:div>
    <w:div w:id="1227299040">
      <w:bodyDiv w:val="1"/>
      <w:marLeft w:val="0"/>
      <w:marRight w:val="0"/>
      <w:marTop w:val="0"/>
      <w:marBottom w:val="0"/>
      <w:divBdr>
        <w:top w:val="none" w:sz="0" w:space="0" w:color="auto"/>
        <w:left w:val="none" w:sz="0" w:space="0" w:color="auto"/>
        <w:bottom w:val="none" w:sz="0" w:space="0" w:color="auto"/>
        <w:right w:val="none" w:sz="0" w:space="0" w:color="auto"/>
      </w:divBdr>
    </w:div>
    <w:div w:id="1274752372">
      <w:bodyDiv w:val="1"/>
      <w:marLeft w:val="0"/>
      <w:marRight w:val="0"/>
      <w:marTop w:val="0"/>
      <w:marBottom w:val="0"/>
      <w:divBdr>
        <w:top w:val="none" w:sz="0" w:space="0" w:color="auto"/>
        <w:left w:val="none" w:sz="0" w:space="0" w:color="auto"/>
        <w:bottom w:val="none" w:sz="0" w:space="0" w:color="auto"/>
        <w:right w:val="none" w:sz="0" w:space="0" w:color="auto"/>
      </w:divBdr>
    </w:div>
    <w:div w:id="1529444155">
      <w:bodyDiv w:val="1"/>
      <w:marLeft w:val="0"/>
      <w:marRight w:val="0"/>
      <w:marTop w:val="0"/>
      <w:marBottom w:val="0"/>
      <w:divBdr>
        <w:top w:val="none" w:sz="0" w:space="0" w:color="auto"/>
        <w:left w:val="none" w:sz="0" w:space="0" w:color="auto"/>
        <w:bottom w:val="none" w:sz="0" w:space="0" w:color="auto"/>
        <w:right w:val="none" w:sz="0" w:space="0" w:color="auto"/>
      </w:divBdr>
    </w:div>
    <w:div w:id="188667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1496</Words>
  <Characters>9920</Characters>
  <Application>Microsoft Office Word</Application>
  <DocSecurity>4</DocSecurity>
  <Lines>190</Lines>
  <Paragraphs>56</Paragraphs>
  <ScaleCrop>false</ScaleCrop>
  <HeadingPairs>
    <vt:vector size="2" baseType="variant">
      <vt:variant>
        <vt:lpstr>Rubrik</vt:lpstr>
      </vt:variant>
      <vt:variant>
        <vt:i4>1</vt:i4>
      </vt:variant>
    </vt:vector>
  </HeadingPairs>
  <TitlesOfParts>
    <vt:vector size="1" baseType="lpstr">
      <vt:lpstr>FPM_200809__94</vt:lpstr>
    </vt:vector>
  </TitlesOfParts>
  <Company>RD-DTSL</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FPM_200809__94</dc:title>
  <dc:subject>FPM_200809__94</dc:subject>
  <dc:creator>Riksdagen</dc:creator>
  <cp:keywords>Riksdagen</cp:keywords>
  <dc:description>KP2004-version.  Ändringarna påverkar enbart användningen inom Riksdagen. 050429 nya departement DTSL.</dc:description>
  <cp:lastModifiedBy>Lars Brink</cp:lastModifiedBy>
  <cp:revision>2</cp:revision>
  <cp:lastPrinted>2009-03-16T06:35:00Z</cp:lastPrinted>
  <dcterms:created xsi:type="dcterms:W3CDTF">2025-12-17T19:12:00Z</dcterms:created>
  <dcterms:modified xsi:type="dcterms:W3CDTF">2025-12-17T19:12:00Z</dcterms:modified>
  <cp:category>Faktapromemoria (riksdagstryck)</cp:category>
</cp:coreProperties>
</file>

<file path=docProps/custom.xml><?xml version="1.0" encoding="UTF-8" standalone="yes"?>
<Properties xmlns="http://schemas.openxmlformats.org/officeDocument/2006/custom-properties" xmlns:vt="http://schemas.openxmlformats.org/officeDocument/2006/docPropsVTypes"><property fmtid="{D5CDD505-2E9C-101B-9397-08002B2CF9AE}" pid="2" name="Typ"><vt:lpwstr>FPM</vt:lpwstr></property><property fmtid="{D5CDD505-2E9C-101B-9397-08002B2CF9AE}" pid="3" name="Nr"><vt:lpwstr>94</vt:lpwstr></property><property fmtid="{D5CDD505-2E9C-101B-9397-08002B2CF9AE}" pid="4" name="GDB1"><vt:lpwstr>KOM (2009) 15</vt:lpwstr></property><property fmtid="{D5CDD505-2E9C-101B-9397-08002B2CF9AE}" pid="5" name="GDT1"><vt:lpwstr> </vt:lpwstr></property><property fmtid="{D5CDD505-2E9C-101B-9397-08002B2CF9AE}" pid="6" name="Dep"><vt:lpwstr>Näringsdepartementet</vt:lpwstr></property><property fmtid="{D5CDD505-2E9C-101B-9397-08002B2CF9AE}" pid="7" name="Rub"><vt:lpwstr>Kommissionens tredje strategiska översyn av regelförenklingsarbetet</vt:lpwstr></property><property fmtid="{D5CDD505-2E9C-101B-9397-08002B2CF9AE}" pid="8" name="UppDat"><vt:lpwstr>2009-03-02</vt:lpwstr></property><property fmtid="{D5CDD505-2E9C-101B-9397-08002B2CF9AE}" pid="9" name="AnkDat"><vt:lpwstr>2009-03-13</vt:lpwstr></property><property fmtid="{D5CDD505-2E9C-101B-9397-08002B2CF9AE}" pid="10" name="Utsk"><vt:lpwstr>Näringsutskottet</vt:lpwstr></property><property fmtid="{D5CDD505-2E9C-101B-9397-08002B2CF9AE}" pid="11" name="Ar"><vt:lpwstr>2008/09</vt:lpwstr></property><property fmtid="{D5CDD505-2E9C-101B-9397-08002B2CF9AE}" pid="12" name="Dokumenttyp"><vt:lpwstr> FaktaPM</vt:lpwstr></property><property fmtid="{D5CDD505-2E9C-101B-9397-08002B2CF9AE}" pid="13" name="Epostadress"><vt:lpwstr>jb0203aa</vt:lpwstr></property><property fmtid="{D5CDD505-2E9C-101B-9397-08002B2CF9AE}" pid="14" name="GDB2"><vt:lpwstr>KOM (2009) 16</vt:lpwstr></property><property fmtid="{D5CDD505-2E9C-101B-9397-08002B2CF9AE}" pid="15" name="GDB3"><vt:lpwstr>KOM (2009) 17</vt:lpwstr></property><property fmtid="{D5CDD505-2E9C-101B-9397-08002B2CF9AE}" pid="16" name="GDB4"><vt:lpwstr> </vt:lpwstr></property><property fmtid="{D5CDD505-2E9C-101B-9397-08002B2CF9AE}" pid="17" name="GDB5"><vt:lpwstr> </vt:lpwstr></property><property fmtid="{D5CDD505-2E9C-101B-9397-08002B2CF9AE}" pid="18" name="GDB6"><vt:lpwstr> </vt:lpwstr></property><property fmtid="{D5CDD505-2E9C-101B-9397-08002B2CF9AE}" pid="19" name="GDB7"><vt:lpwstr> </vt:lpwstr></property><property fmtid="{D5CDD505-2E9C-101B-9397-08002B2CF9AE}" pid="20" name="GDB8"><vt:lpwstr> </vt:lpwstr></property><property fmtid="{D5CDD505-2E9C-101B-9397-08002B2CF9AE}" pid="21" name="GDB9"><vt:lpwstr> </vt:lpwstr></property><property fmtid="{D5CDD505-2E9C-101B-9397-08002B2CF9AE}" pid="22" name="GDB10"><vt:lpwstr> </vt:lpwstr></property><property fmtid="{D5CDD505-2E9C-101B-9397-08002B2CF9AE}" pid="23" name="GDB11"><vt:lpwstr> </vt:lpwstr></property><property fmtid="{D5CDD505-2E9C-101B-9397-08002B2CF9AE}" pid="24" name="GDB12"><vt:lpwstr> </vt:lpwstr></property><property fmtid="{D5CDD505-2E9C-101B-9397-08002B2CF9AE}" pid="25" name="GDB13"><vt:lpwstr> </vt:lpwstr></property><property fmtid="{D5CDD505-2E9C-101B-9397-08002B2CF9AE}" pid="26" name="Statsrådsberedningen"><vt:lpwstr>NEJ</vt:lpwstr></property><property fmtid="{D5CDD505-2E9C-101B-9397-08002B2CF9AE}" pid="27" name="Justitiedepartementet"><vt:lpwstr>NEJ</vt:lpwstr></property><property fmtid="{D5CDD505-2E9C-101B-9397-08002B2CF9AE}" pid="28" name="Utrikesdepartementet"><vt:lpwstr>NEJ</vt:lpwstr></property><property fmtid="{D5CDD505-2E9C-101B-9397-08002B2CF9AE}" pid="29" name="Försvarsdepartementet"><vt:lpwstr>NEJ</vt:lpwstr></property><property fmtid="{D5CDD505-2E9C-101B-9397-08002B2CF9AE}" pid="30" name="Socialdepartementet"><vt:lpwstr>NEJ</vt:lpwstr></property><property fmtid="{D5CDD505-2E9C-101B-9397-08002B2CF9AE}" pid="31" name="Finansdepartementet"><vt:lpwstr>NEJ</vt:lpwstr></property><property fmtid="{D5CDD505-2E9C-101B-9397-08002B2CF9AE}" pid="32" name="Utbildningsdepartementet"><vt:lpwstr>NEJ</vt:lpwstr></property><property fmtid="{D5CDD505-2E9C-101B-9397-08002B2CF9AE}" pid="33" name="Jordbruksdepartementet"><vt:lpwstr>NEJ</vt:lpwstr></property><property fmtid="{D5CDD505-2E9C-101B-9397-08002B2CF9AE}" pid="34" name="Miljödepartementet"><vt:lpwstr>NEJ</vt:lpwstr></property><property fmtid="{D5CDD505-2E9C-101B-9397-08002B2CF9AE}" pid="35" name="Näringsdepartementet"><vt:lpwstr>JA</vt:lpwstr></property><property fmtid="{D5CDD505-2E9C-101B-9397-08002B2CF9AE}" pid="36" name="Integrations- och jämställdhetsdepartementet"><vt:lpwstr>NEJ</vt:lpwstr></property><property fmtid="{D5CDD505-2E9C-101B-9397-08002B2CF9AE}" pid="37" name="Kulturdepartementet"><vt:lpwstr>NEJ</vt:lpwstr></property><property fmtid="{D5CDD505-2E9C-101B-9397-08002B2CF9AE}" pid="38" name="Arbetsmarknadsdepartementet"><vt:lpwstr>NEJ</vt:lpwstr></property><property fmtid="{D5CDD505-2E9C-101B-9397-08002B2CF9AE}" pid="39" name="Förvaltningsavdelningen"><vt:lpwstr>NEJ</vt:lpwstr></property><property fmtid="{D5CDD505-2E9C-101B-9397-08002B2CF9AE}" pid="40" name="Sekretariatet för EU-möten i Sverige 2009"><vt:lpwstr>NEJ</vt:lpwstr></property><property fmtid="{D5CDD505-2E9C-101B-9397-08002B2CF9AE}" pid="41" name="DepID"><vt:lpwstr>10;0;0;464</vt:lpwstr></property><property fmtid="{D5CDD505-2E9C-101B-9397-08002B2CF9AE}" pid="42" name="Sprak"><vt:lpwstr>Svenska</vt:lpwstr></property><property fmtid="{D5CDD505-2E9C-101B-9397-08002B2CF9AE}" pid="43" name="DokID"><vt:i4>80</vt:i4></property><property fmtid="{D5CDD505-2E9C-101B-9397-08002B2CF9AE}" pid="44" name="RKOrdnaDepartement"><vt:lpwstr>Statsrådsberedningen</vt:lpwstr></property><property fmtid="{D5CDD505-2E9C-101B-9397-08002B2CF9AE}" pid="45" name="RKOrdnaActivityCategory"><vt:lpwstr>4.1.9. Övrigt EU-arbete</vt:lpwstr></property><property fmtid="{D5CDD505-2E9C-101B-9397-08002B2CF9AE}" pid="46" name="RKOrdnaDiarienummer"><vt:lpwstr></vt:lpwstr></property><property fmtid="{D5CDD505-2E9C-101B-9397-08002B2CF9AE}" pid="47" name="ContentType"><vt:lpwstr>Word</vt:lpwstr></property><property fmtid="{D5CDD505-2E9C-101B-9397-08002B2CF9AE}" pid="48" name="RKOrdnaSearchKeywords"><vt:lpwstr></vt:lpwstr></property><property fmtid="{D5CDD505-2E9C-101B-9397-08002B2CF9AE}" pid="49" name="RKOrdnaSarskildSkyddsvard"><vt:lpwstr>0</vt:lpwstr></property><property fmtid="{D5CDD505-2E9C-101B-9397-08002B2CF9AE}" pid="50" name="켄lturdepartemen"><vt:lpwstr>NEJ</vt:lpwstr></property></Properties>
</file>