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89E" w:rsidRPr="00501FF2" w:rsidRDefault="009D789E">
      <w:pPr>
        <w:pStyle w:val="Hemstlrubrik"/>
        <w:shd w:val="clear" w:color="000000" w:fill="auto"/>
      </w:pPr>
      <w:r w:rsidRPr="00501FF2">
        <w:t>Förslag till riksdagsbeslut</w:t>
      </w:r>
    </w:p>
    <w:p w:rsidR="00DA09F8" w:rsidRPr="00501FF2" w:rsidRDefault="00DA09F8">
      <w:pPr>
        <w:pStyle w:val="Hemstlatt"/>
        <w:numPr>
          <w:ilvl w:val="0"/>
          <w:numId w:val="1"/>
        </w:numPr>
        <w:shd w:val="clear" w:color="000000" w:fill="auto"/>
      </w:pPr>
      <w:r w:rsidRPr="00501FF2">
        <w:t>Riksdagen tillkännager för regeringen som sin mening vad i motionen anförs om behovet av ett nytt penningpolitiskt system.</w:t>
      </w:r>
    </w:p>
    <w:p w:rsidR="00DA09F8" w:rsidRPr="00501FF2" w:rsidRDefault="00DA09F8">
      <w:pPr>
        <w:pStyle w:val="Hemstlatt"/>
        <w:numPr>
          <w:ilvl w:val="0"/>
          <w:numId w:val="1"/>
        </w:numPr>
        <w:shd w:val="clear" w:color="000000" w:fill="auto"/>
      </w:pPr>
      <w:r w:rsidRPr="00501FF2">
        <w:t>Riksdagen tillkännager för regeringen som sin mening vad i motionen anförs om att full sysselsättning ska ingå i målformuleringen för den samlade ekonomiska politiken.</w:t>
      </w:r>
    </w:p>
    <w:p w:rsidR="009D789E" w:rsidRPr="00501FF2" w:rsidRDefault="009D789E">
      <w:pPr>
        <w:pStyle w:val="Rubrik1"/>
        <w:shd w:val="clear" w:color="000000" w:fill="auto"/>
      </w:pPr>
      <w:r w:rsidRPr="00501FF2">
        <w:t>Sammanfattning</w:t>
      </w:r>
    </w:p>
    <w:p w:rsidR="00D47369" w:rsidRPr="00501FF2" w:rsidRDefault="00D47369">
      <w:pPr>
        <w:shd w:val="clear" w:color="000000" w:fill="auto"/>
        <w:autoSpaceDE w:val="0"/>
        <w:autoSpaceDN w:val="0"/>
        <w:adjustRightInd w:val="0"/>
        <w:rPr>
          <w:color w:val="000000"/>
          <w:szCs w:val="24"/>
        </w:rPr>
      </w:pPr>
      <w:r w:rsidRPr="00501FF2">
        <w:rPr>
          <w:color w:val="000000"/>
          <w:szCs w:val="24"/>
        </w:rPr>
        <w:t>Den nuvarande svenska penningpolitiska modellen – som fastställs i rik</w:t>
      </w:r>
      <w:r w:rsidRPr="00501FF2">
        <w:rPr>
          <w:color w:val="000000"/>
          <w:szCs w:val="24"/>
        </w:rPr>
        <w:t>s</w:t>
      </w:r>
      <w:r w:rsidRPr="00501FF2">
        <w:rPr>
          <w:color w:val="000000"/>
          <w:szCs w:val="24"/>
        </w:rPr>
        <w:t xml:space="preserve">bankslagen och i Riksbankens styrdokument – är ett institutionellt uttryck för en nyliberal grundsyn på ekonomi och politik. Den har till syfte att minska de folkvaldas möjligheter att föra en ekonomisk politik för full sysselsättning, och bidrar samtidigt till en allmän ekonomisk utveckling där löntagarnas positioner på arbetsmarknaden försvagas till förmån för arbetsgivarnas. Sett ur ett nyliberalt perspektiv har den nuvarande ordningen med ett överordnat prisstabilitetsmål och en självständig </w:t>
      </w:r>
      <w:r w:rsidR="00DE10AC" w:rsidRPr="00501FF2">
        <w:rPr>
          <w:color w:val="000000"/>
          <w:szCs w:val="24"/>
        </w:rPr>
        <w:t xml:space="preserve">riksbank </w:t>
      </w:r>
      <w:r w:rsidRPr="00501FF2">
        <w:rPr>
          <w:color w:val="000000"/>
          <w:szCs w:val="24"/>
        </w:rPr>
        <w:t>varit framgångsrik. Från ett demokratiskt perspektiv i allmänhet och ett arbetarrörelseperspektiv i synne</w:t>
      </w:r>
      <w:r w:rsidRPr="00501FF2">
        <w:rPr>
          <w:color w:val="000000"/>
          <w:szCs w:val="24"/>
        </w:rPr>
        <w:t>r</w:t>
      </w:r>
      <w:r w:rsidRPr="00501FF2">
        <w:rPr>
          <w:color w:val="000000"/>
          <w:szCs w:val="24"/>
        </w:rPr>
        <w:t xml:space="preserve">het har denna politik av samma skäl varit problematisk. Det är inte </w:t>
      </w:r>
      <w:r w:rsidR="00DE10AC" w:rsidRPr="00501FF2">
        <w:rPr>
          <w:color w:val="000000"/>
          <w:szCs w:val="24"/>
        </w:rPr>
        <w:t>Vänste</w:t>
      </w:r>
      <w:r w:rsidR="00DE10AC" w:rsidRPr="00501FF2">
        <w:rPr>
          <w:color w:val="000000"/>
          <w:szCs w:val="24"/>
        </w:rPr>
        <w:t>r</w:t>
      </w:r>
      <w:r w:rsidR="00DE10AC" w:rsidRPr="00501FF2">
        <w:rPr>
          <w:color w:val="000000"/>
          <w:szCs w:val="24"/>
        </w:rPr>
        <w:t xml:space="preserve">partiets </w:t>
      </w:r>
      <w:r w:rsidRPr="00501FF2">
        <w:rPr>
          <w:color w:val="000000"/>
          <w:szCs w:val="24"/>
        </w:rPr>
        <w:t>uppfattning att penningpolitiken ensam kan förklara den högre arbet</w:t>
      </w:r>
      <w:r w:rsidRPr="00501FF2">
        <w:rPr>
          <w:color w:val="000000"/>
          <w:szCs w:val="24"/>
        </w:rPr>
        <w:t>s</w:t>
      </w:r>
      <w:r w:rsidRPr="00501FF2">
        <w:rPr>
          <w:color w:val="000000"/>
          <w:szCs w:val="24"/>
        </w:rPr>
        <w:t xml:space="preserve">lösheten. Det är heller inte </w:t>
      </w:r>
      <w:r w:rsidR="00DE10AC" w:rsidRPr="00501FF2">
        <w:rPr>
          <w:color w:val="000000"/>
          <w:szCs w:val="24"/>
        </w:rPr>
        <w:t xml:space="preserve">Vänsterpartiets </w:t>
      </w:r>
      <w:r w:rsidRPr="00501FF2">
        <w:rPr>
          <w:color w:val="000000"/>
          <w:szCs w:val="24"/>
        </w:rPr>
        <w:t xml:space="preserve">uppfattning att inflation är något eftersträvansvärt, eller att </w:t>
      </w:r>
      <w:r w:rsidR="00DE10AC" w:rsidRPr="00501FF2">
        <w:rPr>
          <w:color w:val="000000"/>
          <w:szCs w:val="24"/>
        </w:rPr>
        <w:t xml:space="preserve">Riksbanken </w:t>
      </w:r>
      <w:r w:rsidRPr="00501FF2">
        <w:rPr>
          <w:color w:val="000000"/>
          <w:szCs w:val="24"/>
        </w:rPr>
        <w:t>genom att sikta på en högre inflation</w:t>
      </w:r>
      <w:r w:rsidRPr="00501FF2">
        <w:rPr>
          <w:color w:val="000000"/>
          <w:szCs w:val="24"/>
        </w:rPr>
        <w:t>s</w:t>
      </w:r>
      <w:r w:rsidRPr="00501FF2">
        <w:rPr>
          <w:color w:val="000000"/>
          <w:szCs w:val="24"/>
        </w:rPr>
        <w:t>takt automatiskt kan bidra till en högre sysselsättning. Vänsterpartiet menar dock, att det är hög tid att göra upp med de dogmer som väglett penningpol</w:t>
      </w:r>
      <w:r w:rsidRPr="00501FF2">
        <w:rPr>
          <w:color w:val="000000"/>
          <w:szCs w:val="24"/>
        </w:rPr>
        <w:t>i</w:t>
      </w:r>
      <w:r w:rsidRPr="00501FF2">
        <w:rPr>
          <w:color w:val="000000"/>
          <w:szCs w:val="24"/>
        </w:rPr>
        <w:t xml:space="preserve">tiken under de senaste 15 åren. Utgångspunkten för </w:t>
      </w:r>
      <w:r w:rsidR="00DE10AC" w:rsidRPr="00501FF2">
        <w:rPr>
          <w:color w:val="000000"/>
          <w:szCs w:val="24"/>
        </w:rPr>
        <w:t xml:space="preserve">Riksbankens </w:t>
      </w:r>
      <w:r w:rsidRPr="00501FF2">
        <w:rPr>
          <w:color w:val="000000"/>
          <w:szCs w:val="24"/>
        </w:rPr>
        <w:t>penningpol</w:t>
      </w:r>
      <w:r w:rsidRPr="00501FF2">
        <w:rPr>
          <w:color w:val="000000"/>
          <w:szCs w:val="24"/>
        </w:rPr>
        <w:t>i</w:t>
      </w:r>
      <w:r w:rsidRPr="00501FF2">
        <w:rPr>
          <w:color w:val="000000"/>
          <w:szCs w:val="24"/>
        </w:rPr>
        <w:t>tik måste vara en del av den demokratiskt beslutade ekonomiska politiken. Målformuleringen för den samlade ekonomiska politiken ska inbegripa full sysselsättning.</w:t>
      </w:r>
    </w:p>
    <w:p w:rsidR="009D789E" w:rsidRPr="00501FF2" w:rsidRDefault="00D47369">
      <w:pPr>
        <w:pStyle w:val="Rubrik1"/>
        <w:shd w:val="clear" w:color="000000" w:fill="auto"/>
      </w:pPr>
      <w:r w:rsidRPr="00501FF2">
        <w:lastRenderedPageBreak/>
        <w:t>B</w:t>
      </w:r>
      <w:r w:rsidR="009D789E" w:rsidRPr="00501FF2">
        <w:t>akgrund</w:t>
      </w:r>
    </w:p>
    <w:p w:rsidR="009D789E" w:rsidRPr="00501FF2" w:rsidRDefault="009D789E">
      <w:pPr>
        <w:shd w:val="clear" w:color="000000" w:fill="auto"/>
      </w:pPr>
      <w:r w:rsidRPr="00501FF2">
        <w:t>Det sena 1980-talets avregleringspolitik och förmögenhetsuppbyggnad i den finansiella sektorn bidrog till finanskrisen 1992. Efter det misslyckade och kostsamma försöket att upprätthålla en fast kronkurs övergick Sverige till en flytande växelkursregim. I samband med detta började ett inflationsmål att tillämpas. Denna politik preciserades och lagreglerades i och med att riksd</w:t>
      </w:r>
      <w:r w:rsidRPr="00501FF2">
        <w:t>a</w:t>
      </w:r>
      <w:r w:rsidRPr="00501FF2">
        <w:t>gen 1998 biföll regeringens proposition 1997/98:40 Riksbankens ställning. De olika beslut som fattats har varit led i Sveriges anpassning till EG-rätten och utgjort förberedelser för svenskt deltagande i EMU. De beslut som fatt</w:t>
      </w:r>
      <w:r w:rsidRPr="00501FF2">
        <w:t>a</w:t>
      </w:r>
      <w:r w:rsidRPr="00501FF2">
        <w:t>des i Sverige var – vilket också framgår av resonemangen inför och efter förändringarna – inte unika för vårt land. Trenden, att genom olika instituti</w:t>
      </w:r>
      <w:r w:rsidRPr="00501FF2">
        <w:t>o</w:t>
      </w:r>
      <w:r w:rsidRPr="00501FF2">
        <w:t>nella arrangemang lyfta bort beslutsmakt från de demokratiska församlinga</w:t>
      </w:r>
      <w:r w:rsidRPr="00501FF2">
        <w:t>r</w:t>
      </w:r>
      <w:r w:rsidRPr="00501FF2">
        <w:t xml:space="preserve">na, har varit en del </w:t>
      </w:r>
      <w:r w:rsidR="008C77ED" w:rsidRPr="00501FF2">
        <w:t xml:space="preserve">av </w:t>
      </w:r>
      <w:r w:rsidRPr="00501FF2">
        <w:t xml:space="preserve">den </w:t>
      </w:r>
      <w:r w:rsidR="00DE10AC" w:rsidRPr="00501FF2">
        <w:t>nyliberala våg som sköljt över v</w:t>
      </w:r>
      <w:r w:rsidRPr="00501FF2">
        <w:t>ästvärlden och hälsats med glädje av politiska eliter i skilda länder. Som bekant är ett sådant anslag också inbyggt i EU-systemets grundvalar.</w:t>
      </w:r>
    </w:p>
    <w:p w:rsidR="009D789E" w:rsidRPr="00501FF2" w:rsidRDefault="009D789E">
      <w:pPr>
        <w:pStyle w:val="Rubrik1"/>
        <w:shd w:val="clear" w:color="000000" w:fill="auto"/>
      </w:pPr>
      <w:r w:rsidRPr="00501FF2">
        <w:t>Inflationsproblematiken</w:t>
      </w:r>
    </w:p>
    <w:p w:rsidR="009D789E" w:rsidRPr="00501FF2" w:rsidRDefault="009D789E">
      <w:pPr>
        <w:shd w:val="clear" w:color="000000" w:fill="auto"/>
      </w:pPr>
      <w:r w:rsidRPr="00501FF2">
        <w:t>Den bärande bjälken i Riksbankens arbete är att övervaka inflationsutvec</w:t>
      </w:r>
      <w:r w:rsidRPr="00501FF2">
        <w:t>k</w:t>
      </w:r>
      <w:r w:rsidRPr="00501FF2">
        <w:t>lingen. Enligt riksbankslagen ska Riksbanken upprätthålla ett fast pennin</w:t>
      </w:r>
      <w:r w:rsidRPr="00501FF2">
        <w:t>g</w:t>
      </w:r>
      <w:r w:rsidRPr="00501FF2">
        <w:t>värde. Det innebär att inflat</w:t>
      </w:r>
      <w:r w:rsidR="007422C7" w:rsidRPr="00501FF2">
        <w:t>ionen ska hållas låg och stabil</w:t>
      </w:r>
      <w:r w:rsidRPr="00501FF2">
        <w:t xml:space="preserve"> och att penningpol</w:t>
      </w:r>
      <w:r w:rsidRPr="00501FF2">
        <w:t>i</w:t>
      </w:r>
      <w:r w:rsidRPr="00501FF2">
        <w:t>tiken inte ges andra explicita mål. Detta ger enligt företrädare för den rådande regimen, med en ofta använd formulering, ”goda förutsättningar för en gyn</w:t>
      </w:r>
      <w:r w:rsidRPr="00501FF2">
        <w:t>n</w:t>
      </w:r>
      <w:r w:rsidRPr="00501FF2">
        <w:t>sam och uthållig tillväxt”. I den historiska beskrivningen av fört</w:t>
      </w:r>
      <w:r w:rsidR="007422C7" w:rsidRPr="00501FF2">
        <w:t>räffligheten i nuvarande modell</w:t>
      </w:r>
      <w:r w:rsidRPr="00501FF2">
        <w:t xml:space="preserve"> framhålls också ofta de problem som ska ha karaktäriserat svensk ekonomi under perioder då inflationen var högre än nuvarande nivåer.</w:t>
      </w:r>
    </w:p>
    <w:p w:rsidR="007422C7" w:rsidRPr="00501FF2" w:rsidRDefault="009D789E">
      <w:pPr>
        <w:pStyle w:val="Normaltindrag"/>
        <w:shd w:val="clear" w:color="000000" w:fill="auto"/>
      </w:pPr>
      <w:r w:rsidRPr="00501FF2">
        <w:t>Den historiska bilden är i själva verket annorlunda. Även om Sverige i vi</w:t>
      </w:r>
      <w:r w:rsidRPr="00501FF2">
        <w:t>s</w:t>
      </w:r>
      <w:r w:rsidRPr="00501FF2">
        <w:t>sa skeden hade en högre</w:t>
      </w:r>
      <w:r w:rsidR="007422C7" w:rsidRPr="00501FF2">
        <w:t xml:space="preserve"> inflation än jämförbara länder</w:t>
      </w:r>
      <w:r w:rsidRPr="00501FF2">
        <w:t xml:space="preserve"> så var tillväxten god och framför allt arbetslösheten markant lägre. I praktiken kan man säga att svensk ekonomi</w:t>
      </w:r>
      <w:r w:rsidR="000F71C1" w:rsidRPr="00501FF2">
        <w:t>,</w:t>
      </w:r>
      <w:r w:rsidRPr="00501FF2">
        <w:t xml:space="preserve"> </w:t>
      </w:r>
      <w:r w:rsidR="0003574A" w:rsidRPr="00501FF2">
        <w:t>inte minst tack vare en stark offentlig sektor och efterfråg</w:t>
      </w:r>
      <w:r w:rsidR="0003574A" w:rsidRPr="00501FF2">
        <w:t>e</w:t>
      </w:r>
      <w:r w:rsidR="0003574A" w:rsidRPr="00501FF2">
        <w:t xml:space="preserve">stimulanser, </w:t>
      </w:r>
      <w:r w:rsidRPr="00501FF2">
        <w:t xml:space="preserve">klarade sig igenom en </w:t>
      </w:r>
      <w:r w:rsidR="00DF2BD0" w:rsidRPr="00501FF2">
        <w:t>stagnation</w:t>
      </w:r>
      <w:r w:rsidR="0003574A" w:rsidRPr="00501FF2">
        <w:t>s- och krisperiod</w:t>
      </w:r>
      <w:r w:rsidR="00DF2BD0" w:rsidRPr="00501FF2">
        <w:t xml:space="preserve"> </w:t>
      </w:r>
      <w:r w:rsidRPr="00501FF2">
        <w:t xml:space="preserve">som drabbade </w:t>
      </w:r>
      <w:r w:rsidR="0003574A" w:rsidRPr="00501FF2">
        <w:t>alla kapital</w:t>
      </w:r>
      <w:r w:rsidR="00DE10AC" w:rsidRPr="00501FF2">
        <w:t>istiska ekonomier i v</w:t>
      </w:r>
      <w:r w:rsidR="007422C7" w:rsidRPr="00501FF2">
        <w:t>ästvärlden,</w:t>
      </w:r>
      <w:r w:rsidR="0003574A" w:rsidRPr="00501FF2">
        <w:t xml:space="preserve"> med bland annat oljeprishöjningar</w:t>
      </w:r>
      <w:r w:rsidR="007422C7" w:rsidRPr="00501FF2">
        <w:t>,</w:t>
      </w:r>
      <w:r w:rsidRPr="00501FF2">
        <w:t xml:space="preserve"> på ett sådant sätt att sysselsättningen upprätthölls på </w:t>
      </w:r>
      <w:r w:rsidR="007422C7" w:rsidRPr="00501FF2">
        <w:t>en hög nivå</w:t>
      </w:r>
      <w:r w:rsidRPr="00501FF2">
        <w:t xml:space="preserve"> även om reallöneutvecklingen inte var lika god som under tidigare perioder.</w:t>
      </w:r>
    </w:p>
    <w:p w:rsidR="00587C0A" w:rsidRPr="00501FF2" w:rsidRDefault="00587C0A">
      <w:pPr>
        <w:pStyle w:val="Normaltindrag"/>
        <w:shd w:val="clear" w:color="000000" w:fill="auto"/>
      </w:pPr>
    </w:p>
    <w:p w:rsidR="00D62D29" w:rsidRPr="00501FF2" w:rsidRDefault="00D62D29">
      <w:pPr>
        <w:pStyle w:val="Normaltindrag"/>
        <w:shd w:val="clear" w:color="000000" w:fill="auto"/>
        <w:ind w:firstLine="0"/>
        <w:rPr>
          <w:b/>
          <w:szCs w:val="22"/>
        </w:rPr>
      </w:pPr>
    </w:p>
    <w:p w:rsidR="00D62D29" w:rsidRPr="00501FF2" w:rsidRDefault="00D62D29">
      <w:pPr>
        <w:pStyle w:val="Normaltindrag"/>
        <w:shd w:val="clear" w:color="000000" w:fill="auto"/>
        <w:ind w:firstLine="0"/>
        <w:rPr>
          <w:b/>
          <w:szCs w:val="22"/>
        </w:rPr>
      </w:pPr>
    </w:p>
    <w:p w:rsidR="009D789E" w:rsidRPr="00501FF2" w:rsidRDefault="009D789E">
      <w:pPr>
        <w:pStyle w:val="Normaltindrag"/>
        <w:shd w:val="clear" w:color="000000" w:fill="auto"/>
        <w:ind w:firstLine="0"/>
      </w:pPr>
      <w:r w:rsidRPr="00501FF2">
        <w:rPr>
          <w:b/>
          <w:szCs w:val="22"/>
        </w:rPr>
        <w:t>Historiska ekonomiska nyckeltal</w:t>
      </w:r>
      <w:r w:rsidR="0003574A" w:rsidRPr="00501FF2">
        <w:rPr>
          <w:b/>
          <w:szCs w:val="22"/>
        </w:rPr>
        <w:t>;</w:t>
      </w:r>
      <w:r w:rsidR="00691658" w:rsidRPr="00501FF2">
        <w:rPr>
          <w:b/>
          <w:szCs w:val="22"/>
        </w:rPr>
        <w:t xml:space="preserve"> </w:t>
      </w:r>
      <w:r w:rsidR="0003574A" w:rsidRPr="00501FF2">
        <w:rPr>
          <w:b/>
          <w:szCs w:val="22"/>
        </w:rPr>
        <w:t xml:space="preserve">procent, </w:t>
      </w:r>
      <w:r w:rsidR="00691658" w:rsidRPr="00501FF2">
        <w:rPr>
          <w:b/>
          <w:szCs w:val="22"/>
        </w:rPr>
        <w:t>årliga genomsnitt där ej annat anges</w:t>
      </w:r>
      <w:r w:rsidRPr="00501FF2">
        <w:rPr>
          <w:rStyle w:val="Fotnotsreferens"/>
          <w:b/>
          <w:spacing w:val="-2"/>
        </w:rPr>
        <w:footnoteReference w:id="2"/>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7"/>
        <w:gridCol w:w="701"/>
        <w:gridCol w:w="568"/>
        <w:gridCol w:w="574"/>
        <w:gridCol w:w="701"/>
        <w:gridCol w:w="568"/>
        <w:gridCol w:w="574"/>
      </w:tblGrid>
      <w:tr w:rsidR="009D789E" w:rsidRPr="00501FF2" w:rsidTr="008C58E9">
        <w:tc>
          <w:tcPr>
            <w:tcW w:w="2268" w:type="dxa"/>
            <w:tcBorders>
              <w:top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left"/>
              <w:rPr>
                <w:b/>
                <w:bCs/>
                <w:sz w:val="16"/>
                <w:szCs w:val="16"/>
              </w:rPr>
            </w:pPr>
            <w:r w:rsidRPr="00501FF2">
              <w:rPr>
                <w:b/>
                <w:bCs/>
                <w:sz w:val="16"/>
                <w:szCs w:val="16"/>
              </w:rPr>
              <w:t>Tidsperiod</w:t>
            </w:r>
          </w:p>
        </w:tc>
        <w:tc>
          <w:tcPr>
            <w:tcW w:w="0" w:type="auto"/>
            <w:gridSpan w:val="3"/>
            <w:tcBorders>
              <w:top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center"/>
              <w:rPr>
                <w:b/>
                <w:bCs/>
                <w:sz w:val="16"/>
                <w:szCs w:val="16"/>
              </w:rPr>
            </w:pPr>
            <w:r w:rsidRPr="00501FF2">
              <w:rPr>
                <w:b/>
                <w:bCs/>
                <w:sz w:val="16"/>
                <w:szCs w:val="16"/>
              </w:rPr>
              <w:t>1970-tal</w:t>
            </w:r>
          </w:p>
        </w:tc>
        <w:tc>
          <w:tcPr>
            <w:tcW w:w="0" w:type="auto"/>
            <w:gridSpan w:val="3"/>
            <w:tcBorders>
              <w:top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center"/>
              <w:rPr>
                <w:b/>
                <w:bCs/>
                <w:sz w:val="16"/>
                <w:szCs w:val="16"/>
              </w:rPr>
            </w:pPr>
            <w:r w:rsidRPr="00501FF2">
              <w:rPr>
                <w:b/>
                <w:bCs/>
                <w:sz w:val="16"/>
                <w:szCs w:val="16"/>
              </w:rPr>
              <w:t>1980-tal</w:t>
            </w:r>
          </w:p>
        </w:tc>
      </w:tr>
      <w:tr w:rsidR="009D789E" w:rsidRPr="00501FF2" w:rsidTr="008C58E9">
        <w:tc>
          <w:tcPr>
            <w:tcW w:w="2268" w:type="dxa"/>
            <w:tcBorders>
              <w:bottom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left"/>
              <w:rPr>
                <w:b/>
                <w:bCs/>
                <w:sz w:val="16"/>
                <w:szCs w:val="16"/>
              </w:rPr>
            </w:pPr>
            <w:r w:rsidRPr="00501FF2">
              <w:rPr>
                <w:b/>
                <w:bCs/>
                <w:sz w:val="16"/>
                <w:szCs w:val="16"/>
              </w:rPr>
              <w:t>Land/Region</w:t>
            </w:r>
          </w:p>
        </w:tc>
        <w:tc>
          <w:tcPr>
            <w:tcW w:w="0" w:type="auto"/>
            <w:tcBorders>
              <w:bottom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center"/>
              <w:rPr>
                <w:b/>
                <w:bCs/>
                <w:sz w:val="16"/>
                <w:szCs w:val="16"/>
              </w:rPr>
            </w:pPr>
            <w:r w:rsidRPr="00501FF2">
              <w:rPr>
                <w:b/>
                <w:bCs/>
                <w:sz w:val="16"/>
                <w:szCs w:val="16"/>
              </w:rPr>
              <w:t>Sverige</w:t>
            </w:r>
          </w:p>
        </w:tc>
        <w:tc>
          <w:tcPr>
            <w:tcW w:w="0" w:type="auto"/>
            <w:tcBorders>
              <w:bottom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center"/>
              <w:rPr>
                <w:rStyle w:val="Kapitler-fotnoter"/>
                <w:b/>
                <w:sz w:val="16"/>
                <w:szCs w:val="16"/>
                <w:lang w:val="sv-SE"/>
              </w:rPr>
            </w:pPr>
            <w:r w:rsidRPr="00501FF2">
              <w:rPr>
                <w:rStyle w:val="Kapitler-fotnoter"/>
                <w:b/>
                <w:sz w:val="16"/>
                <w:szCs w:val="16"/>
                <w:lang w:val="sv-SE"/>
              </w:rPr>
              <w:t>EG</w:t>
            </w:r>
          </w:p>
        </w:tc>
        <w:tc>
          <w:tcPr>
            <w:tcW w:w="0" w:type="auto"/>
            <w:tcBorders>
              <w:bottom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center"/>
              <w:rPr>
                <w:rStyle w:val="Kapitler-fotnoter"/>
                <w:b/>
                <w:sz w:val="16"/>
                <w:szCs w:val="16"/>
                <w:lang w:val="sv-SE"/>
              </w:rPr>
            </w:pPr>
            <w:smartTag w:uri="urn:schemas-microsoft-com:office:smarttags" w:element="place">
              <w:smartTag w:uri="urn:schemas-microsoft-com:office:smarttags" w:element="country-region">
                <w:r w:rsidRPr="00501FF2">
                  <w:rPr>
                    <w:rStyle w:val="Kapitler-fotnoter"/>
                    <w:b/>
                    <w:sz w:val="16"/>
                    <w:szCs w:val="16"/>
                    <w:lang w:val="sv-SE"/>
                  </w:rPr>
                  <w:t>USA</w:t>
                </w:r>
              </w:smartTag>
            </w:smartTag>
          </w:p>
        </w:tc>
        <w:tc>
          <w:tcPr>
            <w:tcW w:w="0" w:type="auto"/>
            <w:tcBorders>
              <w:bottom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center"/>
              <w:rPr>
                <w:b/>
                <w:bCs/>
                <w:sz w:val="16"/>
                <w:szCs w:val="16"/>
              </w:rPr>
            </w:pPr>
            <w:r w:rsidRPr="00501FF2">
              <w:rPr>
                <w:b/>
                <w:bCs/>
                <w:sz w:val="16"/>
                <w:szCs w:val="16"/>
              </w:rPr>
              <w:t>Sverige</w:t>
            </w:r>
          </w:p>
        </w:tc>
        <w:tc>
          <w:tcPr>
            <w:tcW w:w="0" w:type="auto"/>
            <w:tcBorders>
              <w:bottom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center"/>
              <w:rPr>
                <w:rStyle w:val="Kapitler-fotnoter"/>
                <w:b/>
                <w:sz w:val="16"/>
                <w:szCs w:val="16"/>
                <w:lang w:val="sv-SE"/>
              </w:rPr>
            </w:pPr>
            <w:r w:rsidRPr="00501FF2">
              <w:rPr>
                <w:rStyle w:val="Kapitler-fotnoter"/>
                <w:b/>
                <w:sz w:val="16"/>
                <w:szCs w:val="16"/>
                <w:lang w:val="sv-SE"/>
              </w:rPr>
              <w:t>EG</w:t>
            </w:r>
          </w:p>
        </w:tc>
        <w:tc>
          <w:tcPr>
            <w:tcW w:w="0" w:type="auto"/>
            <w:tcBorders>
              <w:bottom w:val="single" w:sz="4" w:space="0" w:color="auto"/>
            </w:tcBorders>
          </w:tcPr>
          <w:p w:rsidR="009D789E" w:rsidRPr="00501FF2" w:rsidRDefault="009D789E">
            <w:pPr>
              <w:shd w:val="clear" w:color="000000" w:fill="auto"/>
              <w:autoSpaceDE w:val="0"/>
              <w:autoSpaceDN w:val="0"/>
              <w:adjustRightInd w:val="0"/>
              <w:spacing w:beforeLines="60" w:before="144" w:line="200" w:lineRule="exact"/>
              <w:jc w:val="center"/>
              <w:rPr>
                <w:rStyle w:val="Kapitler-fotnoter"/>
                <w:b/>
                <w:sz w:val="16"/>
                <w:szCs w:val="16"/>
                <w:lang w:val="sv-SE"/>
              </w:rPr>
            </w:pPr>
            <w:smartTag w:uri="urn:schemas-microsoft-com:office:smarttags" w:element="place">
              <w:smartTag w:uri="urn:schemas-microsoft-com:office:smarttags" w:element="country-region">
                <w:r w:rsidRPr="00501FF2">
                  <w:rPr>
                    <w:rStyle w:val="Kapitler-fotnoter"/>
                    <w:b/>
                    <w:sz w:val="16"/>
                    <w:szCs w:val="16"/>
                    <w:lang w:val="sv-SE"/>
                  </w:rPr>
                  <w:t>USA</w:t>
                </w:r>
              </w:smartTag>
            </w:smartTag>
          </w:p>
        </w:tc>
      </w:tr>
      <w:tr w:rsidR="009D789E" w:rsidRPr="00501FF2" w:rsidTr="008C58E9">
        <w:tc>
          <w:tcPr>
            <w:tcW w:w="2268" w:type="dxa"/>
            <w:tcBorders>
              <w:top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left"/>
              <w:rPr>
                <w:sz w:val="16"/>
                <w:szCs w:val="16"/>
              </w:rPr>
            </w:pPr>
            <w:r w:rsidRPr="00501FF2">
              <w:rPr>
                <w:sz w:val="16"/>
                <w:szCs w:val="16"/>
              </w:rPr>
              <w:t xml:space="preserve">Real tillväxt </w:t>
            </w:r>
            <w:r w:rsidRPr="00501FF2">
              <w:rPr>
                <w:rStyle w:val="Kapitler-fotnoter"/>
                <w:sz w:val="16"/>
                <w:szCs w:val="16"/>
                <w:lang w:val="sv-SE"/>
              </w:rPr>
              <w:t>BNP</w:t>
            </w:r>
            <w:r w:rsidRPr="00501FF2">
              <w:rPr>
                <w:sz w:val="16"/>
                <w:szCs w:val="16"/>
              </w:rPr>
              <w:t xml:space="preserve"> per invånare ($</w:t>
            </w:r>
            <w:r w:rsidR="00691658" w:rsidRPr="00501FF2">
              <w:rPr>
                <w:sz w:val="16"/>
                <w:szCs w:val="16"/>
              </w:rPr>
              <w:t>, 1985 års prisnivå</w:t>
            </w:r>
            <w:r w:rsidRPr="00501FF2">
              <w:rPr>
                <w:sz w:val="16"/>
                <w:szCs w:val="16"/>
              </w:rPr>
              <w:t>)</w:t>
            </w:r>
          </w:p>
        </w:tc>
        <w:tc>
          <w:tcPr>
            <w:tcW w:w="0" w:type="auto"/>
            <w:tcBorders>
              <w:top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1</w:t>
            </w:r>
            <w:r w:rsidR="00DE10AC" w:rsidRPr="00501FF2">
              <w:rPr>
                <w:sz w:val="16"/>
                <w:szCs w:val="16"/>
              </w:rPr>
              <w:t xml:space="preserve"> </w:t>
            </w:r>
            <w:r w:rsidRPr="00501FF2">
              <w:rPr>
                <w:sz w:val="16"/>
                <w:szCs w:val="16"/>
              </w:rPr>
              <w:t xml:space="preserve">485 </w:t>
            </w:r>
          </w:p>
        </w:tc>
        <w:tc>
          <w:tcPr>
            <w:tcW w:w="0" w:type="auto"/>
            <w:tcBorders>
              <w:top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1</w:t>
            </w:r>
            <w:r w:rsidR="00DE10AC" w:rsidRPr="00501FF2">
              <w:rPr>
                <w:sz w:val="16"/>
                <w:szCs w:val="16"/>
              </w:rPr>
              <w:t xml:space="preserve"> </w:t>
            </w:r>
            <w:r w:rsidRPr="00501FF2">
              <w:rPr>
                <w:sz w:val="16"/>
                <w:szCs w:val="16"/>
              </w:rPr>
              <w:t xml:space="preserve">555 </w:t>
            </w:r>
          </w:p>
        </w:tc>
        <w:tc>
          <w:tcPr>
            <w:tcW w:w="0" w:type="auto"/>
            <w:tcBorders>
              <w:top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2</w:t>
            </w:r>
            <w:r w:rsidR="00DE10AC" w:rsidRPr="00501FF2">
              <w:rPr>
                <w:sz w:val="16"/>
                <w:szCs w:val="16"/>
              </w:rPr>
              <w:t xml:space="preserve"> </w:t>
            </w:r>
            <w:r w:rsidRPr="00501FF2">
              <w:rPr>
                <w:sz w:val="16"/>
                <w:szCs w:val="16"/>
              </w:rPr>
              <w:t xml:space="preserve">666 </w:t>
            </w:r>
          </w:p>
        </w:tc>
        <w:tc>
          <w:tcPr>
            <w:tcW w:w="0" w:type="auto"/>
            <w:tcBorders>
              <w:top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1</w:t>
            </w:r>
            <w:r w:rsidR="00DE10AC" w:rsidRPr="00501FF2">
              <w:rPr>
                <w:sz w:val="16"/>
                <w:szCs w:val="16"/>
              </w:rPr>
              <w:t xml:space="preserve"> </w:t>
            </w:r>
            <w:r w:rsidRPr="00501FF2">
              <w:rPr>
                <w:sz w:val="16"/>
                <w:szCs w:val="16"/>
              </w:rPr>
              <w:t>978</w:t>
            </w:r>
          </w:p>
        </w:tc>
        <w:tc>
          <w:tcPr>
            <w:tcW w:w="0" w:type="auto"/>
            <w:tcBorders>
              <w:top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1</w:t>
            </w:r>
            <w:r w:rsidR="00DE10AC" w:rsidRPr="00501FF2">
              <w:rPr>
                <w:sz w:val="16"/>
                <w:szCs w:val="16"/>
              </w:rPr>
              <w:t xml:space="preserve"> </w:t>
            </w:r>
            <w:r w:rsidRPr="00501FF2">
              <w:rPr>
                <w:sz w:val="16"/>
                <w:szCs w:val="16"/>
              </w:rPr>
              <w:t>398</w:t>
            </w:r>
          </w:p>
        </w:tc>
        <w:tc>
          <w:tcPr>
            <w:tcW w:w="0" w:type="auto"/>
            <w:tcBorders>
              <w:top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2</w:t>
            </w:r>
            <w:r w:rsidR="00DE10AC" w:rsidRPr="00501FF2">
              <w:rPr>
                <w:sz w:val="16"/>
                <w:szCs w:val="16"/>
              </w:rPr>
              <w:t xml:space="preserve"> </w:t>
            </w:r>
            <w:r w:rsidRPr="00501FF2">
              <w:rPr>
                <w:sz w:val="16"/>
                <w:szCs w:val="16"/>
              </w:rPr>
              <w:t>543</w:t>
            </w:r>
          </w:p>
        </w:tc>
      </w:tr>
      <w:tr w:rsidR="009D789E" w:rsidRPr="00501FF2" w:rsidTr="008C58E9">
        <w:tc>
          <w:tcPr>
            <w:tcW w:w="2268" w:type="dxa"/>
          </w:tcPr>
          <w:p w:rsidR="009D789E" w:rsidRPr="00501FF2" w:rsidRDefault="00691658">
            <w:pPr>
              <w:shd w:val="clear" w:color="000000" w:fill="auto"/>
              <w:autoSpaceDE w:val="0"/>
              <w:autoSpaceDN w:val="0"/>
              <w:adjustRightInd w:val="0"/>
              <w:spacing w:before="60" w:line="200" w:lineRule="exact"/>
              <w:jc w:val="left"/>
              <w:rPr>
                <w:sz w:val="16"/>
                <w:szCs w:val="16"/>
              </w:rPr>
            </w:pPr>
            <w:r w:rsidRPr="00501FF2">
              <w:rPr>
                <w:sz w:val="16"/>
                <w:szCs w:val="16"/>
              </w:rPr>
              <w:t>Handelsbalans (av BNP</w:t>
            </w:r>
            <w:r w:rsidR="009D789E" w:rsidRPr="00501FF2">
              <w:rPr>
                <w:sz w:val="16"/>
                <w:szCs w:val="16"/>
              </w:rPr>
              <w:t xml:space="preserve">) </w:t>
            </w:r>
          </w:p>
        </w:tc>
        <w:tc>
          <w:tcPr>
            <w:tcW w:w="0" w:type="auto"/>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 xml:space="preserve">0,03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0,37 </w:t>
            </w:r>
          </w:p>
        </w:tc>
        <w:tc>
          <w:tcPr>
            <w:tcW w:w="0" w:type="auto"/>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 xml:space="preserve">0,28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1,22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0,92 </w:t>
            </w:r>
          </w:p>
        </w:tc>
        <w:tc>
          <w:tcPr>
            <w:tcW w:w="0" w:type="auto"/>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1,98</w:t>
            </w:r>
          </w:p>
        </w:tc>
      </w:tr>
      <w:tr w:rsidR="009D789E" w:rsidRPr="00501FF2" w:rsidTr="008C58E9">
        <w:tc>
          <w:tcPr>
            <w:tcW w:w="2268" w:type="dxa"/>
            <w:vAlign w:val="bottom"/>
          </w:tcPr>
          <w:p w:rsidR="009D789E" w:rsidRPr="00501FF2" w:rsidRDefault="00691658">
            <w:pPr>
              <w:shd w:val="clear" w:color="000000" w:fill="auto"/>
              <w:autoSpaceDE w:val="0"/>
              <w:autoSpaceDN w:val="0"/>
              <w:adjustRightInd w:val="0"/>
              <w:spacing w:before="60" w:line="200" w:lineRule="exact"/>
              <w:jc w:val="left"/>
              <w:rPr>
                <w:sz w:val="16"/>
                <w:szCs w:val="16"/>
              </w:rPr>
            </w:pPr>
            <w:r w:rsidRPr="00501FF2">
              <w:rPr>
                <w:sz w:val="16"/>
                <w:szCs w:val="16"/>
              </w:rPr>
              <w:t xml:space="preserve">Inflation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8,9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9,6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7,6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8,6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7,5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5,4</w:t>
            </w:r>
          </w:p>
        </w:tc>
      </w:tr>
      <w:tr w:rsidR="009D789E" w:rsidRPr="00501FF2" w:rsidTr="008C58E9">
        <w:tc>
          <w:tcPr>
            <w:tcW w:w="2268" w:type="dxa"/>
            <w:vAlign w:val="bottom"/>
          </w:tcPr>
          <w:p w:rsidR="009D789E" w:rsidRPr="00501FF2" w:rsidRDefault="00691658">
            <w:pPr>
              <w:shd w:val="clear" w:color="000000" w:fill="auto"/>
              <w:autoSpaceDE w:val="0"/>
              <w:autoSpaceDN w:val="0"/>
              <w:adjustRightInd w:val="0"/>
              <w:spacing w:before="60" w:line="200" w:lineRule="exact"/>
              <w:jc w:val="left"/>
              <w:rPr>
                <w:sz w:val="16"/>
                <w:szCs w:val="16"/>
              </w:rPr>
            </w:pPr>
            <w:r w:rsidRPr="00501FF2">
              <w:rPr>
                <w:sz w:val="16"/>
                <w:szCs w:val="16"/>
              </w:rPr>
              <w:t>Arbetslöshet</w:t>
            </w:r>
            <w:r w:rsidR="009D789E" w:rsidRPr="00501FF2">
              <w:rPr>
                <w:sz w:val="16"/>
                <w:szCs w:val="16"/>
              </w:rPr>
              <w:t xml:space="preserve">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1,7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4,1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6,5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2,1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9,6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7,3</w:t>
            </w:r>
          </w:p>
        </w:tc>
      </w:tr>
      <w:tr w:rsidR="009D789E" w:rsidRPr="00501FF2" w:rsidTr="008C58E9">
        <w:tc>
          <w:tcPr>
            <w:tcW w:w="2268" w:type="dxa"/>
            <w:vAlign w:val="bottom"/>
          </w:tcPr>
          <w:p w:rsidR="009D789E" w:rsidRPr="00501FF2" w:rsidRDefault="00B85E84">
            <w:pPr>
              <w:shd w:val="clear" w:color="000000" w:fill="auto"/>
              <w:autoSpaceDE w:val="0"/>
              <w:autoSpaceDN w:val="0"/>
              <w:adjustRightInd w:val="0"/>
              <w:spacing w:before="60" w:line="200" w:lineRule="exact"/>
              <w:jc w:val="left"/>
              <w:rPr>
                <w:sz w:val="16"/>
                <w:szCs w:val="16"/>
              </w:rPr>
            </w:pPr>
            <w:r w:rsidRPr="00501FF2">
              <w:rPr>
                <w:sz w:val="16"/>
                <w:szCs w:val="16"/>
              </w:rPr>
              <w:t>Andel sysselsatta (15–</w:t>
            </w:r>
            <w:r w:rsidR="00691658" w:rsidRPr="00501FF2">
              <w:rPr>
                <w:sz w:val="16"/>
                <w:szCs w:val="16"/>
              </w:rPr>
              <w:t>64 år, 1970 resp. 1989</w:t>
            </w:r>
            <w:r w:rsidR="009D789E" w:rsidRPr="00501FF2">
              <w:rPr>
                <w:sz w:val="16"/>
                <w:szCs w:val="16"/>
              </w:rPr>
              <w:t xml:space="preserve">)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73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64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64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82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60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73</w:t>
            </w:r>
          </w:p>
        </w:tc>
      </w:tr>
      <w:tr w:rsidR="009D789E" w:rsidRPr="00501FF2" w:rsidTr="008C58E9">
        <w:tc>
          <w:tcPr>
            <w:tcW w:w="2268" w:type="dxa"/>
            <w:vAlign w:val="bottom"/>
          </w:tcPr>
          <w:p w:rsidR="009D789E" w:rsidRPr="00501FF2" w:rsidRDefault="009D789E">
            <w:pPr>
              <w:shd w:val="clear" w:color="000000" w:fill="auto"/>
              <w:autoSpaceDE w:val="0"/>
              <w:autoSpaceDN w:val="0"/>
              <w:adjustRightInd w:val="0"/>
              <w:spacing w:before="60" w:line="200" w:lineRule="exact"/>
              <w:jc w:val="left"/>
              <w:rPr>
                <w:sz w:val="16"/>
                <w:szCs w:val="16"/>
              </w:rPr>
            </w:pPr>
            <w:r w:rsidRPr="00501FF2">
              <w:rPr>
                <w:sz w:val="16"/>
                <w:szCs w:val="16"/>
              </w:rPr>
              <w:t>A</w:t>
            </w:r>
            <w:r w:rsidR="00691658" w:rsidRPr="00501FF2">
              <w:rPr>
                <w:sz w:val="16"/>
                <w:szCs w:val="16"/>
              </w:rPr>
              <w:t>ndel kvinnor i sysselsättning (se ovan</w:t>
            </w:r>
            <w:r w:rsidRPr="00501FF2">
              <w:rPr>
                <w:sz w:val="16"/>
                <w:szCs w:val="16"/>
              </w:rPr>
              <w:t xml:space="preserve">)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61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42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49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81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54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68</w:t>
            </w:r>
          </w:p>
        </w:tc>
      </w:tr>
      <w:tr w:rsidR="009D789E" w:rsidRPr="00501FF2" w:rsidTr="008C58E9">
        <w:tc>
          <w:tcPr>
            <w:tcW w:w="2268" w:type="dxa"/>
            <w:vAlign w:val="bottom"/>
          </w:tcPr>
          <w:p w:rsidR="009D789E" w:rsidRPr="00501FF2" w:rsidRDefault="00691658">
            <w:pPr>
              <w:shd w:val="clear" w:color="000000" w:fill="auto"/>
              <w:autoSpaceDE w:val="0"/>
              <w:autoSpaceDN w:val="0"/>
              <w:adjustRightInd w:val="0"/>
              <w:spacing w:before="60" w:line="200" w:lineRule="exact"/>
              <w:jc w:val="left"/>
              <w:rPr>
                <w:sz w:val="16"/>
                <w:szCs w:val="16"/>
              </w:rPr>
            </w:pPr>
            <w:r w:rsidRPr="00501FF2">
              <w:rPr>
                <w:sz w:val="16"/>
                <w:szCs w:val="16"/>
              </w:rPr>
              <w:t>Budgetunderskott (av BNP</w:t>
            </w:r>
            <w:r w:rsidR="009D789E" w:rsidRPr="00501FF2">
              <w:rPr>
                <w:sz w:val="16"/>
                <w:szCs w:val="16"/>
              </w:rPr>
              <w:t>)</w:t>
            </w:r>
            <w:r w:rsidR="0003574A" w:rsidRPr="00501FF2">
              <w:rPr>
                <w:szCs w:val="19"/>
                <w:vertAlign w:val="superscript"/>
              </w:rPr>
              <w:footnoteReference w:id="3"/>
            </w:r>
            <w:r w:rsidR="009D789E" w:rsidRPr="00501FF2">
              <w:rPr>
                <w:szCs w:val="19"/>
                <w:vertAlign w:val="superscript"/>
              </w:rPr>
              <w:t xml:space="preserve"> </w:t>
            </w:r>
          </w:p>
        </w:tc>
        <w:tc>
          <w:tcPr>
            <w:tcW w:w="0" w:type="auto"/>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0,9 </w:t>
            </w:r>
          </w:p>
        </w:tc>
        <w:tc>
          <w:tcPr>
            <w:tcW w:w="0" w:type="auto"/>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 xml:space="preserve">3,7 </w:t>
            </w:r>
          </w:p>
        </w:tc>
        <w:tc>
          <w:tcPr>
            <w:tcW w:w="0" w:type="auto"/>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 xml:space="preserve">1,3 </w:t>
            </w:r>
          </w:p>
        </w:tc>
        <w:tc>
          <w:tcPr>
            <w:tcW w:w="0" w:type="auto"/>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 xml:space="preserve">1,6 </w:t>
            </w:r>
          </w:p>
        </w:tc>
        <w:tc>
          <w:tcPr>
            <w:tcW w:w="0" w:type="auto"/>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 xml:space="preserve">4 </w:t>
            </w:r>
          </w:p>
        </w:tc>
        <w:tc>
          <w:tcPr>
            <w:tcW w:w="0" w:type="auto"/>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2,5</w:t>
            </w:r>
          </w:p>
        </w:tc>
      </w:tr>
      <w:tr w:rsidR="009D789E" w:rsidRPr="00501FF2" w:rsidTr="008C58E9">
        <w:tc>
          <w:tcPr>
            <w:tcW w:w="2268" w:type="dxa"/>
            <w:tcBorders>
              <w:bottom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left"/>
              <w:rPr>
                <w:sz w:val="16"/>
                <w:szCs w:val="16"/>
              </w:rPr>
            </w:pPr>
            <w:r w:rsidRPr="00501FF2">
              <w:rPr>
                <w:sz w:val="16"/>
                <w:szCs w:val="16"/>
              </w:rPr>
              <w:t>Offentlig nettoskuld</w:t>
            </w:r>
            <w:r w:rsidR="00691658" w:rsidRPr="00501FF2">
              <w:rPr>
                <w:sz w:val="16"/>
                <w:szCs w:val="16"/>
              </w:rPr>
              <w:t xml:space="preserve"> (</w:t>
            </w:r>
            <w:r w:rsidRPr="00501FF2">
              <w:rPr>
                <w:sz w:val="16"/>
                <w:szCs w:val="16"/>
              </w:rPr>
              <w:t>av BNP</w:t>
            </w:r>
            <w:r w:rsidR="0003574A" w:rsidRPr="00501FF2">
              <w:rPr>
                <w:sz w:val="16"/>
                <w:szCs w:val="16"/>
              </w:rPr>
              <w:t>, 1979 resp. 1989</w:t>
            </w:r>
            <w:r w:rsidRPr="00501FF2">
              <w:rPr>
                <w:sz w:val="16"/>
                <w:szCs w:val="16"/>
              </w:rPr>
              <w:t>)</w:t>
            </w:r>
            <w:r w:rsidRPr="00501FF2">
              <w:rPr>
                <w:szCs w:val="19"/>
                <w:vertAlign w:val="superscript"/>
              </w:rPr>
              <w:footnoteReference w:id="4"/>
            </w:r>
            <w:r w:rsidRPr="00501FF2">
              <w:t xml:space="preserve"> </w:t>
            </w:r>
          </w:p>
        </w:tc>
        <w:tc>
          <w:tcPr>
            <w:tcW w:w="0" w:type="auto"/>
            <w:tcBorders>
              <w:bottom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19,8</w:t>
            </w:r>
          </w:p>
        </w:tc>
        <w:tc>
          <w:tcPr>
            <w:tcW w:w="0" w:type="auto"/>
            <w:tcBorders>
              <w:bottom w:val="single" w:sz="4" w:space="0" w:color="auto"/>
            </w:tcBorders>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 xml:space="preserve">32,1 </w:t>
            </w:r>
          </w:p>
        </w:tc>
        <w:tc>
          <w:tcPr>
            <w:tcW w:w="0" w:type="auto"/>
            <w:tcBorders>
              <w:bottom w:val="single" w:sz="4" w:space="0" w:color="auto"/>
            </w:tcBorders>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 xml:space="preserve">19,1 </w:t>
            </w:r>
          </w:p>
        </w:tc>
        <w:tc>
          <w:tcPr>
            <w:tcW w:w="0" w:type="auto"/>
            <w:tcBorders>
              <w:bottom w:val="single" w:sz="4" w:space="0" w:color="auto"/>
            </w:tcBorders>
            <w:vAlign w:val="bottom"/>
          </w:tcPr>
          <w:p w:rsidR="009D789E" w:rsidRPr="00501FF2" w:rsidRDefault="009D789E">
            <w:pPr>
              <w:shd w:val="clear" w:color="000000" w:fill="auto"/>
              <w:autoSpaceDE w:val="0"/>
              <w:autoSpaceDN w:val="0"/>
              <w:adjustRightInd w:val="0"/>
              <w:spacing w:before="60" w:line="200" w:lineRule="exact"/>
              <w:jc w:val="right"/>
              <w:rPr>
                <w:sz w:val="16"/>
                <w:szCs w:val="16"/>
              </w:rPr>
            </w:pPr>
            <w:r w:rsidRPr="00501FF2">
              <w:rPr>
                <w:sz w:val="16"/>
                <w:szCs w:val="16"/>
              </w:rPr>
              <w:t xml:space="preserve">5,4 </w:t>
            </w:r>
          </w:p>
        </w:tc>
        <w:tc>
          <w:tcPr>
            <w:tcW w:w="0" w:type="auto"/>
            <w:tcBorders>
              <w:bottom w:val="single" w:sz="4" w:space="0" w:color="auto"/>
            </w:tcBorders>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 xml:space="preserve">59 </w:t>
            </w:r>
          </w:p>
        </w:tc>
        <w:tc>
          <w:tcPr>
            <w:tcW w:w="0" w:type="auto"/>
            <w:tcBorders>
              <w:bottom w:val="single" w:sz="4" w:space="0" w:color="auto"/>
            </w:tcBorders>
            <w:vAlign w:val="bottom"/>
          </w:tcPr>
          <w:p w:rsidR="009D789E" w:rsidRPr="00501FF2" w:rsidRDefault="00DE10AC">
            <w:pPr>
              <w:shd w:val="clear" w:color="000000" w:fill="auto"/>
              <w:autoSpaceDE w:val="0"/>
              <w:autoSpaceDN w:val="0"/>
              <w:adjustRightInd w:val="0"/>
              <w:spacing w:before="60" w:line="200" w:lineRule="exact"/>
              <w:jc w:val="right"/>
              <w:rPr>
                <w:sz w:val="16"/>
                <w:szCs w:val="16"/>
              </w:rPr>
            </w:pPr>
            <w:r w:rsidRPr="00501FF2">
              <w:rPr>
                <w:sz w:val="16"/>
                <w:szCs w:val="16"/>
              </w:rPr>
              <w:t>–</w:t>
            </w:r>
            <w:r w:rsidR="009D789E" w:rsidRPr="00501FF2">
              <w:rPr>
                <w:sz w:val="16"/>
                <w:szCs w:val="16"/>
              </w:rPr>
              <w:t>30,4</w:t>
            </w:r>
          </w:p>
        </w:tc>
      </w:tr>
    </w:tbl>
    <w:p w:rsidR="009D789E" w:rsidRPr="00501FF2" w:rsidRDefault="009D789E">
      <w:pPr>
        <w:shd w:val="clear" w:color="000000" w:fill="auto"/>
      </w:pPr>
      <w:r w:rsidRPr="00501FF2">
        <w:t>Sambandet mellan en mycket låg inflationsnivå och hög tillväxt har inte något robust empiriskt stöd. Att skenande hyperinflation är ett tecken på allvarliga problem i ekonomin och också skapar problem för prissättning, sparande och investeringar, är uppenbart men knappast relevant när den svenska situationen ska bedömas.</w:t>
      </w:r>
    </w:p>
    <w:p w:rsidR="009D789E" w:rsidRPr="00501FF2" w:rsidRDefault="009D789E">
      <w:pPr>
        <w:pStyle w:val="Normaltindrag"/>
        <w:shd w:val="clear" w:color="000000" w:fill="auto"/>
      </w:pPr>
      <w:r w:rsidRPr="00501FF2">
        <w:t>Eftersom tillväxtforskningen i hög utsträckning yttrar sig genom regre</w:t>
      </w:r>
      <w:r w:rsidRPr="00501FF2">
        <w:t>s</w:t>
      </w:r>
      <w:r w:rsidRPr="00501FF2">
        <w:t>sionsanalyser där många olika faktorer kan testas för ”signifika</w:t>
      </w:r>
      <w:r w:rsidR="005E6C84" w:rsidRPr="00501FF2">
        <w:t>nta” effekter på tillväxttakten</w:t>
      </w:r>
      <w:r w:rsidRPr="00501FF2">
        <w:t xml:space="preserve"> går det förstås att finna studier som visar på ett positivt sa</w:t>
      </w:r>
      <w:r w:rsidRPr="00501FF2">
        <w:t>m</w:t>
      </w:r>
      <w:r w:rsidRPr="00501FF2">
        <w:t>band mellan låg inflation och högre tillväxt. Men det finns samtidigt gott om empiriska studier som visar på helt andra resultat. I den stora EMU-utredningens referens till forskningsläget konstaterade man att den ”empiriska forskningen om de samhällsekonomiska kostnaderna av inflation finner i allmänhet att de är relativt små vid att en måttlig inflationstakt – under 10 procent”.</w:t>
      </w:r>
      <w:r w:rsidRPr="00501FF2">
        <w:rPr>
          <w:rStyle w:val="Fotnotsreferens"/>
        </w:rPr>
        <w:footnoteReference w:id="5"/>
      </w:r>
      <w:r w:rsidRPr="00501FF2">
        <w:t xml:space="preserve"> Flera andra mer eller mindre omfattande historiska regressionsst</w:t>
      </w:r>
      <w:r w:rsidRPr="00501FF2">
        <w:t>u</w:t>
      </w:r>
      <w:r w:rsidRPr="00501FF2">
        <w:t>dier pekar också i denna riktning – något samband har varit svårt att belägga.</w:t>
      </w:r>
      <w:r w:rsidRPr="00501FF2">
        <w:rPr>
          <w:rStyle w:val="Fotnotsreferens"/>
        </w:rPr>
        <w:footnoteReference w:id="6"/>
      </w:r>
      <w:r w:rsidRPr="00501FF2">
        <w:t xml:space="preserve"> I den föredragning som Mats Kinnwall från Handelsbanken höll för finansu</w:t>
      </w:r>
      <w:r w:rsidRPr="00501FF2">
        <w:t>t</w:t>
      </w:r>
      <w:r w:rsidRPr="00501FF2">
        <w:t xml:space="preserve">skottet den </w:t>
      </w:r>
      <w:r w:rsidR="005F7CB9" w:rsidRPr="00501FF2">
        <w:t>20</w:t>
      </w:r>
      <w:r w:rsidRPr="00501FF2">
        <w:t xml:space="preserve"> februari 2007 kunde man se att det i ett urval av 18 OECD-länder sedan 1992 har funnits ett starkt signifikant, </w:t>
      </w:r>
      <w:r w:rsidRPr="00501FF2">
        <w:rPr>
          <w:i/>
        </w:rPr>
        <w:t>positivt</w:t>
      </w:r>
      <w:r w:rsidRPr="00501FF2">
        <w:t xml:space="preserve"> samband mellan genomsnittlig inflation och genomsnittlig tillväxt. Samma typ av resultat (men för årtiondet innan) redovisas av Ehrenberg &amp; Ljunggren, baserat på siffror från </w:t>
      </w:r>
      <w:r w:rsidR="00DE10AC" w:rsidRPr="00501FF2">
        <w:t>Världsbanken</w:t>
      </w:r>
      <w:r w:rsidRPr="00501FF2">
        <w:t>.</w:t>
      </w:r>
      <w:r w:rsidRPr="00501FF2">
        <w:rPr>
          <w:rStyle w:val="Fotnotsreferens"/>
        </w:rPr>
        <w:footnoteReference w:id="7"/>
      </w:r>
      <w:r w:rsidRPr="00501FF2">
        <w:t xml:space="preserve"> Här delas 64 länder upp i fem grupper, med grund i genomsnittlig inflationstakt 1980</w:t>
      </w:r>
      <w:r w:rsidR="00410B71" w:rsidRPr="00501FF2">
        <w:t>–</w:t>
      </w:r>
      <w:r w:rsidRPr="00501FF2">
        <w:t>1993. Den högsta genomsnittliga tillvä</w:t>
      </w:r>
      <w:r w:rsidRPr="00501FF2">
        <w:t>x</w:t>
      </w:r>
      <w:r w:rsidRPr="00501FF2">
        <w:t>ten visar sig då finnas i gruppen med en inflationstakt på 4,6</w:t>
      </w:r>
      <w:r w:rsidR="00410B71" w:rsidRPr="00501FF2">
        <w:t>–</w:t>
      </w:r>
      <w:r w:rsidRPr="00501FF2">
        <w:t>7,</w:t>
      </w:r>
      <w:r w:rsidR="00DE10AC" w:rsidRPr="00501FF2">
        <w:t>5 </w:t>
      </w:r>
      <w:r w:rsidR="009C6B96" w:rsidRPr="00501FF2">
        <w:t>%</w:t>
      </w:r>
      <w:r w:rsidRPr="00501FF2">
        <w:t>, följt av gruppen med en inflationstakt på 7,6</w:t>
      </w:r>
      <w:r w:rsidR="00410B71" w:rsidRPr="00501FF2">
        <w:t>–</w:t>
      </w:r>
      <w:r w:rsidRPr="00501FF2">
        <w:t>12,5</w:t>
      </w:r>
      <w:r w:rsidR="00DE10AC" w:rsidRPr="00501FF2">
        <w:t> </w:t>
      </w:r>
      <w:r w:rsidRPr="00501FF2">
        <w:t>%. Först därefter kommer gruppen med den lägsta inflationen. Bruno &amp; Easterly</w:t>
      </w:r>
      <w:r w:rsidRPr="00501FF2">
        <w:rPr>
          <w:rStyle w:val="Fotnotsreferens"/>
        </w:rPr>
        <w:footnoteReference w:id="8"/>
      </w:r>
      <w:r w:rsidRPr="00501FF2">
        <w:t xml:space="preserve"> visar för ett stort urval av årl</w:t>
      </w:r>
      <w:r w:rsidRPr="00501FF2">
        <w:t>i</w:t>
      </w:r>
      <w:r w:rsidRPr="00501FF2">
        <w:t>ga observationer 1960</w:t>
      </w:r>
      <w:r w:rsidR="00410B71" w:rsidRPr="00501FF2">
        <w:t>–</w:t>
      </w:r>
      <w:r w:rsidRPr="00501FF2">
        <w:t>1972 att observationerna i gruppen med en inflation på 10</w:t>
      </w:r>
      <w:r w:rsidR="00410B71" w:rsidRPr="00501FF2">
        <w:t>–</w:t>
      </w:r>
      <w:r w:rsidRPr="00501FF2">
        <w:t>20</w:t>
      </w:r>
      <w:r w:rsidR="00DE10AC" w:rsidRPr="00501FF2">
        <w:t> </w:t>
      </w:r>
      <w:r w:rsidRPr="00501FF2">
        <w:t xml:space="preserve">% uppvisade den högsta per </w:t>
      </w:r>
      <w:r w:rsidR="009C6B96" w:rsidRPr="00501FF2">
        <w:t>capitatillväxten</w:t>
      </w:r>
      <w:r w:rsidRPr="00501FF2">
        <w:t>. Exemplen kan flerfald</w:t>
      </w:r>
      <w:r w:rsidRPr="00501FF2">
        <w:t>i</w:t>
      </w:r>
      <w:r w:rsidRPr="00501FF2">
        <w:t>gas.</w:t>
      </w:r>
    </w:p>
    <w:p w:rsidR="009D789E" w:rsidRPr="00501FF2" w:rsidRDefault="009D789E">
      <w:pPr>
        <w:pStyle w:val="Normaltindrag"/>
        <w:shd w:val="clear" w:color="000000" w:fill="auto"/>
      </w:pPr>
      <w:r w:rsidRPr="00501FF2">
        <w:t xml:space="preserve">Av dessa konstateranden följer </w:t>
      </w:r>
      <w:r w:rsidRPr="00501FF2">
        <w:rPr>
          <w:i/>
        </w:rPr>
        <w:t>inte</w:t>
      </w:r>
      <w:r w:rsidRPr="00501FF2">
        <w:t xml:space="preserve"> att en hög eller volatil inflationstakt är </w:t>
      </w:r>
      <w:r w:rsidRPr="00501FF2">
        <w:rPr>
          <w:i/>
        </w:rPr>
        <w:t>eftersträvansvärt</w:t>
      </w:r>
      <w:r w:rsidRPr="00501FF2">
        <w:t>. Istället manar detta till ett ifrågasättande av fokuseringen på (en mycket låg) inflationstakt som en viktig målvariabel för den ekonomiska politiken. Vi menar att de samhällsekonomiska implikationerna av pennin</w:t>
      </w:r>
      <w:r w:rsidRPr="00501FF2">
        <w:t>g</w:t>
      </w:r>
      <w:r w:rsidRPr="00501FF2">
        <w:t>politiken i första hand är intressanta om man tittar på de bredare samhällsek</w:t>
      </w:r>
      <w:r w:rsidRPr="00501FF2">
        <w:t>o</w:t>
      </w:r>
      <w:r w:rsidRPr="00501FF2">
        <w:t xml:space="preserve">nomiska effekterna – och då särskilt följderna för </w:t>
      </w:r>
      <w:r w:rsidRPr="00501FF2">
        <w:rPr>
          <w:i/>
        </w:rPr>
        <w:t>arbetsmarknaden</w:t>
      </w:r>
      <w:r w:rsidRPr="00501FF2">
        <w:t>. Det är också denna påverkan som tydliggör den politiska konfliktbild som framtr</w:t>
      </w:r>
      <w:r w:rsidRPr="00501FF2">
        <w:t>ä</w:t>
      </w:r>
      <w:r w:rsidRPr="00501FF2">
        <w:t>der kring synen på penningpolitikens utformning.</w:t>
      </w:r>
    </w:p>
    <w:p w:rsidR="009D789E" w:rsidRPr="00501FF2" w:rsidRDefault="009D789E">
      <w:pPr>
        <w:pStyle w:val="Rubrik1"/>
        <w:shd w:val="clear" w:color="000000" w:fill="auto"/>
      </w:pPr>
      <w:r w:rsidRPr="00501FF2">
        <w:t>Inflation och sysselsättning</w:t>
      </w:r>
    </w:p>
    <w:p w:rsidR="009D789E" w:rsidRPr="00501FF2" w:rsidRDefault="009D789E">
      <w:pPr>
        <w:shd w:val="clear" w:color="000000" w:fill="auto"/>
      </w:pPr>
      <w:r w:rsidRPr="00501FF2">
        <w:t xml:space="preserve">I Riksbankens promemoria </w:t>
      </w:r>
      <w:r w:rsidRPr="00501FF2">
        <w:rPr>
          <w:i/>
        </w:rPr>
        <w:t>Penningpolitiken i Sverige 2007</w:t>
      </w:r>
      <w:r w:rsidRPr="00501FF2">
        <w:t xml:space="preserve"> återupprepas det synsätt som ligger till grund för </w:t>
      </w:r>
      <w:r w:rsidR="00DE10AC" w:rsidRPr="00501FF2">
        <w:t xml:space="preserve">Riksbankens </w:t>
      </w:r>
      <w:r w:rsidRPr="00501FF2">
        <w:t>penningpolitiska arbete:</w:t>
      </w:r>
    </w:p>
    <w:p w:rsidR="009D789E" w:rsidRPr="00501FF2" w:rsidRDefault="009D789E">
      <w:pPr>
        <w:pStyle w:val="Citat"/>
        <w:shd w:val="clear" w:color="000000" w:fill="auto"/>
      </w:pPr>
      <w:r w:rsidRPr="00501FF2">
        <w:t>Den arbetsgrupp som tog fram den nya riksbankslagen diskuterade om målet om fast penningvärde borde kompletteras med mål för t.ex. BNP-tillväxt och sysselsättning (Ds 1997:50). Arbetsgruppen ansåg att Rik</w:t>
      </w:r>
      <w:r w:rsidRPr="00501FF2">
        <w:t>s</w:t>
      </w:r>
      <w:r w:rsidRPr="00501FF2">
        <w:t>banken, utan att åsidosätta prisstabilitetsmålet, skulle stödja målen för den allmänna ekonomiska politiken i syfte att uppnå hållbar tillväxt och hög sysselsättning. Under riksdagsbehandlingen ansågs det att detta föl</w:t>
      </w:r>
      <w:r w:rsidRPr="00501FF2">
        <w:t>j</w:t>
      </w:r>
      <w:r w:rsidRPr="00501FF2">
        <w:t>de av att Riksbanken är en myndighet under riksdagen och att detta dä</w:t>
      </w:r>
      <w:r w:rsidRPr="00501FF2">
        <w:t>r</w:t>
      </w:r>
      <w:r w:rsidRPr="00501FF2">
        <w:t xml:space="preserve">för inte behövde lagfästas. Sådana mål skulle dessutom både vara </w:t>
      </w:r>
      <w:r w:rsidRPr="00501FF2">
        <w:rPr>
          <w:i/>
        </w:rPr>
        <w:t>svåra att förena med regelverket inom EU och olämpliga med tanke på att pe</w:t>
      </w:r>
      <w:r w:rsidRPr="00501FF2">
        <w:rPr>
          <w:i/>
        </w:rPr>
        <w:t>n</w:t>
      </w:r>
      <w:r w:rsidRPr="00501FF2">
        <w:rPr>
          <w:i/>
        </w:rPr>
        <w:t>ningpolitiken inte kan påverka tillväxt och sysselsättning på ett bestående sätt</w:t>
      </w:r>
      <w:r w:rsidRPr="00501FF2">
        <w:t>. (s.</w:t>
      </w:r>
      <w:r w:rsidR="005E6C84" w:rsidRPr="00501FF2">
        <w:t xml:space="preserve"> </w:t>
      </w:r>
      <w:r w:rsidRPr="00501FF2">
        <w:t>13</w:t>
      </w:r>
      <w:r w:rsidR="003D425E" w:rsidRPr="00501FF2">
        <w:t>,</w:t>
      </w:r>
      <w:r w:rsidRPr="00501FF2">
        <w:t xml:space="preserve"> vår kursivering)</w:t>
      </w:r>
      <w:r w:rsidR="00103075" w:rsidRPr="00501FF2">
        <w:t>.</w:t>
      </w:r>
    </w:p>
    <w:p w:rsidR="009D789E" w:rsidRPr="00501FF2" w:rsidRDefault="009D789E">
      <w:pPr>
        <w:shd w:val="clear" w:color="000000" w:fill="auto"/>
      </w:pPr>
      <w:r w:rsidRPr="00501FF2">
        <w:t>I debatten refereras ofta till en tidigare spridd uppfattning om ett utbytesfö</w:t>
      </w:r>
      <w:r w:rsidRPr="00501FF2">
        <w:t>r</w:t>
      </w:r>
      <w:r w:rsidRPr="00501FF2">
        <w:t>hållande mellan inflation och arbetslöshet. Ett sådant empiriskt samband uttrycktes i den så kallade Phillipskurvan, vilket ibland antytts betyda att samhället genom penningpolitiken kan välja att placera sig på någon punkt längs kurvan vad avser inflation och därmed inkassera en motsvarande arbet</w:t>
      </w:r>
      <w:r w:rsidRPr="00501FF2">
        <w:t>s</w:t>
      </w:r>
      <w:r w:rsidRPr="00501FF2">
        <w:t>löshetsnivå. Detta synsätt kom dock att kritiseras a</w:t>
      </w:r>
      <w:r w:rsidR="005E6C84" w:rsidRPr="00501FF2">
        <w:t>v neoklassiska nationa</w:t>
      </w:r>
      <w:r w:rsidR="005E6C84" w:rsidRPr="00501FF2">
        <w:t>l</w:t>
      </w:r>
      <w:r w:rsidR="005E6C84" w:rsidRPr="00501FF2">
        <w:t>ekonomer</w:t>
      </w:r>
      <w:r w:rsidRPr="00501FF2">
        <w:t xml:space="preserve"> som menar att något sådant samband inte kan finnas, i alla fall inte ”på lång sikt”. Det är den uppfattningen som kommer till uttryck i Riksba</w:t>
      </w:r>
      <w:r w:rsidRPr="00501FF2">
        <w:t>n</w:t>
      </w:r>
      <w:r w:rsidRPr="00501FF2">
        <w:t>kens beskrivning ovan.</w:t>
      </w:r>
    </w:p>
    <w:p w:rsidR="009D789E" w:rsidRPr="00501FF2" w:rsidRDefault="009D789E">
      <w:pPr>
        <w:pStyle w:val="Normaltindrag"/>
        <w:shd w:val="clear" w:color="000000" w:fill="auto"/>
      </w:pPr>
      <w:r w:rsidRPr="00501FF2">
        <w:t>Frågan kan förefalla teknisk, men grundläggande för kritiken är ett mer djupgående nationalekonomiskt resonemang som har tydliga politiska impl</w:t>
      </w:r>
      <w:r w:rsidRPr="00501FF2">
        <w:t>i</w:t>
      </w:r>
      <w:r w:rsidRPr="00501FF2">
        <w:t>kationer. Det rör synen på arbetsmarknaden och på politikens räckvidd. I Giavazzi och Mishkins utvärderingsrapport</w:t>
      </w:r>
      <w:r w:rsidRPr="00501FF2">
        <w:rPr>
          <w:rStyle w:val="Fotnotsreferens"/>
          <w:spacing w:val="-2"/>
        </w:rPr>
        <w:footnoteReference w:id="9"/>
      </w:r>
      <w:r w:rsidRPr="00501FF2">
        <w:t xml:space="preserve"> uttrycks detta tydligare:</w:t>
      </w:r>
    </w:p>
    <w:p w:rsidR="009D789E" w:rsidRPr="00501FF2" w:rsidRDefault="009D789E">
      <w:pPr>
        <w:pStyle w:val="Citat"/>
        <w:shd w:val="clear" w:color="000000" w:fill="auto"/>
      </w:pPr>
      <w:r w:rsidRPr="00501FF2">
        <w:t>Denna tes vederlades dock av forskning i slutet av 1960-talet och på 1970-talet. I sina berömda artiklar visade Edmund Phelps och Milton Fr</w:t>
      </w:r>
      <w:r w:rsidRPr="00501FF2">
        <w:t>i</w:t>
      </w:r>
      <w:r w:rsidRPr="00501FF2">
        <w:t xml:space="preserve">edman att ekonomin på sikt strävar mot någon </w:t>
      </w:r>
      <w:r w:rsidRPr="00501FF2">
        <w:rPr>
          <w:i/>
        </w:rPr>
        <w:t>naturlig arbetslöshetsnivå</w:t>
      </w:r>
      <w:r w:rsidRPr="00501FF2">
        <w:t xml:space="preserve"> oavsett inflationstakt. Försök att få arbetslösheten att sjunka under denna </w:t>
      </w:r>
      <w:r w:rsidRPr="00501FF2">
        <w:rPr>
          <w:i/>
        </w:rPr>
        <w:t>naturliga nivå</w:t>
      </w:r>
      <w:r w:rsidRPr="00501FF2">
        <w:t xml:space="preserve"> leder bara till inflation. (s. 10, våra kursiveringar)</w:t>
      </w:r>
      <w:r w:rsidR="00103075" w:rsidRPr="00501FF2">
        <w:t>.</w:t>
      </w:r>
    </w:p>
    <w:p w:rsidR="009D789E" w:rsidRPr="00501FF2" w:rsidRDefault="009D789E">
      <w:pPr>
        <w:shd w:val="clear" w:color="000000" w:fill="auto"/>
      </w:pPr>
      <w:r w:rsidRPr="00501FF2">
        <w:t>Denna teoretiska modell korresponderar med den neoklassiska nationalek</w:t>
      </w:r>
      <w:r w:rsidRPr="00501FF2">
        <w:t>o</w:t>
      </w:r>
      <w:r w:rsidRPr="00501FF2">
        <w:t>nomins beskrivning av verkligheten,</w:t>
      </w:r>
      <w:r w:rsidRPr="00501FF2">
        <w:rPr>
          <w:rStyle w:val="Fotnotsreferens"/>
        </w:rPr>
        <w:footnoteReference w:id="10"/>
      </w:r>
      <w:r w:rsidRPr="00501FF2">
        <w:t xml:space="preserve"> och betyder att arbetsmarknaden betra</w:t>
      </w:r>
      <w:r w:rsidRPr="00501FF2">
        <w:t>k</w:t>
      </w:r>
      <w:r w:rsidRPr="00501FF2">
        <w:t>tas som vilken marknad som helst, där utbud och efterfrågan bestämmer priset på varan. Av en sådan syn följer att det finns en nivå för arbetslösheten ”i jämvikt” mot vilken ekonomin ”strävar efter” på ”lång sikt”. Arbetslösheten blir enligt ett sådant synsätt så låg som möjligt om det finns så lite som mö</w:t>
      </w:r>
      <w:r w:rsidRPr="00501FF2">
        <w:t>j</w:t>
      </w:r>
      <w:r w:rsidRPr="00501FF2">
        <w:t>ligt som hindrar en ”marknadsmässig” prissättning, så att utbud och efterfr</w:t>
      </w:r>
      <w:r w:rsidRPr="00501FF2">
        <w:t>å</w:t>
      </w:r>
      <w:r w:rsidRPr="00501FF2">
        <w:t>gan kan mötas på arbetsmarknaden. I en sådan marknadsmodell är det natu</w:t>
      </w:r>
      <w:r w:rsidRPr="00501FF2">
        <w:t>r</w:t>
      </w:r>
      <w:r w:rsidRPr="00501FF2">
        <w:t>ligt att fackföreningars krav på goda, kollektivt framförhandlade lönevillkor, eller en arbetsrättslagstiftning som skyddar arbetstagare från godtycke, utgör ”stelheter” som ”stör” den fria prisbildningen och därmed höjer nivån på ”jämviktsarbetslösheten”.</w:t>
      </w:r>
    </w:p>
    <w:p w:rsidR="009D789E" w:rsidRPr="00501FF2" w:rsidRDefault="009D789E">
      <w:pPr>
        <w:pStyle w:val="Normaltindrag"/>
        <w:shd w:val="clear" w:color="000000" w:fill="auto"/>
      </w:pPr>
      <w:r w:rsidRPr="00501FF2">
        <w:t>En sådan beskrivning av arbetsmarknaden pekar därmed ständigt ut ”stru</w:t>
      </w:r>
      <w:r w:rsidRPr="00501FF2">
        <w:t>k</w:t>
      </w:r>
      <w:r w:rsidRPr="00501FF2">
        <w:t>turreformer” och reformer som antas påverka arbetsmarknadens utbudssida, som de på lång sikt enda möjligheterna att öka sysselsättningen. Den ekon</w:t>
      </w:r>
      <w:r w:rsidRPr="00501FF2">
        <w:t>o</w:t>
      </w:r>
      <w:r w:rsidRPr="00501FF2">
        <w:t>miska politikens uppgift blir i detta perspektiv att släppa fram de ”fria” mar</w:t>
      </w:r>
      <w:r w:rsidRPr="00501FF2">
        <w:t>k</w:t>
      </w:r>
      <w:r w:rsidRPr="00501FF2">
        <w:t xml:space="preserve">nadskrafterna. Efterfrågan på arbetskraft, liksom fördelningen mellan vinster och löner, får inte någon vikt i en sådan beskrivning. Detta är uppenbart ett fundamentalt </w:t>
      </w:r>
      <w:r w:rsidRPr="00501FF2">
        <w:rPr>
          <w:i/>
        </w:rPr>
        <w:t>politiskt</w:t>
      </w:r>
      <w:r w:rsidRPr="00501FF2">
        <w:t xml:space="preserve"> ställningstagande om hur samhället ska organiseras.</w:t>
      </w:r>
    </w:p>
    <w:p w:rsidR="009D789E" w:rsidRPr="00501FF2" w:rsidRDefault="009D789E">
      <w:pPr>
        <w:pStyle w:val="Normaltindrag"/>
        <w:shd w:val="clear" w:color="000000" w:fill="auto"/>
      </w:pPr>
      <w:r w:rsidRPr="00501FF2">
        <w:t xml:space="preserve">I verkligheten är arbetsmarknaden inte vilken marknad som helst. Arbete är en grundläggande </w:t>
      </w:r>
      <w:r w:rsidRPr="00501FF2">
        <w:rPr>
          <w:i/>
        </w:rPr>
        <w:t>social</w:t>
      </w:r>
      <w:r w:rsidRPr="00501FF2">
        <w:t xml:space="preserve"> process. Det som med ett marknadsanpassat språkbruk kallas efterfrågan p</w:t>
      </w:r>
      <w:r w:rsidR="007D1D0F" w:rsidRPr="00501FF2">
        <w:t>å arbete</w:t>
      </w:r>
      <w:r w:rsidRPr="00501FF2">
        <w:t xml:space="preserve"> är aldrig ett privat beslut av en isolerad arbetsgivare, utan något som bestäms av samhällsekonomiska sammanhang och som i sin tur påverkar vad det blir för</w:t>
      </w:r>
      <w:r w:rsidR="003D425E" w:rsidRPr="00501FF2">
        <w:t xml:space="preserve"> samhälle vi lever i. Hur många</w:t>
      </w:r>
      <w:r w:rsidRPr="00501FF2">
        <w:t xml:space="preserve"> arbeten som efterfrågas, och vilka, är en angelägenhet för alla i samhället, inte bara för den arbetsgivare och arbetstagare som sluter avtal på marknaden. </w:t>
      </w:r>
      <w:r w:rsidRPr="00501FF2">
        <w:rPr>
          <w:rStyle w:val="Kondenserad"/>
        </w:rPr>
        <w:t>Arbetslöshet är ett samhällsproblem med samhälleliga lösningar, inte ett indiv</w:t>
      </w:r>
      <w:r w:rsidRPr="00501FF2">
        <w:rPr>
          <w:rStyle w:val="Kondenserad"/>
        </w:rPr>
        <w:t>i</w:t>
      </w:r>
      <w:r w:rsidRPr="00501FF2">
        <w:rPr>
          <w:rStyle w:val="Kondenserad"/>
        </w:rPr>
        <w:t>duellt</w:t>
      </w:r>
      <w:r w:rsidRPr="00501FF2">
        <w:t xml:space="preserve"> problem. Vad som händer på arbetsmarknaden är också centralt för maktrelationerna i samhället.</w:t>
      </w:r>
    </w:p>
    <w:p w:rsidR="009D789E" w:rsidRPr="00501FF2" w:rsidRDefault="009D789E">
      <w:pPr>
        <w:pStyle w:val="Normaltindrag"/>
        <w:shd w:val="clear" w:color="000000" w:fill="auto"/>
      </w:pPr>
      <w:r w:rsidRPr="00501FF2">
        <w:t>Vänsterpartiet avvisar den nyliberala samhällssyn som ligger till grund för dagens penningpolitiska modell. Institutionaliseringen av denna syn har inn</w:t>
      </w:r>
      <w:r w:rsidRPr="00501FF2">
        <w:t>e</w:t>
      </w:r>
      <w:r w:rsidRPr="00501FF2">
        <w:t>burit att det politiska målet om full sysselsättning fått karaktären av rituell fras. Det är ett polit</w:t>
      </w:r>
      <w:r w:rsidR="007D1D0F" w:rsidRPr="00501FF2">
        <w:t>iskt skifte i europeisk politik</w:t>
      </w:r>
      <w:r w:rsidRPr="00501FF2">
        <w:t xml:space="preserve"> som inneburit stora kostn</w:t>
      </w:r>
      <w:r w:rsidRPr="00501FF2">
        <w:t>a</w:t>
      </w:r>
      <w:r w:rsidRPr="00501FF2">
        <w:t>der för vanliga människor. Sverige har en stark välfärdsmodell och fortfara</w:t>
      </w:r>
      <w:r w:rsidRPr="00501FF2">
        <w:t>n</w:t>
      </w:r>
      <w:r w:rsidRPr="00501FF2">
        <w:t>de en sysselsättningsnivå som ligger klart över det europeiska genomsnittet. Men tillsammans med andra delar av det ekonomisk-politiska ramverket har en betydligt högre arbetslöshetsnivå än decennierna efter andra världskriget bitit sig fast.</w:t>
      </w:r>
    </w:p>
    <w:p w:rsidR="009D789E" w:rsidRPr="00501FF2" w:rsidRDefault="009D789E">
      <w:pPr>
        <w:pStyle w:val="Normaltindrag"/>
        <w:shd w:val="clear" w:color="000000" w:fill="auto"/>
      </w:pPr>
      <w:r w:rsidRPr="00501FF2">
        <w:t xml:space="preserve">Det är alltså </w:t>
      </w:r>
      <w:r w:rsidRPr="00501FF2">
        <w:rPr>
          <w:i/>
        </w:rPr>
        <w:t>inte</w:t>
      </w:r>
      <w:r w:rsidRPr="00501FF2">
        <w:t xml:space="preserve"> </w:t>
      </w:r>
      <w:r w:rsidR="003D425E" w:rsidRPr="00501FF2">
        <w:t xml:space="preserve">Vänsterpartiets </w:t>
      </w:r>
      <w:r w:rsidRPr="00501FF2">
        <w:t xml:space="preserve">uppfattning att penningpolitiken ensam kan förklara den högre arbetslösheten. Det är heller inte </w:t>
      </w:r>
      <w:r w:rsidR="003D425E" w:rsidRPr="00501FF2">
        <w:t xml:space="preserve">Vänsterpartiets </w:t>
      </w:r>
      <w:r w:rsidRPr="00501FF2">
        <w:t>up</w:t>
      </w:r>
      <w:r w:rsidRPr="00501FF2">
        <w:t>p</w:t>
      </w:r>
      <w:r w:rsidRPr="00501FF2">
        <w:t>fattning att infla</w:t>
      </w:r>
      <w:r w:rsidR="007D1D0F" w:rsidRPr="00501FF2">
        <w:t>tion är något eftersträvansvärt</w:t>
      </w:r>
      <w:r w:rsidRPr="00501FF2">
        <w:t xml:space="preserve"> eller att </w:t>
      </w:r>
      <w:r w:rsidR="003D425E" w:rsidRPr="00501FF2">
        <w:t xml:space="preserve">Riksbanken </w:t>
      </w:r>
      <w:r w:rsidRPr="00501FF2">
        <w:t>genom att sikta på en högre inflationstakt automatiskt kan bidra till en högre sysselsät</w:t>
      </w:r>
      <w:r w:rsidRPr="00501FF2">
        <w:t>t</w:t>
      </w:r>
      <w:r w:rsidRPr="00501FF2">
        <w:t xml:space="preserve">ning. Däremot menar vi att det ekonomisk-politiska ramverket, där </w:t>
      </w:r>
      <w:r w:rsidR="003D425E" w:rsidRPr="00501FF2">
        <w:t>Riksba</w:t>
      </w:r>
      <w:r w:rsidR="003D425E" w:rsidRPr="00501FF2">
        <w:t>n</w:t>
      </w:r>
      <w:r w:rsidR="003D425E" w:rsidRPr="00501FF2">
        <w:t xml:space="preserve">kens </w:t>
      </w:r>
      <w:r w:rsidRPr="00501FF2">
        <w:t>självständiga ställning utgör en del, sammantaget gör att den ekonomi</w:t>
      </w:r>
      <w:r w:rsidRPr="00501FF2">
        <w:t>s</w:t>
      </w:r>
      <w:r w:rsidRPr="00501FF2">
        <w:t xml:space="preserve">ka politiken inte </w:t>
      </w:r>
      <w:r w:rsidR="007D1D0F" w:rsidRPr="00501FF2">
        <w:t>inriktas på efterfrågestimulans</w:t>
      </w:r>
      <w:r w:rsidRPr="00501FF2">
        <w:t xml:space="preserve"> och att åtgärder för att få ned arbetslösheten motverkas.</w:t>
      </w:r>
    </w:p>
    <w:p w:rsidR="00343120" w:rsidRPr="00501FF2" w:rsidRDefault="009D789E">
      <w:pPr>
        <w:pStyle w:val="Normaltindrag"/>
        <w:shd w:val="clear" w:color="000000" w:fill="auto"/>
      </w:pPr>
      <w:r w:rsidRPr="00501FF2">
        <w:t>En rörlig och dynamisk ekonomi tenderar att generera viss inflation. Man kan föra en</w:t>
      </w:r>
      <w:r w:rsidR="007D1D0F" w:rsidRPr="00501FF2">
        <w:t xml:space="preserve"> diskussion om varför det är så</w:t>
      </w:r>
      <w:r w:rsidRPr="00501FF2">
        <w:t xml:space="preserve"> och om vad det är som framför allt driver på inflationen.</w:t>
      </w:r>
      <w:r w:rsidR="00343120" w:rsidRPr="00501FF2">
        <w:t xml:space="preserve"> Det </w:t>
      </w:r>
      <w:r w:rsidR="00DF771C" w:rsidRPr="00501FF2">
        <w:t>är till exempel inte politiskt svår</w:t>
      </w:r>
      <w:r w:rsidR="00343120" w:rsidRPr="00501FF2">
        <w:t xml:space="preserve">förklarligt att </w:t>
      </w:r>
      <w:r w:rsidR="0044282F" w:rsidRPr="00501FF2">
        <w:t>lön</w:t>
      </w:r>
      <w:r w:rsidR="0044282F" w:rsidRPr="00501FF2">
        <w:t>e</w:t>
      </w:r>
      <w:r w:rsidR="0044282F" w:rsidRPr="00501FF2">
        <w:t xml:space="preserve">utvecklingens effekter </w:t>
      </w:r>
      <w:r w:rsidR="00DF771C" w:rsidRPr="00501FF2">
        <w:t xml:space="preserve">på inflationstakten </w:t>
      </w:r>
      <w:r w:rsidR="00DF2BD0" w:rsidRPr="00501FF2">
        <w:t xml:space="preserve">ofta </w:t>
      </w:r>
      <w:r w:rsidR="00DF771C" w:rsidRPr="00501FF2">
        <w:t>röner större intresse i de et</w:t>
      </w:r>
      <w:r w:rsidR="007D1D0F" w:rsidRPr="00501FF2">
        <w:t>abl</w:t>
      </w:r>
      <w:r w:rsidR="007D1D0F" w:rsidRPr="00501FF2">
        <w:t>e</w:t>
      </w:r>
      <w:r w:rsidR="007D1D0F" w:rsidRPr="00501FF2">
        <w:t>rade analyserna</w:t>
      </w:r>
      <w:r w:rsidR="00DF771C" w:rsidRPr="00501FF2">
        <w:t xml:space="preserve"> än exempelvis företagsvinster och aktieutdelningar</w:t>
      </w:r>
      <w:r w:rsidR="00DF2BD0" w:rsidRPr="00501FF2">
        <w:t>.</w:t>
      </w:r>
    </w:p>
    <w:p w:rsidR="009D789E" w:rsidRPr="00501FF2" w:rsidRDefault="009D789E">
      <w:pPr>
        <w:pStyle w:val="Normaltindrag"/>
        <w:shd w:val="clear" w:color="000000" w:fill="auto"/>
      </w:pPr>
      <w:r w:rsidRPr="00501FF2">
        <w:t xml:space="preserve">Men </w:t>
      </w:r>
      <w:r w:rsidR="00DF771C" w:rsidRPr="00501FF2">
        <w:t xml:space="preserve">under alla omständigheter är det </w:t>
      </w:r>
      <w:r w:rsidRPr="00501FF2">
        <w:t>mer klart att ett ökat resursutnyt</w:t>
      </w:r>
      <w:r w:rsidR="003D425E" w:rsidRPr="00501FF2">
        <w:t>tja</w:t>
      </w:r>
      <w:r w:rsidR="003D425E" w:rsidRPr="00501FF2">
        <w:t>n</w:t>
      </w:r>
      <w:r w:rsidR="003D425E" w:rsidRPr="00501FF2">
        <w:t>de i en ekonomisk expansion</w:t>
      </w:r>
      <w:r w:rsidRPr="00501FF2">
        <w:t xml:space="preserve"> kan motverkas av räntehöjningar. Och till skil</w:t>
      </w:r>
      <w:r w:rsidRPr="00501FF2">
        <w:t>l</w:t>
      </w:r>
      <w:r w:rsidRPr="00501FF2">
        <w:t>nad från svårigheterna att finna ett negativt samband mellan en måttl</w:t>
      </w:r>
      <w:r w:rsidR="007D1D0F" w:rsidRPr="00501FF2">
        <w:t xml:space="preserve">igt hög inflation och tillväxt </w:t>
      </w:r>
      <w:r w:rsidRPr="00501FF2">
        <w:t>är det lätt att hitta avskräckande historiska exempel på allvarliga problem som kan följa på deflationstendenser i ekonomin.</w:t>
      </w:r>
    </w:p>
    <w:p w:rsidR="009D789E" w:rsidRPr="00501FF2" w:rsidRDefault="009D789E">
      <w:pPr>
        <w:pStyle w:val="Normaltindrag"/>
        <w:shd w:val="clear" w:color="000000" w:fill="auto"/>
      </w:pPr>
      <w:r w:rsidRPr="00501FF2">
        <w:t xml:space="preserve">Den nuvarande ordningen för penningpolitiken innebär dock att </w:t>
      </w:r>
      <w:r w:rsidR="003D425E" w:rsidRPr="00501FF2">
        <w:t>Riksba</w:t>
      </w:r>
      <w:r w:rsidR="003D425E" w:rsidRPr="00501FF2">
        <w:t>n</w:t>
      </w:r>
      <w:r w:rsidR="003D425E" w:rsidRPr="00501FF2">
        <w:t xml:space="preserve">ken </w:t>
      </w:r>
      <w:r w:rsidRPr="00501FF2">
        <w:t>kan och</w:t>
      </w:r>
      <w:r w:rsidR="003D425E" w:rsidRPr="00501FF2">
        <w:t xml:space="preserve"> ska</w:t>
      </w:r>
      <w:r w:rsidRPr="00501FF2">
        <w:t xml:space="preserve"> motver</w:t>
      </w:r>
      <w:r w:rsidR="007D1D0F" w:rsidRPr="00501FF2">
        <w:t>ka en förbättrad sysselsättning</w:t>
      </w:r>
      <w:r w:rsidRPr="00501FF2">
        <w:t xml:space="preserve"> om den menar att de</w:t>
      </w:r>
      <w:r w:rsidRPr="00501FF2">
        <w:t>n</w:t>
      </w:r>
      <w:r w:rsidRPr="00501FF2">
        <w:t>na sysselsättningsökning står i motsättning till den egna bedömningen om ”jämviktsnivån” på arbetslöshet. Vänsterpartiet menar att detta är samhäll</w:t>
      </w:r>
      <w:r w:rsidRPr="00501FF2">
        <w:t>s</w:t>
      </w:r>
      <w:r w:rsidRPr="00501FF2">
        <w:t>ekonomiskt problematiskt.</w:t>
      </w:r>
    </w:p>
    <w:p w:rsidR="009D789E" w:rsidRPr="00501FF2" w:rsidRDefault="009D789E">
      <w:pPr>
        <w:pStyle w:val="Normaltindrag"/>
        <w:shd w:val="clear" w:color="000000" w:fill="auto"/>
      </w:pPr>
      <w:r w:rsidRPr="00501FF2">
        <w:t xml:space="preserve">Vänsterpartiet konstaterar samtidigt att detta förhållande erbjuder en </w:t>
      </w:r>
      <w:r w:rsidRPr="00501FF2">
        <w:rPr>
          <w:i/>
        </w:rPr>
        <w:t>pol</w:t>
      </w:r>
      <w:r w:rsidRPr="00501FF2">
        <w:rPr>
          <w:i/>
        </w:rPr>
        <w:t>i</w:t>
      </w:r>
      <w:r w:rsidRPr="00501FF2">
        <w:rPr>
          <w:i/>
        </w:rPr>
        <w:t>tisk</w:t>
      </w:r>
      <w:r w:rsidRPr="00501FF2">
        <w:t xml:space="preserve"> förklaring till att den penningpolitiska modellen försvaras högerifrån. Om möjligheterna att prioritera arbetslöshetsbekämpningen och inrikta samhällets resurser dit begrä</w:t>
      </w:r>
      <w:r w:rsidR="007D1D0F" w:rsidRPr="00501FF2">
        <w:t>nsas</w:t>
      </w:r>
      <w:r w:rsidRPr="00501FF2">
        <w:t xml:space="preserve"> sätts istället en press nedåt på löner och arbetsvillkor. I grunden är det denna dragkamp – en återspegling av den basala motsättningen mellan arbete och kapital – som styr synen på prisstabilitet i debatten om penningpolitiken. Vi menar att det är d</w:t>
      </w:r>
      <w:r w:rsidR="007D1D0F" w:rsidRPr="00501FF2">
        <w:t>ags att göra upp med denna syn</w:t>
      </w:r>
      <w:r w:rsidRPr="00501FF2">
        <w:t xml:space="preserve"> som lett till allvarlig</w:t>
      </w:r>
      <w:r w:rsidR="003D425E" w:rsidRPr="00501FF2">
        <w:t>a sociala misslyckanden i hela v</w:t>
      </w:r>
      <w:r w:rsidRPr="00501FF2">
        <w:t>ästvärlden. Det är fullt möjligt – och önskvärt – att genom demokratiska politiska beslut påverka samhällsu</w:t>
      </w:r>
      <w:r w:rsidRPr="00501FF2">
        <w:t>t</w:t>
      </w:r>
      <w:r w:rsidRPr="00501FF2">
        <w:t xml:space="preserve">vecklingen. Det bör vara en självklarhet att resursfördelningen i samhället – där skapandet av </w:t>
      </w:r>
      <w:r w:rsidRPr="00501FF2">
        <w:rPr>
          <w:i/>
        </w:rPr>
        <w:t>efterfrågan</w:t>
      </w:r>
      <w:r w:rsidRPr="00501FF2">
        <w:t xml:space="preserve"> på arbete ingår – är en fråga för den ekonomiska politiken.</w:t>
      </w:r>
    </w:p>
    <w:p w:rsidR="009D789E" w:rsidRPr="00501FF2" w:rsidRDefault="009D789E">
      <w:pPr>
        <w:pStyle w:val="Rubrik1"/>
        <w:shd w:val="clear" w:color="000000" w:fill="auto"/>
      </w:pPr>
      <w:r w:rsidRPr="00501FF2">
        <w:t>Utvärderingen av penningpolitiken 1995</w:t>
      </w:r>
      <w:r w:rsidR="007D1D0F" w:rsidRPr="00501FF2">
        <w:t>–</w:t>
      </w:r>
      <w:r w:rsidRPr="00501FF2">
        <w:t>2005</w:t>
      </w:r>
    </w:p>
    <w:p w:rsidR="009D789E" w:rsidRPr="00501FF2" w:rsidRDefault="009D789E">
      <w:pPr>
        <w:shd w:val="clear" w:color="000000" w:fill="auto"/>
      </w:pPr>
      <w:r w:rsidRPr="00501FF2">
        <w:t>Vi väljer i denna motion främst att rikta uppmärksamhet mot en grundlägga</w:t>
      </w:r>
      <w:r w:rsidRPr="00501FF2">
        <w:t>n</w:t>
      </w:r>
      <w:r w:rsidRPr="00501FF2">
        <w:t>de kritik av det penningpolitiska systemet. Den utvärdering som riksdagens finansutskott fattade beslut om i november 2005 och som presenterades i november 2006 (2006/07:RFR1) utgår från samma synsätt som varit vägl</w:t>
      </w:r>
      <w:r w:rsidRPr="00501FF2">
        <w:t>e</w:t>
      </w:r>
      <w:r w:rsidRPr="00501FF2">
        <w:t xml:space="preserve">dande för besluten om </w:t>
      </w:r>
      <w:r w:rsidR="003D425E" w:rsidRPr="00501FF2">
        <w:t xml:space="preserve">Riksbankens </w:t>
      </w:r>
      <w:r w:rsidRPr="00501FF2">
        <w:t>ställning. Vi genomför mot bakgrund av detta inte någon explicit genomgång av utvärderingens rekommendationer här. Utvärderingen är dock ändå intressant på flera sätt. Det gäller inte minst för att den – som vi konstaterade ovan – på ett mer öppet och rättframt sätt än vad som är vanligt för de svenska försvararna av dagens modell, visar att den penningpolitiska regimen baseras på nyliberal nationalekonomisk teori.</w:t>
      </w:r>
    </w:p>
    <w:p w:rsidR="009D789E" w:rsidRPr="00501FF2" w:rsidRDefault="009D789E">
      <w:pPr>
        <w:pStyle w:val="Normaltindrag"/>
        <w:shd w:val="clear" w:color="000000" w:fill="auto"/>
      </w:pPr>
      <w:r w:rsidRPr="00501FF2">
        <w:t>Samtidigt ger utvärderingen i de konkreta förslagspunkterna rätt åt den kr</w:t>
      </w:r>
      <w:r w:rsidRPr="00501FF2">
        <w:t>i</w:t>
      </w:r>
      <w:r w:rsidRPr="00501FF2">
        <w:t xml:space="preserve">tik som bland andra </w:t>
      </w:r>
      <w:r w:rsidR="003D425E" w:rsidRPr="00501FF2">
        <w:t xml:space="preserve">Vänsterpartiet </w:t>
      </w:r>
      <w:r w:rsidRPr="00501FF2">
        <w:t xml:space="preserve">ofta fört fram mot </w:t>
      </w:r>
      <w:r w:rsidR="00C131AF" w:rsidRPr="00501FF2">
        <w:t xml:space="preserve">Riksbankens </w:t>
      </w:r>
      <w:r w:rsidRPr="00501FF2">
        <w:t>pennin</w:t>
      </w:r>
      <w:r w:rsidRPr="00501FF2">
        <w:t>g</w:t>
      </w:r>
      <w:r w:rsidRPr="00501FF2">
        <w:t>politik. Riksbanken har varit dålig på att uppnå sitt eget inflationsmål. Målet har underskridits systematiskt och långvarigt, vilket också enligt utvärderin</w:t>
      </w:r>
      <w:r w:rsidRPr="00501FF2">
        <w:t>g</w:t>
      </w:r>
      <w:r w:rsidRPr="00501FF2">
        <w:t>en lett till onödig</w:t>
      </w:r>
      <w:r w:rsidR="00C131AF" w:rsidRPr="00501FF2">
        <w:t>t</w:t>
      </w:r>
      <w:r w:rsidRPr="00501FF2">
        <w:t xml:space="preserve"> hög arbetslöshet</w:t>
      </w:r>
      <w:r w:rsidR="00103075" w:rsidRPr="00501FF2">
        <w:t>.</w:t>
      </w:r>
    </w:p>
    <w:p w:rsidR="009D789E" w:rsidRPr="00501FF2" w:rsidRDefault="009D789E">
      <w:pPr>
        <w:pStyle w:val="Normaltindrag"/>
        <w:shd w:val="clear" w:color="000000" w:fill="auto"/>
      </w:pPr>
      <w:r w:rsidRPr="00501FF2">
        <w:t>Detta aktualiserar också diskussionen om vad som är ”kort sikt” och ”lång sikt” i sammanhanget. Även om man skulle acceptera synsättet att det finns en ”jämviktsarbetslöshet” som inte penningpol</w:t>
      </w:r>
      <w:r w:rsidR="003C1893" w:rsidRPr="00501FF2">
        <w:t>itiken kan bidra till att rubba</w:t>
      </w:r>
      <w:r w:rsidRPr="00501FF2">
        <w:t xml:space="preserve"> bör man kunna se att en högre arbetslöshet på kort sikt också får långsiktiga effekter, till exempel i och med att människor förlorar kompetens och kanske inte kan komma tillbaka till arbetsmarknaden när arbetslösheten kommit ner till sin ”korrekta” nivå.</w:t>
      </w:r>
    </w:p>
    <w:p w:rsidR="009D789E" w:rsidRPr="00501FF2" w:rsidRDefault="009D789E">
      <w:pPr>
        <w:pStyle w:val="Normaltindrag"/>
        <w:shd w:val="clear" w:color="000000" w:fill="auto"/>
      </w:pPr>
      <w:r w:rsidRPr="00501FF2">
        <w:t>Utvärderingen visar samtidigt på problemen med att särskilja den pennin</w:t>
      </w:r>
      <w:r w:rsidRPr="00501FF2">
        <w:t>g</w:t>
      </w:r>
      <w:r w:rsidRPr="00501FF2">
        <w:t>politiska diskussionen från en allmän samhällspolitisk debatt. I utvärderingen lyser samhälleliga maktförhållanden helt med sin frånvaro. Men det kan, för att ta ett exempel, knappast vara en slump att husprisernas inflytande på infl</w:t>
      </w:r>
      <w:r w:rsidRPr="00501FF2">
        <w:t>a</w:t>
      </w:r>
      <w:r w:rsidRPr="00501FF2">
        <w:t>tionsbedömningarna blir föremål för väsentligt större diskussion än arbetslö</w:t>
      </w:r>
      <w:r w:rsidRPr="00501FF2">
        <w:t>s</w:t>
      </w:r>
      <w:r w:rsidRPr="00501FF2">
        <w:t>heten. Det torde ha ett samband med vilka samhällsskikt som först och sta</w:t>
      </w:r>
      <w:r w:rsidRPr="00501FF2">
        <w:t>r</w:t>
      </w:r>
      <w:r w:rsidRPr="00501FF2">
        <w:t>kast påverkas av förändrade huspriser respektive hög arbetslöshet.</w:t>
      </w:r>
    </w:p>
    <w:p w:rsidR="009D789E" w:rsidRPr="00501FF2" w:rsidRDefault="009D789E">
      <w:pPr>
        <w:pStyle w:val="Normaltindrag"/>
        <w:shd w:val="clear" w:color="000000" w:fill="auto"/>
      </w:pPr>
      <w:r w:rsidRPr="00501FF2">
        <w:t>Vänsterpartiet ser sammantaget utvärderingen som en intressant inlaga. Vi menar att den på ett bra sätt lyfter såväl riksbanksorganisati</w:t>
      </w:r>
      <w:r w:rsidR="003C1893" w:rsidRPr="00501FF2">
        <w:t>onens kompetens och förtjänster</w:t>
      </w:r>
      <w:r w:rsidRPr="00501FF2">
        <w:t xml:space="preserve"> som en del konkreta problem med dagens penningpolitik. För att komma tillrätta med mer grundläggande problem krävs dock en nyor</w:t>
      </w:r>
      <w:r w:rsidRPr="00501FF2">
        <w:t>d</w:t>
      </w:r>
      <w:r w:rsidRPr="00501FF2">
        <w:t xml:space="preserve">ning, som </w:t>
      </w:r>
      <w:r w:rsidR="00DF2BD0" w:rsidRPr="00501FF2">
        <w:t>innefattar</w:t>
      </w:r>
      <w:r w:rsidRPr="00501FF2">
        <w:t xml:space="preserve"> bland annat en förändring av riksbankslagen.</w:t>
      </w:r>
    </w:p>
    <w:p w:rsidR="009D789E" w:rsidRPr="00501FF2" w:rsidRDefault="009D789E">
      <w:pPr>
        <w:pStyle w:val="Rubrik1"/>
        <w:shd w:val="clear" w:color="000000" w:fill="auto"/>
      </w:pPr>
      <w:r w:rsidRPr="00501FF2">
        <w:t>En ny penningpolitisk målformulering</w:t>
      </w:r>
    </w:p>
    <w:p w:rsidR="009D789E" w:rsidRPr="00501FF2" w:rsidRDefault="009D789E">
      <w:pPr>
        <w:shd w:val="clear" w:color="000000" w:fill="auto"/>
      </w:pPr>
      <w:r w:rsidRPr="00501FF2">
        <w:t>Riksbankens nuvarande ställning och formuleringe</w:t>
      </w:r>
      <w:r w:rsidR="00B53F7D" w:rsidRPr="00501FF2">
        <w:t>n av målen för penningp</w:t>
      </w:r>
      <w:r w:rsidR="00B53F7D" w:rsidRPr="00501FF2">
        <w:t>o</w:t>
      </w:r>
      <w:r w:rsidR="00B53F7D" w:rsidRPr="00501FF2">
        <w:t xml:space="preserve">litiken </w:t>
      </w:r>
      <w:r w:rsidRPr="00501FF2">
        <w:t>utgör uttryck för ett ekonomiskt och politiskt systemskifte som i Sv</w:t>
      </w:r>
      <w:r w:rsidRPr="00501FF2">
        <w:t>e</w:t>
      </w:r>
      <w:r w:rsidRPr="00501FF2">
        <w:t>rige inleddes under 1980-talet. Det har inneburit en avdemokratisering av den ekonomiska politiken, permanent högre arbetslöshetsnivå sedan 1990-talskrisen och växande inkomst- och förmögenhetsklyftor.</w:t>
      </w:r>
    </w:p>
    <w:p w:rsidR="009D789E" w:rsidRPr="00501FF2" w:rsidRDefault="009D789E">
      <w:pPr>
        <w:pStyle w:val="Normaltindrag"/>
        <w:shd w:val="clear" w:color="000000" w:fill="auto"/>
      </w:pPr>
      <w:r w:rsidRPr="00501FF2">
        <w:t xml:space="preserve">Det är hög tid för en förnyelse av det ekonomisk-politiska ramverket. Det innebär bland annat att det penningpolitiska systemet </w:t>
      </w:r>
      <w:r w:rsidR="009B08A8" w:rsidRPr="00501FF2">
        <w:t>måste</w:t>
      </w:r>
      <w:r w:rsidRPr="00501FF2">
        <w:t xml:space="preserve"> förändras.</w:t>
      </w:r>
    </w:p>
    <w:p w:rsidR="009D789E" w:rsidRPr="00501FF2" w:rsidRDefault="009D789E">
      <w:pPr>
        <w:pStyle w:val="Normaltindrag"/>
        <w:shd w:val="clear" w:color="000000" w:fill="auto"/>
      </w:pPr>
      <w:r w:rsidRPr="00501FF2">
        <w:t xml:space="preserve">En förändring av </w:t>
      </w:r>
      <w:r w:rsidR="00C131AF" w:rsidRPr="00501FF2">
        <w:t xml:space="preserve">Riksbankens </w:t>
      </w:r>
      <w:r w:rsidRPr="00501FF2">
        <w:t>självständiga ställning kan förvisso komma i konflikt med EG-rätten. Även om Sverige formellt ingår i det europeiska centralbankssystemet redan i och med medlemska</w:t>
      </w:r>
      <w:r w:rsidR="00B53F7D" w:rsidRPr="00501FF2">
        <w:t>pet i EU</w:t>
      </w:r>
      <w:r w:rsidRPr="00501FF2">
        <w:t xml:space="preserve"> är det dock uppe</w:t>
      </w:r>
      <w:r w:rsidRPr="00501FF2">
        <w:t>n</w:t>
      </w:r>
      <w:r w:rsidRPr="00501FF2">
        <w:t xml:space="preserve">bart att de krav som ställs på en </w:t>
      </w:r>
      <w:r w:rsidR="009C6B96" w:rsidRPr="00501FF2">
        <w:t>sådan</w:t>
      </w:r>
      <w:r w:rsidRPr="00501FF2">
        <w:t xml:space="preserve"> självständighet i praktiken handlar om </w:t>
      </w:r>
      <w:r w:rsidR="00B53F7D" w:rsidRPr="00501FF2">
        <w:t>en anpassning till EMU-systemet</w:t>
      </w:r>
      <w:r w:rsidRPr="00501FF2">
        <w:t xml:space="preserve"> som svenska folket i en folk</w:t>
      </w:r>
      <w:r w:rsidR="00C131AF" w:rsidRPr="00501FF2">
        <w:t>om</w:t>
      </w:r>
      <w:r w:rsidRPr="00501FF2">
        <w:t>röstning avvisat. Det kan därför till exempel vara lämpligt att frågan löses i samband med ett formellt svenskt fördr</w:t>
      </w:r>
      <w:r w:rsidR="00C131AF" w:rsidRPr="00501FF2">
        <w:t>agsundantag från införandet av e</w:t>
      </w:r>
      <w:r w:rsidRPr="00501FF2">
        <w:t>uron.</w:t>
      </w:r>
    </w:p>
    <w:p w:rsidR="0039028B" w:rsidRPr="00501FF2" w:rsidRDefault="009D789E">
      <w:pPr>
        <w:pStyle w:val="Normaltindrag"/>
        <w:shd w:val="clear" w:color="000000" w:fill="auto"/>
      </w:pPr>
      <w:r w:rsidRPr="00501FF2">
        <w:t xml:space="preserve">Vänsterpartiet menar att utgångspunkten för </w:t>
      </w:r>
      <w:r w:rsidR="00C131AF" w:rsidRPr="00501FF2">
        <w:t xml:space="preserve">Riksbankens </w:t>
      </w:r>
      <w:r w:rsidRPr="00501FF2">
        <w:t>penningpolitik måste vara en del av den demokratiskt beslutade ekonomiska politiken. Det är inte rimligt att penningpolitiken inriktas på att ”stabilisera</w:t>
      </w:r>
      <w:r w:rsidR="00B53F7D" w:rsidRPr="00501FF2">
        <w:t>” resursutnyttjandet i ekonomi</w:t>
      </w:r>
      <w:r w:rsidR="00C131AF" w:rsidRPr="00501FF2">
        <w:t>n</w:t>
      </w:r>
      <w:r w:rsidRPr="00501FF2">
        <w:t xml:space="preserve"> när hundratusentals människor befinner sig utanför arbetsmarkn</w:t>
      </w:r>
      <w:r w:rsidRPr="00501FF2">
        <w:t>a</w:t>
      </w:r>
      <w:r w:rsidRPr="00501FF2">
        <w:t xml:space="preserve">den. Målformuleringen för den samlade ekonomiska politiken </w:t>
      </w:r>
      <w:r w:rsidR="00C131AF" w:rsidRPr="00501FF2">
        <w:t>ska</w:t>
      </w:r>
      <w:r w:rsidRPr="00501FF2">
        <w:t xml:space="preserve"> inbegripa full sysselsättning.</w:t>
      </w:r>
      <w:r w:rsidR="00103075" w:rsidRPr="00501FF2">
        <w:t xml:space="preserve"> </w:t>
      </w:r>
      <w:r w:rsidRPr="00501FF2">
        <w:t>Detta bör riksdagen som sin mening ge regeringen till</w:t>
      </w:r>
      <w:r w:rsidR="00C131AF" w:rsidRPr="00501FF2">
        <w:t xml:space="preserve"> </w:t>
      </w:r>
      <w:r w:rsidRPr="00501FF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FF2">
        <w:trPr>
          <w:cantSplit/>
        </w:trPr>
        <w:tc>
          <w:tcPr>
            <w:tcW w:w="3046" w:type="dxa"/>
          </w:tcPr>
          <w:p w:rsidR="00DA09F8" w:rsidRPr="00501FF2" w:rsidRDefault="00DA09F8">
            <w:pPr>
              <w:pStyle w:val="UnderskriftDatum"/>
              <w:shd w:val="clear" w:color="000000" w:fill="auto"/>
              <w:spacing w:before="240"/>
            </w:pPr>
            <w:r w:rsidRPr="00501FF2">
              <w:t>Stockholm den 12 mars 2007</w:t>
            </w:r>
          </w:p>
        </w:tc>
        <w:tc>
          <w:tcPr>
            <w:tcW w:w="3047" w:type="dxa"/>
          </w:tcPr>
          <w:p w:rsidR="00DA09F8" w:rsidRPr="00501FF2" w:rsidRDefault="00DA09F8">
            <w:pPr>
              <w:pStyle w:val="Underskrifter"/>
              <w:shd w:val="clear" w:color="000000" w:fill="auto"/>
              <w:spacing w:before="240"/>
            </w:pPr>
          </w:p>
        </w:tc>
      </w:tr>
      <w:tr w:rsidR="00000000" w:rsidRPr="00501FF2">
        <w:trPr>
          <w:cantSplit/>
        </w:trPr>
        <w:tc>
          <w:tcPr>
            <w:tcW w:w="3046" w:type="dxa"/>
          </w:tcPr>
          <w:p w:rsidR="00DA09F8" w:rsidRPr="00501FF2" w:rsidRDefault="00DA09F8">
            <w:pPr>
              <w:pStyle w:val="Underskrifter"/>
              <w:shd w:val="clear" w:color="000000" w:fill="auto"/>
            </w:pPr>
            <w:r w:rsidRPr="00501FF2">
              <w:t>Lars Ohly (v)</w:t>
            </w:r>
          </w:p>
        </w:tc>
        <w:tc>
          <w:tcPr>
            <w:tcW w:w="3046" w:type="dxa"/>
          </w:tcPr>
          <w:p w:rsidR="00DA09F8" w:rsidRPr="00501FF2" w:rsidRDefault="00DA09F8">
            <w:pPr>
              <w:pStyle w:val="Underskrifter"/>
              <w:shd w:val="clear" w:color="000000" w:fill="auto"/>
            </w:pPr>
          </w:p>
        </w:tc>
      </w:tr>
      <w:tr w:rsidR="00000000" w:rsidRPr="00501FF2">
        <w:trPr>
          <w:cantSplit/>
        </w:trPr>
        <w:tc>
          <w:tcPr>
            <w:tcW w:w="3046" w:type="dxa"/>
          </w:tcPr>
          <w:p w:rsidR="00DA09F8" w:rsidRPr="00501FF2" w:rsidRDefault="00DA09F8">
            <w:pPr>
              <w:pStyle w:val="Underskrifter"/>
              <w:shd w:val="clear" w:color="000000" w:fill="auto"/>
            </w:pPr>
            <w:r w:rsidRPr="00501FF2">
              <w:t>Wiwi-Anne Johansson (v)</w:t>
            </w:r>
          </w:p>
        </w:tc>
        <w:tc>
          <w:tcPr>
            <w:tcW w:w="3046" w:type="dxa"/>
          </w:tcPr>
          <w:p w:rsidR="00DA09F8" w:rsidRPr="00501FF2" w:rsidRDefault="00DA09F8">
            <w:pPr>
              <w:pStyle w:val="Underskrifter"/>
              <w:shd w:val="clear" w:color="000000" w:fill="auto"/>
            </w:pPr>
            <w:r w:rsidRPr="00501FF2">
              <w:t>Elina Linna (v)</w:t>
            </w:r>
          </w:p>
        </w:tc>
      </w:tr>
      <w:tr w:rsidR="00000000" w:rsidRPr="00501FF2">
        <w:trPr>
          <w:cantSplit/>
        </w:trPr>
        <w:tc>
          <w:tcPr>
            <w:tcW w:w="3046" w:type="dxa"/>
          </w:tcPr>
          <w:p w:rsidR="00DA09F8" w:rsidRPr="00501FF2" w:rsidRDefault="00DA09F8">
            <w:pPr>
              <w:pStyle w:val="Underskrifter"/>
              <w:shd w:val="clear" w:color="000000" w:fill="auto"/>
            </w:pPr>
            <w:r w:rsidRPr="00501FF2">
              <w:t>Peter Pedersen (v)</w:t>
            </w:r>
          </w:p>
        </w:tc>
        <w:tc>
          <w:tcPr>
            <w:tcW w:w="3046" w:type="dxa"/>
          </w:tcPr>
          <w:p w:rsidR="00DA09F8" w:rsidRPr="00501FF2" w:rsidRDefault="00DA09F8">
            <w:pPr>
              <w:pStyle w:val="Underskrifter"/>
              <w:shd w:val="clear" w:color="000000" w:fill="auto"/>
            </w:pPr>
            <w:r w:rsidRPr="00501FF2">
              <w:t>Kent Persson (v)</w:t>
            </w:r>
          </w:p>
        </w:tc>
      </w:tr>
      <w:tr w:rsidR="00000000" w:rsidRPr="00501FF2">
        <w:trPr>
          <w:cantSplit/>
        </w:trPr>
        <w:tc>
          <w:tcPr>
            <w:tcW w:w="3046" w:type="dxa"/>
          </w:tcPr>
          <w:p w:rsidR="00DA09F8" w:rsidRPr="00501FF2" w:rsidRDefault="00DA09F8">
            <w:pPr>
              <w:pStyle w:val="Underskrifter"/>
              <w:shd w:val="clear" w:color="000000" w:fill="auto"/>
            </w:pPr>
            <w:r w:rsidRPr="00501FF2">
              <w:t>Alice Åström (v)</w:t>
            </w:r>
          </w:p>
        </w:tc>
        <w:tc>
          <w:tcPr>
            <w:tcW w:w="3046" w:type="dxa"/>
          </w:tcPr>
          <w:p w:rsidR="00DA09F8" w:rsidRPr="00501FF2" w:rsidRDefault="00DA09F8">
            <w:pPr>
              <w:pStyle w:val="Underskrifter"/>
              <w:shd w:val="clear" w:color="000000" w:fill="auto"/>
            </w:pPr>
            <w:r w:rsidRPr="00501FF2">
              <w:t>Ulla Andersson (v)</w:t>
            </w:r>
          </w:p>
        </w:tc>
      </w:tr>
    </w:tbl>
    <w:p w:rsidR="009D789E" w:rsidRPr="00501FF2" w:rsidRDefault="009D789E">
      <w:pPr>
        <w:pStyle w:val="Normaltindrag"/>
        <w:shd w:val="clear" w:color="000000" w:fill="auto"/>
      </w:pPr>
    </w:p>
    <w:sectPr w:rsidR="009D789E" w:rsidRPr="00501FF2" w:rsidSect="00C131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9F8" w:rsidRPr="00501FF2" w:rsidRDefault="00DA09F8">
      <w:r w:rsidRPr="00501FF2">
        <w:separator/>
      </w:r>
    </w:p>
  </w:endnote>
  <w:endnote w:type="continuationSeparator" w:id="0">
    <w:p w:rsidR="00DA09F8" w:rsidRPr="00501FF2" w:rsidRDefault="00DA09F8">
      <w:r w:rsidRPr="00501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1AF" w:rsidRPr="00501FF2" w:rsidRDefault="00501FF2" w:rsidP="00C131AF">
    <w:pPr>
      <w:pStyle w:val="Sidfot"/>
    </w:pPr>
    <w:r w:rsidRPr="00501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0172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AF" w:rsidRDefault="00DA09F8">
                          <w:pPr>
                            <w:pStyle w:val="NormalS5sidnrV"/>
                          </w:pPr>
                          <w:r>
                            <w:fldChar w:fldCharType="begin"/>
                          </w:r>
                          <w:r w:rsidR="00C131AF">
                            <w:instrText xml:space="preserve"> PAGE *\charformat</w:instrText>
                          </w:r>
                          <w:r>
                            <w:fldChar w:fldCharType="separate"/>
                          </w:r>
                          <w:r w:rsidR="00C43B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31AF" w:rsidRDefault="00DA09F8">
                    <w:pPr>
                      <w:pStyle w:val="NormalS5sidnrV"/>
                    </w:pPr>
                    <w:r>
                      <w:fldChar w:fldCharType="begin"/>
                    </w:r>
                    <w:r w:rsidR="00C131AF">
                      <w:instrText xml:space="preserve"> PAGE *\charformat</w:instrText>
                    </w:r>
                    <w:r>
                      <w:fldChar w:fldCharType="separate"/>
                    </w:r>
                    <w:r w:rsidR="00C43B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715" w:rsidRPr="00501FF2" w:rsidRDefault="00501FF2" w:rsidP="00C131AF">
    <w:pPr>
      <w:pStyle w:val="Sidfot"/>
    </w:pPr>
    <w:r w:rsidRPr="00501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968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AF" w:rsidRDefault="00DA09F8">
                          <w:pPr>
                            <w:pStyle w:val="NormalS5sidnrH"/>
                            <w:ind w:right="0"/>
                          </w:pPr>
                          <w:r>
                            <w:fldChar w:fldCharType="begin"/>
                          </w:r>
                          <w:r w:rsidR="00C131AF">
                            <w:instrText xml:space="preserve"> PAGE *\charformat</w:instrText>
                          </w:r>
                          <w:r>
                            <w:fldChar w:fldCharType="separate"/>
                          </w:r>
                          <w:r w:rsidR="00C43BA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31AF" w:rsidRDefault="00DA09F8">
                    <w:pPr>
                      <w:pStyle w:val="NormalS5sidnrH"/>
                      <w:ind w:right="0"/>
                    </w:pPr>
                    <w:r>
                      <w:fldChar w:fldCharType="begin"/>
                    </w:r>
                    <w:r w:rsidR="00C131AF">
                      <w:instrText xml:space="preserve"> PAGE *\charformat</w:instrText>
                    </w:r>
                    <w:r>
                      <w:fldChar w:fldCharType="separate"/>
                    </w:r>
                    <w:r w:rsidR="00C43BA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715" w:rsidRPr="00501FF2" w:rsidRDefault="00501FF2" w:rsidP="00C131AF">
    <w:pPr>
      <w:pStyle w:val="Sidfot"/>
    </w:pPr>
    <w:r w:rsidRPr="00501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922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AF" w:rsidRDefault="00DA09F8">
                          <w:pPr>
                            <w:pStyle w:val="NormalS5sidnrH"/>
                            <w:ind w:right="0"/>
                          </w:pPr>
                          <w:r>
                            <w:fldChar w:fldCharType="begin"/>
                          </w:r>
                          <w:r w:rsidR="00C131AF">
                            <w:instrText xml:space="preserve"> PAGE *\charformat</w:instrText>
                          </w:r>
                          <w:r>
                            <w:fldChar w:fldCharType="separate"/>
                          </w:r>
                          <w:r w:rsidR="00C43B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31AF" w:rsidRDefault="00DA09F8">
                    <w:pPr>
                      <w:pStyle w:val="NormalS5sidnrH"/>
                      <w:ind w:right="0"/>
                    </w:pPr>
                    <w:r>
                      <w:fldChar w:fldCharType="begin"/>
                    </w:r>
                    <w:r w:rsidR="00C131AF">
                      <w:instrText xml:space="preserve"> PAGE *\charformat</w:instrText>
                    </w:r>
                    <w:r>
                      <w:fldChar w:fldCharType="separate"/>
                    </w:r>
                    <w:r w:rsidR="00C43B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9F8" w:rsidRPr="00501FF2" w:rsidRDefault="00DA09F8" w:rsidP="00DE10AC">
      <w:pPr>
        <w:pStyle w:val="Sidfot"/>
      </w:pPr>
    </w:p>
  </w:footnote>
  <w:footnote w:type="continuationSeparator" w:id="0">
    <w:p w:rsidR="00DA09F8" w:rsidRPr="00501FF2" w:rsidRDefault="00DA09F8">
      <w:r w:rsidRPr="00501FF2">
        <w:continuationSeparator/>
      </w:r>
    </w:p>
  </w:footnote>
  <w:footnote w:type="continuationNotice" w:id="1">
    <w:p w:rsidR="00DA09F8" w:rsidRPr="00501FF2" w:rsidRDefault="00DA09F8"/>
  </w:footnote>
  <w:footnote w:id="2">
    <w:p w:rsidR="000B3715" w:rsidRPr="00501FF2" w:rsidRDefault="000B3715" w:rsidP="00483B8B">
      <w:pPr>
        <w:pStyle w:val="Fotnotstext"/>
        <w:spacing w:before="0" w:line="180" w:lineRule="exact"/>
        <w:ind w:left="120" w:hanging="120"/>
        <w:jc w:val="left"/>
        <w:rPr>
          <w:sz w:val="16"/>
          <w:szCs w:val="16"/>
        </w:rPr>
      </w:pPr>
      <w:r w:rsidRPr="00501FF2">
        <w:rPr>
          <w:rStyle w:val="Fotnotsreferens"/>
          <w:sz w:val="19"/>
          <w:szCs w:val="19"/>
          <w:highlight w:val="yellow"/>
        </w:rPr>
        <w:footnoteRef/>
      </w:r>
      <w:r w:rsidRPr="00501FF2">
        <w:rPr>
          <w:highlight w:val="yellow"/>
        </w:rPr>
        <w:t xml:space="preserve"> </w:t>
      </w:r>
      <w:r w:rsidRPr="00501FF2">
        <w:rPr>
          <w:sz w:val="16"/>
          <w:szCs w:val="16"/>
          <w:highlight w:val="yellow"/>
        </w:rPr>
        <w:t xml:space="preserve">Källa: Economic Outlook, </w:t>
      </w:r>
      <w:r w:rsidRPr="00501FF2">
        <w:rPr>
          <w:rStyle w:val="Kapitler-fotnoter"/>
          <w:sz w:val="16"/>
          <w:szCs w:val="16"/>
          <w:highlight w:val="yellow"/>
          <w:lang w:val="sv-SE"/>
        </w:rPr>
        <w:t>OECD</w:t>
      </w:r>
      <w:r w:rsidRPr="00501FF2">
        <w:rPr>
          <w:sz w:val="16"/>
          <w:szCs w:val="16"/>
          <w:highlight w:val="yellow"/>
        </w:rPr>
        <w:t xml:space="preserve"> (</w:t>
      </w:r>
      <w:r w:rsidRPr="00501FF2">
        <w:rPr>
          <w:rStyle w:val="Siffror-fotnoter"/>
          <w:rFonts w:ascii="Times New Roman" w:hAnsi="Times New Roman"/>
          <w:sz w:val="16"/>
          <w:szCs w:val="16"/>
          <w:highlight w:val="yellow"/>
        </w:rPr>
        <w:t>1993</w:t>
      </w:r>
      <w:r w:rsidRPr="00501FF2">
        <w:rPr>
          <w:sz w:val="16"/>
          <w:szCs w:val="16"/>
          <w:highlight w:val="yellow"/>
        </w:rPr>
        <w:t>)</w:t>
      </w:r>
      <w:r w:rsidRPr="00501FF2">
        <w:rPr>
          <w:sz w:val="16"/>
          <w:szCs w:val="16"/>
        </w:rPr>
        <w:t xml:space="preserve">; National Accounts, OECD (1993); Labour Force Statistics, OECD (1993). Tabellen återgiven i Antman (1996) </w:t>
      </w:r>
      <w:r w:rsidRPr="00501FF2">
        <w:rPr>
          <w:i/>
          <w:sz w:val="16"/>
          <w:szCs w:val="16"/>
        </w:rPr>
        <w:t>Den nya arbetarefr</w:t>
      </w:r>
      <w:r w:rsidRPr="00501FF2">
        <w:rPr>
          <w:i/>
          <w:sz w:val="16"/>
          <w:szCs w:val="16"/>
        </w:rPr>
        <w:t>å</w:t>
      </w:r>
      <w:r w:rsidRPr="00501FF2">
        <w:rPr>
          <w:i/>
          <w:sz w:val="16"/>
          <w:szCs w:val="16"/>
        </w:rPr>
        <w:t>gan</w:t>
      </w:r>
      <w:r w:rsidRPr="00501FF2">
        <w:rPr>
          <w:sz w:val="16"/>
          <w:szCs w:val="16"/>
        </w:rPr>
        <w:t>.</w:t>
      </w:r>
    </w:p>
  </w:footnote>
  <w:footnote w:id="3">
    <w:p w:rsidR="000B3715" w:rsidRPr="00501FF2" w:rsidRDefault="000B3715" w:rsidP="00F17A85">
      <w:pPr>
        <w:pStyle w:val="Fotnotstext"/>
        <w:spacing w:before="0" w:line="180" w:lineRule="exact"/>
        <w:rPr>
          <w:sz w:val="16"/>
          <w:szCs w:val="16"/>
        </w:rPr>
      </w:pPr>
      <w:r w:rsidRPr="00501FF2">
        <w:rPr>
          <w:rStyle w:val="Fotnotsreferens"/>
          <w:sz w:val="19"/>
          <w:szCs w:val="19"/>
        </w:rPr>
        <w:footnoteRef/>
      </w:r>
      <w:r w:rsidRPr="00501FF2">
        <w:t xml:space="preserve"> </w:t>
      </w:r>
      <w:r w:rsidRPr="00501FF2">
        <w:rPr>
          <w:sz w:val="16"/>
          <w:szCs w:val="16"/>
        </w:rPr>
        <w:t>Plussiffror innebär budgetöverskot</w:t>
      </w:r>
      <w:r w:rsidR="00DE10AC" w:rsidRPr="00501FF2">
        <w:rPr>
          <w:sz w:val="16"/>
          <w:szCs w:val="16"/>
        </w:rPr>
        <w:t>t. 1970-talets siffror rör 1975–</w:t>
      </w:r>
      <w:r w:rsidRPr="00501FF2">
        <w:rPr>
          <w:sz w:val="16"/>
          <w:szCs w:val="16"/>
        </w:rPr>
        <w:t>1979</w:t>
      </w:r>
      <w:r w:rsidR="00DE10AC" w:rsidRPr="00501FF2">
        <w:rPr>
          <w:sz w:val="16"/>
          <w:szCs w:val="16"/>
        </w:rPr>
        <w:t>.</w:t>
      </w:r>
    </w:p>
  </w:footnote>
  <w:footnote w:id="4">
    <w:p w:rsidR="000B3715" w:rsidRPr="00501FF2" w:rsidRDefault="000B3715" w:rsidP="00483B8B">
      <w:pPr>
        <w:pStyle w:val="Fotnotstext"/>
        <w:spacing w:before="0" w:line="180" w:lineRule="exact"/>
        <w:jc w:val="left"/>
      </w:pPr>
      <w:r w:rsidRPr="00501FF2">
        <w:rPr>
          <w:rStyle w:val="Fotnotsreferens"/>
          <w:sz w:val="19"/>
          <w:szCs w:val="19"/>
        </w:rPr>
        <w:footnoteRef/>
      </w:r>
      <w:r w:rsidRPr="00501FF2">
        <w:t xml:space="preserve"> </w:t>
      </w:r>
      <w:r w:rsidRPr="00501FF2">
        <w:rPr>
          <w:sz w:val="16"/>
          <w:szCs w:val="16"/>
        </w:rPr>
        <w:t>Plussiffror indikerar nettoförmögenhet.</w:t>
      </w:r>
      <w:r w:rsidRPr="00501FF2">
        <w:t xml:space="preserve"> </w:t>
      </w:r>
    </w:p>
  </w:footnote>
  <w:footnote w:id="5">
    <w:p w:rsidR="000B3715" w:rsidRPr="00501FF2" w:rsidRDefault="000B3715" w:rsidP="00F17A85">
      <w:pPr>
        <w:pStyle w:val="Fotnotstext"/>
        <w:spacing w:before="0" w:line="180" w:lineRule="exact"/>
        <w:rPr>
          <w:sz w:val="16"/>
          <w:szCs w:val="16"/>
        </w:rPr>
      </w:pPr>
      <w:r w:rsidRPr="00501FF2">
        <w:rPr>
          <w:rStyle w:val="Fotnotsreferens"/>
          <w:sz w:val="19"/>
          <w:szCs w:val="19"/>
        </w:rPr>
        <w:footnoteRef/>
      </w:r>
      <w:r w:rsidRPr="00501FF2">
        <w:t xml:space="preserve"> </w:t>
      </w:r>
      <w:r w:rsidRPr="00501FF2">
        <w:rPr>
          <w:sz w:val="16"/>
          <w:szCs w:val="16"/>
        </w:rPr>
        <w:t xml:space="preserve">SOU 1996:158, </w:t>
      </w:r>
      <w:r w:rsidRPr="00501FF2">
        <w:rPr>
          <w:i/>
          <w:sz w:val="16"/>
          <w:szCs w:val="16"/>
        </w:rPr>
        <w:t>Sverige och EMU</w:t>
      </w:r>
      <w:r w:rsidRPr="00501FF2">
        <w:rPr>
          <w:sz w:val="16"/>
          <w:szCs w:val="16"/>
        </w:rPr>
        <w:t>, s. 84</w:t>
      </w:r>
      <w:r w:rsidR="00DE10AC" w:rsidRPr="00501FF2">
        <w:rPr>
          <w:sz w:val="16"/>
          <w:szCs w:val="16"/>
        </w:rPr>
        <w:t>.</w:t>
      </w:r>
    </w:p>
  </w:footnote>
  <w:footnote w:id="6">
    <w:p w:rsidR="000B3715" w:rsidRPr="00501FF2" w:rsidRDefault="000B3715" w:rsidP="00483B8B">
      <w:pPr>
        <w:pStyle w:val="Fotnotstext"/>
        <w:spacing w:before="0" w:line="180" w:lineRule="exact"/>
        <w:ind w:left="120" w:hanging="120"/>
        <w:jc w:val="left"/>
      </w:pPr>
      <w:r w:rsidRPr="00501FF2">
        <w:rPr>
          <w:rStyle w:val="Fotnotsreferens"/>
          <w:sz w:val="19"/>
          <w:szCs w:val="19"/>
        </w:rPr>
        <w:footnoteRef/>
      </w:r>
      <w:r w:rsidRPr="00501FF2">
        <w:t xml:space="preserve"> </w:t>
      </w:r>
      <w:r w:rsidRPr="00501FF2">
        <w:rPr>
          <w:sz w:val="16"/>
          <w:szCs w:val="16"/>
        </w:rPr>
        <w:t>Se exempelvis Fischer (1981) ”Towards an understanding of the costs of inflation” i Bru</w:t>
      </w:r>
      <w:r w:rsidRPr="00501FF2">
        <w:rPr>
          <w:sz w:val="16"/>
          <w:szCs w:val="16"/>
        </w:rPr>
        <w:t>n</w:t>
      </w:r>
      <w:r w:rsidRPr="00501FF2">
        <w:rPr>
          <w:sz w:val="16"/>
          <w:szCs w:val="16"/>
        </w:rPr>
        <w:t>ner &amp; Meltzer (red) The Costs and Consequences of Inflation; Barro (</w:t>
      </w:r>
      <w:r w:rsidR="00DE10AC" w:rsidRPr="00501FF2">
        <w:rPr>
          <w:sz w:val="16"/>
          <w:szCs w:val="16"/>
        </w:rPr>
        <w:t>1995) ”</w:t>
      </w:r>
      <w:r w:rsidRPr="00501FF2">
        <w:rPr>
          <w:sz w:val="16"/>
          <w:szCs w:val="16"/>
        </w:rPr>
        <w:t>Inflation and economic growth”, NBER Working paper 5326; Levine &amp;</w:t>
      </w:r>
      <w:r w:rsidR="003D425E" w:rsidRPr="00501FF2">
        <w:rPr>
          <w:sz w:val="16"/>
          <w:szCs w:val="16"/>
        </w:rPr>
        <w:t xml:space="preserve"> Renelt (1992) ”</w:t>
      </w:r>
      <w:r w:rsidRPr="00501FF2">
        <w:rPr>
          <w:sz w:val="16"/>
          <w:szCs w:val="16"/>
        </w:rPr>
        <w:t>A sensitivity analysis of cross-country growth regressions”, AER vol. 82, #4; Bruno &amp;</w:t>
      </w:r>
      <w:r w:rsidR="003D425E" w:rsidRPr="00501FF2">
        <w:rPr>
          <w:sz w:val="16"/>
          <w:szCs w:val="16"/>
        </w:rPr>
        <w:t xml:space="preserve"> Easterly (1996) ”</w:t>
      </w:r>
      <w:r w:rsidRPr="00501FF2">
        <w:rPr>
          <w:sz w:val="16"/>
          <w:szCs w:val="16"/>
        </w:rPr>
        <w:t>Inflation and growth: in search of a stable relationship”, Federal reserve bank of St. Louis review.</w:t>
      </w:r>
      <w:r w:rsidRPr="00501FF2">
        <w:t xml:space="preserve"> </w:t>
      </w:r>
    </w:p>
  </w:footnote>
  <w:footnote w:id="7">
    <w:p w:rsidR="000B3715" w:rsidRPr="00501FF2" w:rsidRDefault="000B3715" w:rsidP="00483B8B">
      <w:pPr>
        <w:pStyle w:val="Fotnotstext"/>
        <w:spacing w:line="180" w:lineRule="exact"/>
        <w:ind w:left="120" w:hanging="120"/>
        <w:jc w:val="left"/>
        <w:rPr>
          <w:sz w:val="16"/>
          <w:szCs w:val="16"/>
        </w:rPr>
      </w:pPr>
      <w:r w:rsidRPr="00501FF2">
        <w:rPr>
          <w:rStyle w:val="Fotnotsreferens"/>
          <w:sz w:val="19"/>
          <w:szCs w:val="19"/>
        </w:rPr>
        <w:footnoteRef/>
      </w:r>
      <w:r w:rsidRPr="00501FF2">
        <w:t xml:space="preserve"> </w:t>
      </w:r>
      <w:r w:rsidRPr="00501FF2">
        <w:rPr>
          <w:i/>
          <w:sz w:val="16"/>
          <w:szCs w:val="16"/>
        </w:rPr>
        <w:t>Nya ekonomihandboken</w:t>
      </w:r>
      <w:r w:rsidRPr="00501FF2">
        <w:rPr>
          <w:sz w:val="16"/>
          <w:szCs w:val="16"/>
        </w:rPr>
        <w:t xml:space="preserve"> (ETC förlag), diagram 80, s. 282. Världsbankssiffrorna från </w:t>
      </w:r>
      <w:r w:rsidRPr="00501FF2">
        <w:rPr>
          <w:i/>
          <w:sz w:val="16"/>
          <w:szCs w:val="16"/>
        </w:rPr>
        <w:t>World Development Report</w:t>
      </w:r>
      <w:r w:rsidRPr="00501FF2">
        <w:rPr>
          <w:sz w:val="16"/>
          <w:szCs w:val="16"/>
        </w:rPr>
        <w:t xml:space="preserve"> 1995. </w:t>
      </w:r>
    </w:p>
  </w:footnote>
  <w:footnote w:id="8">
    <w:p w:rsidR="000B3715" w:rsidRPr="00501FF2" w:rsidRDefault="000B3715" w:rsidP="00483B8B">
      <w:pPr>
        <w:pStyle w:val="Fotnotstext"/>
        <w:spacing w:before="0" w:line="180" w:lineRule="exact"/>
        <w:jc w:val="left"/>
        <w:rPr>
          <w:sz w:val="16"/>
          <w:szCs w:val="16"/>
        </w:rPr>
      </w:pPr>
      <w:r w:rsidRPr="00501FF2">
        <w:rPr>
          <w:rStyle w:val="Fotnotsreferens"/>
          <w:sz w:val="19"/>
          <w:szCs w:val="19"/>
        </w:rPr>
        <w:footnoteRef/>
      </w:r>
      <w:r w:rsidRPr="00501FF2">
        <w:t xml:space="preserve"> </w:t>
      </w:r>
      <w:r w:rsidRPr="00501FF2">
        <w:rPr>
          <w:sz w:val="16"/>
          <w:szCs w:val="16"/>
        </w:rPr>
        <w:t>Se not 4</w:t>
      </w:r>
      <w:r w:rsidR="003D425E" w:rsidRPr="00501FF2">
        <w:rPr>
          <w:sz w:val="16"/>
          <w:szCs w:val="16"/>
        </w:rPr>
        <w:t>.</w:t>
      </w:r>
    </w:p>
  </w:footnote>
  <w:footnote w:id="9">
    <w:p w:rsidR="000B3715" w:rsidRPr="00501FF2" w:rsidRDefault="000B3715" w:rsidP="00F17A85">
      <w:pPr>
        <w:pStyle w:val="Fotnotstext"/>
        <w:spacing w:line="180" w:lineRule="exact"/>
        <w:rPr>
          <w:sz w:val="16"/>
          <w:szCs w:val="16"/>
        </w:rPr>
      </w:pPr>
      <w:r w:rsidRPr="00501FF2">
        <w:rPr>
          <w:rStyle w:val="Fotnotsreferens"/>
          <w:sz w:val="19"/>
          <w:szCs w:val="19"/>
        </w:rPr>
        <w:footnoteRef/>
      </w:r>
      <w:r w:rsidRPr="00501FF2">
        <w:t xml:space="preserve"> </w:t>
      </w:r>
      <w:r w:rsidRPr="00501FF2">
        <w:rPr>
          <w:sz w:val="16"/>
          <w:szCs w:val="16"/>
        </w:rPr>
        <w:t xml:space="preserve">2006/07:RFR1 </w:t>
      </w:r>
      <w:r w:rsidRPr="00501FF2">
        <w:rPr>
          <w:i/>
          <w:sz w:val="16"/>
          <w:szCs w:val="16"/>
        </w:rPr>
        <w:t>En utvärdering av d</w:t>
      </w:r>
      <w:r w:rsidR="003D425E" w:rsidRPr="00501FF2">
        <w:rPr>
          <w:i/>
          <w:sz w:val="16"/>
          <w:szCs w:val="16"/>
        </w:rPr>
        <w:t>en svenska penningpolitiken 1995–</w:t>
      </w:r>
      <w:r w:rsidRPr="00501FF2">
        <w:rPr>
          <w:i/>
          <w:sz w:val="16"/>
          <w:szCs w:val="16"/>
        </w:rPr>
        <w:t>2005</w:t>
      </w:r>
      <w:r w:rsidR="003D425E" w:rsidRPr="00501FF2">
        <w:rPr>
          <w:i/>
          <w:sz w:val="16"/>
          <w:szCs w:val="16"/>
        </w:rPr>
        <w:t>.</w:t>
      </w:r>
    </w:p>
  </w:footnote>
  <w:footnote w:id="10">
    <w:p w:rsidR="000B3715" w:rsidRPr="00501FF2" w:rsidRDefault="000B3715" w:rsidP="00483B8B">
      <w:pPr>
        <w:pStyle w:val="Fotnotstext"/>
        <w:spacing w:before="0" w:line="180" w:lineRule="exact"/>
        <w:ind w:left="120" w:hanging="120"/>
        <w:rPr>
          <w:sz w:val="16"/>
          <w:szCs w:val="16"/>
        </w:rPr>
      </w:pPr>
      <w:r w:rsidRPr="00501FF2">
        <w:rPr>
          <w:rStyle w:val="Fotnotsreferens"/>
          <w:sz w:val="19"/>
          <w:szCs w:val="19"/>
        </w:rPr>
        <w:footnoteRef/>
      </w:r>
      <w:r w:rsidRPr="00501FF2">
        <w:t xml:space="preserve"> </w:t>
      </w:r>
      <w:r w:rsidRPr="00501FF2">
        <w:rPr>
          <w:sz w:val="16"/>
          <w:szCs w:val="16"/>
        </w:rPr>
        <w:t>Se till exempel även avsnittet ”Allmän jämvikt”, s.</w:t>
      </w:r>
      <w:r w:rsidR="003D425E" w:rsidRPr="00501FF2">
        <w:rPr>
          <w:sz w:val="16"/>
          <w:szCs w:val="16"/>
        </w:rPr>
        <w:t xml:space="preserve"> </w:t>
      </w:r>
      <w:r w:rsidRPr="00501FF2">
        <w:rPr>
          <w:sz w:val="16"/>
          <w:szCs w:val="16"/>
        </w:rPr>
        <w:t>32</w:t>
      </w:r>
      <w:r w:rsidR="003D425E" w:rsidRPr="00501FF2">
        <w:rPr>
          <w:sz w:val="16"/>
          <w:szCs w:val="16"/>
        </w:rPr>
        <w:t>–</w:t>
      </w:r>
      <w:r w:rsidRPr="00501FF2">
        <w:rPr>
          <w:sz w:val="16"/>
          <w:szCs w:val="16"/>
        </w:rPr>
        <w:t xml:space="preserve">33 i Riksbanken, </w:t>
      </w:r>
      <w:r w:rsidRPr="00501FF2">
        <w:rPr>
          <w:i/>
          <w:sz w:val="16"/>
          <w:szCs w:val="16"/>
        </w:rPr>
        <w:t xml:space="preserve">Penningpolitisk rapport </w:t>
      </w:r>
      <w:r w:rsidRPr="00501FF2">
        <w:rPr>
          <w:sz w:val="16"/>
          <w:szCs w:val="16"/>
        </w:rPr>
        <w:t>2007:1</w:t>
      </w:r>
      <w:r w:rsidR="003D425E" w:rsidRPr="00501FF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1AF" w:rsidRPr="00501FF2" w:rsidRDefault="00501FF2" w:rsidP="00C131AF">
    <w:pPr>
      <w:pStyle w:val="Sidhuvud"/>
    </w:pPr>
    <w:r w:rsidRPr="00501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803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AF" w:rsidRDefault="00DA09F8">
                          <w:pPr>
                            <w:pStyle w:val="KantRubrikS5V"/>
                          </w:pPr>
                          <w:r>
                            <w:fldChar w:fldCharType="begin"/>
                          </w:r>
                          <w:r w:rsidR="00C131AF">
                            <w:instrText xml:space="preserve"> DOCPROPERTY "YearUser" *\charformat </w:instrText>
                          </w:r>
                          <w:r>
                            <w:fldChar w:fldCharType="separate"/>
                          </w:r>
                          <w:r w:rsidR="003B4D96">
                            <w:t>2006/07</w:t>
                          </w:r>
                          <w:r>
                            <w:fldChar w:fldCharType="end"/>
                          </w:r>
                          <w:r w:rsidR="00C131AF">
                            <w:t>:</w:t>
                          </w:r>
                          <w:r>
                            <w:fldChar w:fldCharType="begin"/>
                          </w:r>
                          <w:r w:rsidR="00C131AF">
                            <w:instrText xml:space="preserve"> DOCPROPERTY "Motionsnummer" *\charformat </w:instrText>
                          </w:r>
                          <w:r>
                            <w:fldChar w:fldCharType="separate"/>
                          </w:r>
                          <w:r w:rsidR="003B4D96">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31AF" w:rsidRDefault="00DA09F8">
                    <w:pPr>
                      <w:pStyle w:val="KantRubrikS5V"/>
                    </w:pPr>
                    <w:r>
                      <w:fldChar w:fldCharType="begin"/>
                    </w:r>
                    <w:r w:rsidR="00C131AF">
                      <w:instrText xml:space="preserve"> DOCPROPERTY "YearUser" *\charformat </w:instrText>
                    </w:r>
                    <w:r>
                      <w:fldChar w:fldCharType="separate"/>
                    </w:r>
                    <w:r w:rsidR="003B4D96">
                      <w:t>2006/07</w:t>
                    </w:r>
                    <w:r>
                      <w:fldChar w:fldCharType="end"/>
                    </w:r>
                    <w:r w:rsidR="00C131AF">
                      <w:t>:</w:t>
                    </w:r>
                    <w:r>
                      <w:fldChar w:fldCharType="begin"/>
                    </w:r>
                    <w:r w:rsidR="00C131AF">
                      <w:instrText xml:space="preserve"> DOCPROPERTY "Motionsnummer" *\charformat </w:instrText>
                    </w:r>
                    <w:r>
                      <w:fldChar w:fldCharType="separate"/>
                    </w:r>
                    <w:r w:rsidR="003B4D96">
                      <w:t>Fi1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715" w:rsidRPr="00501FF2" w:rsidRDefault="00501FF2" w:rsidP="00C131AF">
    <w:pPr>
      <w:pStyle w:val="Sidhuvud"/>
    </w:pPr>
    <w:r w:rsidRPr="00501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54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1AF" w:rsidRDefault="00DA09F8">
                          <w:pPr>
                            <w:pStyle w:val="KantRubrikS5H"/>
                            <w:ind w:right="0"/>
                          </w:pPr>
                          <w:r>
                            <w:fldChar w:fldCharType="begin"/>
                          </w:r>
                          <w:r w:rsidR="00C131AF">
                            <w:instrText xml:space="preserve"> DOCPROPERTY "YearUser" *\charformat </w:instrText>
                          </w:r>
                          <w:r>
                            <w:fldChar w:fldCharType="separate"/>
                          </w:r>
                          <w:r w:rsidR="003B4D96">
                            <w:t>2006/07</w:t>
                          </w:r>
                          <w:r>
                            <w:fldChar w:fldCharType="end"/>
                          </w:r>
                          <w:r w:rsidR="00C131AF">
                            <w:t>:</w:t>
                          </w:r>
                          <w:r>
                            <w:fldChar w:fldCharType="begin"/>
                          </w:r>
                          <w:r w:rsidR="00C131AF">
                            <w:instrText xml:space="preserve"> DOCPROPERTY "Motionsnummer" *\charformat </w:instrText>
                          </w:r>
                          <w:r>
                            <w:fldChar w:fldCharType="separate"/>
                          </w:r>
                          <w:r w:rsidR="003B4D96">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31AF" w:rsidRDefault="00DA09F8">
                    <w:pPr>
                      <w:pStyle w:val="KantRubrikS5H"/>
                      <w:ind w:right="0"/>
                    </w:pPr>
                    <w:r>
                      <w:fldChar w:fldCharType="begin"/>
                    </w:r>
                    <w:r w:rsidR="00C131AF">
                      <w:instrText xml:space="preserve"> DOCPROPERTY "YearUser" *\charformat </w:instrText>
                    </w:r>
                    <w:r>
                      <w:fldChar w:fldCharType="separate"/>
                    </w:r>
                    <w:r w:rsidR="003B4D96">
                      <w:t>2006/07</w:t>
                    </w:r>
                    <w:r>
                      <w:fldChar w:fldCharType="end"/>
                    </w:r>
                    <w:r w:rsidR="00C131AF">
                      <w:t>:</w:t>
                    </w:r>
                    <w:r>
                      <w:fldChar w:fldCharType="begin"/>
                    </w:r>
                    <w:r w:rsidR="00C131AF">
                      <w:instrText xml:space="preserve"> DOCPROPERTY "Motionsnummer" *\charformat </w:instrText>
                    </w:r>
                    <w:r>
                      <w:fldChar w:fldCharType="separate"/>
                    </w:r>
                    <w:r w:rsidR="003B4D96">
                      <w:t>Fi1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9F8" w:rsidRPr="00501FF2" w:rsidRDefault="00DA09F8">
    <w:pPr>
      <w:pStyle w:val="FSHNormal"/>
      <w:tabs>
        <w:tab w:val="right" w:pos="5840"/>
      </w:tabs>
    </w:pPr>
    <w:r w:rsidRPr="00501FF2">
      <w:br/>
    </w:r>
    <w:r w:rsidRPr="00501FF2">
      <w:fldChar w:fldCharType="begin" w:fldLock="1"/>
    </w:r>
    <w:r w:rsidRPr="00501FF2">
      <w:instrText xml:space="preserve"> DOCPROPERTY</w:instrText>
    </w:r>
    <w:r w:rsidRPr="00501FF2">
      <w:rPr>
        <w:sz w:val="18"/>
      </w:rPr>
      <w:instrText xml:space="preserve"> "YearUser" *\charformat </w:instrText>
    </w:r>
    <w:r w:rsidRPr="00501FF2">
      <w:fldChar w:fldCharType="separate"/>
    </w:r>
    <w:r w:rsidRPr="00501FF2">
      <w:t>2006/07</w:t>
    </w:r>
    <w:r w:rsidRPr="00501FF2">
      <w:fldChar w:fldCharType="end"/>
    </w:r>
    <w:r w:rsidRPr="00501FF2">
      <w:t xml:space="preserve"> </w:t>
    </w:r>
    <w:r w:rsidRPr="00501FF2">
      <w:tab/>
      <w:t xml:space="preserve">mnr: </w:t>
    </w:r>
    <w:r w:rsidRPr="00501FF2">
      <w:fldChar w:fldCharType="begin" w:fldLock="1"/>
    </w:r>
    <w:r w:rsidRPr="00501FF2">
      <w:instrText xml:space="preserve"> DOCPROPERTY</w:instrText>
    </w:r>
    <w:r w:rsidRPr="00501FF2">
      <w:rPr>
        <w:sz w:val="18"/>
      </w:rPr>
      <w:instrText xml:space="preserve"> "Motionsnummer" *\charformat </w:instrText>
    </w:r>
    <w:r w:rsidRPr="00501FF2">
      <w:fldChar w:fldCharType="separate"/>
    </w:r>
    <w:r w:rsidRPr="00501FF2">
      <w:t>Fi1</w:t>
    </w:r>
    <w:r w:rsidRPr="00501FF2">
      <w:fldChar w:fldCharType="end"/>
    </w:r>
    <w:r w:rsidRPr="00501FF2">
      <w:br/>
    </w:r>
    <w:r w:rsidRPr="00501FF2">
      <w:fldChar w:fldCharType="begin" w:fldLock="1"/>
    </w:r>
    <w:r w:rsidRPr="00501FF2">
      <w:instrText xml:space="preserve"> DOCPROPERTY</w:instrText>
    </w:r>
    <w:r w:rsidRPr="00501FF2">
      <w:rPr>
        <w:sz w:val="18"/>
      </w:rPr>
      <w:instrText xml:space="preserve"> "Samling" *\charformat </w:instrText>
    </w:r>
    <w:r w:rsidRPr="00501FF2">
      <w:fldChar w:fldCharType="end"/>
    </w:r>
    <w:r w:rsidRPr="00501FF2">
      <w:tab/>
      <w:t xml:space="preserve">pnr: </w:t>
    </w:r>
    <w:r w:rsidRPr="00501FF2">
      <w:fldChar w:fldCharType="begin" w:fldLock="1"/>
    </w:r>
    <w:r w:rsidRPr="00501FF2">
      <w:instrText xml:space="preserve"> DOCPROPERTY</w:instrText>
    </w:r>
    <w:r w:rsidRPr="00501FF2">
      <w:rPr>
        <w:sz w:val="18"/>
      </w:rPr>
      <w:instrText xml:space="preserve"> "Partinummer" *\charformat </w:instrText>
    </w:r>
    <w:r w:rsidRPr="00501FF2">
      <w:fldChar w:fldCharType="separate"/>
    </w:r>
    <w:r w:rsidRPr="00501FF2">
      <w:t>v22</w:t>
    </w:r>
    <w:r w:rsidRPr="00501FF2">
      <w:fldChar w:fldCharType="end"/>
    </w:r>
  </w:p>
  <w:p w:rsidR="00DA09F8" w:rsidRPr="00501FF2" w:rsidRDefault="00DA09F8">
    <w:pPr>
      <w:pStyle w:val="FSHRub1"/>
    </w:pPr>
    <w:r w:rsidRPr="00501FF2">
      <w:t>Motion till riksdagen</w:t>
    </w:r>
    <w:r w:rsidRPr="00501FF2">
      <w:br/>
    </w:r>
    <w:r w:rsidRPr="00501FF2">
      <w:fldChar w:fldCharType="begin" w:fldLock="1"/>
    </w:r>
    <w:r w:rsidRPr="00501FF2">
      <w:instrText xml:space="preserve"> DOCPROPERTY "YearUser" *\charformat </w:instrText>
    </w:r>
    <w:r w:rsidRPr="00501FF2">
      <w:fldChar w:fldCharType="separate"/>
    </w:r>
    <w:r w:rsidRPr="00501FF2">
      <w:t>2006/07</w:t>
    </w:r>
    <w:r w:rsidRPr="00501FF2">
      <w:fldChar w:fldCharType="end"/>
    </w:r>
    <w:r w:rsidRPr="00501FF2">
      <w:t>:</w:t>
    </w:r>
    <w:r w:rsidRPr="00501FF2">
      <w:fldChar w:fldCharType="begin" w:fldLock="1"/>
    </w:r>
    <w:r w:rsidRPr="00501FF2">
      <w:instrText xml:space="preserve"> DOCPROPERTY "Motionsnummer" *\charformat </w:instrText>
    </w:r>
    <w:r w:rsidRPr="00501FF2">
      <w:fldChar w:fldCharType="separate"/>
    </w:r>
    <w:r w:rsidRPr="00501FF2">
      <w:t>Fi1</w:t>
    </w:r>
    <w:r w:rsidRPr="00501FF2">
      <w:fldChar w:fldCharType="end"/>
    </w:r>
  </w:p>
  <w:p w:rsidR="00DA09F8" w:rsidRPr="00501FF2" w:rsidRDefault="00DA09F8">
    <w:pPr>
      <w:pStyle w:val="FSHNormalS5"/>
    </w:pPr>
    <w:r w:rsidRPr="00501FF2">
      <w:fldChar w:fldCharType="begin" w:fldLock="1"/>
    </w:r>
    <w:r w:rsidRPr="00501FF2">
      <w:instrText xml:space="preserve"> DOCPROPERTY "MotionarText" *\charformat </w:instrText>
    </w:r>
    <w:r w:rsidRPr="00501FF2">
      <w:fldChar w:fldCharType="separate"/>
    </w:r>
    <w:r w:rsidRPr="00501FF2">
      <w:t>av Lars Ohly m.fl. (v)</w:t>
    </w:r>
    <w:r w:rsidRPr="00501FF2">
      <w:fldChar w:fldCharType="end"/>
    </w:r>
    <w:r w:rsidRPr="00501FF2">
      <w:br/>
    </w:r>
    <w:r w:rsidRPr="00501FF2">
      <w:fldChar w:fldCharType="begin" w:fldLock="1"/>
    </w:r>
    <w:r w:rsidRPr="00501FF2">
      <w:instrText xml:space="preserve"> DOCPROPERTY "SvarFrasKort" *\charformat </w:instrText>
    </w:r>
    <w:r w:rsidRPr="00501FF2">
      <w:fldChar w:fldCharType="separate"/>
    </w:r>
    <w:r w:rsidRPr="00501FF2">
      <w:t>med anledning av framst. 2006/07:RB1</w:t>
    </w:r>
    <w:r w:rsidRPr="00501FF2">
      <w:fldChar w:fldCharType="end"/>
    </w:r>
  </w:p>
  <w:p w:rsidR="00DA09F8" w:rsidRPr="00501FF2" w:rsidRDefault="00DA09F8">
    <w:pPr>
      <w:pStyle w:val="FSHTitel"/>
    </w:pPr>
    <w:r w:rsidRPr="00501FF2">
      <w:fldChar w:fldCharType="begin" w:fldLock="1"/>
    </w:r>
    <w:r w:rsidRPr="00501FF2">
      <w:instrText xml:space="preserve"> DOCPROPERTY</w:instrText>
    </w:r>
    <w:r w:rsidRPr="00501FF2">
      <w:rPr>
        <w:sz w:val="18"/>
      </w:rPr>
      <w:instrText xml:space="preserve"> "RubrikSvar" *\charformat </w:instrText>
    </w:r>
    <w:r w:rsidRPr="00501FF2">
      <w:fldChar w:fldCharType="separate"/>
    </w:r>
    <w:r w:rsidRPr="00501FF2">
      <w:t>Årsredovisning för Sveriges riksbank för räkenskapsåret 2006</w:t>
    </w:r>
    <w:r w:rsidRPr="00501FF2">
      <w:fldChar w:fldCharType="end"/>
    </w:r>
  </w:p>
  <w:p w:rsidR="00DA09F8" w:rsidRPr="00501FF2" w:rsidRDefault="00DA09F8">
    <w:pPr>
      <w:pStyle w:val="Normal00"/>
    </w:pPr>
  </w:p>
  <w:p w:rsidR="00C131AF" w:rsidRPr="00501FF2" w:rsidRDefault="00C131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1B1111"/>
    <w:multiLevelType w:val="hybridMultilevel"/>
    <w:tmpl w:val="284683A8"/>
    <w:lvl w:ilvl="0" w:tplc="5B1EFD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BA424A4"/>
    <w:multiLevelType w:val="hybridMultilevel"/>
    <w:tmpl w:val="E6B66C7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125ACB"/>
    <w:multiLevelType w:val="multilevel"/>
    <w:tmpl w:val="E0886DC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40031EF"/>
    <w:multiLevelType w:val="multilevel"/>
    <w:tmpl w:val="AF8AC5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77975378">
    <w:abstractNumId w:val="16"/>
  </w:num>
  <w:num w:numId="2" w16cid:durableId="1350722288">
    <w:abstractNumId w:val="10"/>
  </w:num>
  <w:num w:numId="3" w16cid:durableId="1298605462">
    <w:abstractNumId w:val="13"/>
  </w:num>
  <w:num w:numId="4" w16cid:durableId="594097008">
    <w:abstractNumId w:val="15"/>
  </w:num>
  <w:num w:numId="5" w16cid:durableId="259068684">
    <w:abstractNumId w:val="8"/>
  </w:num>
  <w:num w:numId="6" w16cid:durableId="1990205373">
    <w:abstractNumId w:val="3"/>
  </w:num>
  <w:num w:numId="7" w16cid:durableId="1532260887">
    <w:abstractNumId w:val="2"/>
  </w:num>
  <w:num w:numId="8" w16cid:durableId="515965496">
    <w:abstractNumId w:val="1"/>
  </w:num>
  <w:num w:numId="9" w16cid:durableId="1423062182">
    <w:abstractNumId w:val="0"/>
  </w:num>
  <w:num w:numId="10" w16cid:durableId="228466020">
    <w:abstractNumId w:val="9"/>
  </w:num>
  <w:num w:numId="11" w16cid:durableId="1117990516">
    <w:abstractNumId w:val="7"/>
  </w:num>
  <w:num w:numId="12" w16cid:durableId="1435325991">
    <w:abstractNumId w:val="6"/>
  </w:num>
  <w:num w:numId="13" w16cid:durableId="1597322184">
    <w:abstractNumId w:val="5"/>
  </w:num>
  <w:num w:numId="14" w16cid:durableId="820579948">
    <w:abstractNumId w:val="4"/>
  </w:num>
  <w:num w:numId="15" w16cid:durableId="1900436497">
    <w:abstractNumId w:val="12"/>
  </w:num>
  <w:num w:numId="16" w16cid:durableId="1000423935">
    <w:abstractNumId w:val="17"/>
  </w:num>
  <w:num w:numId="17" w16cid:durableId="87894027">
    <w:abstractNumId w:val="11"/>
  </w:num>
  <w:num w:numId="18" w16cid:durableId="1945964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F1A2565D-4D2F-4887-9B1D-3D7BE825DA8C},{93F71F64-B3B2-464F-BCC5-C49DA1B8F0E4},{8B923F15-4996-4696-A089-6A5BE8BF8E1B},{B0181D35-2F7D-4D23-BD15-5E0324552287},{CBCE2632-605E-484A-97AC-47C334EA7100},{7E0BF71E-CD03-4DBF-9F51-3B5B798F2741},{23C4D0E2-C6F4-49DA-B9C4-BE7D1928143F}"/>
  </w:docVars>
  <w:rsids>
    <w:rsidRoot w:val="00501FF2"/>
    <w:rsid w:val="00002742"/>
    <w:rsid w:val="00016D3C"/>
    <w:rsid w:val="000220F8"/>
    <w:rsid w:val="00034058"/>
    <w:rsid w:val="0003574A"/>
    <w:rsid w:val="00040D14"/>
    <w:rsid w:val="0004381F"/>
    <w:rsid w:val="00064BC3"/>
    <w:rsid w:val="00066474"/>
    <w:rsid w:val="000665E6"/>
    <w:rsid w:val="00066775"/>
    <w:rsid w:val="00072FB9"/>
    <w:rsid w:val="0007598F"/>
    <w:rsid w:val="0009645A"/>
    <w:rsid w:val="000B2040"/>
    <w:rsid w:val="000B3715"/>
    <w:rsid w:val="000E431D"/>
    <w:rsid w:val="000E48DA"/>
    <w:rsid w:val="000E5207"/>
    <w:rsid w:val="000F5ADD"/>
    <w:rsid w:val="000F71C1"/>
    <w:rsid w:val="00100531"/>
    <w:rsid w:val="00103075"/>
    <w:rsid w:val="0010382E"/>
    <w:rsid w:val="00166D90"/>
    <w:rsid w:val="00170803"/>
    <w:rsid w:val="00177CC2"/>
    <w:rsid w:val="0019171D"/>
    <w:rsid w:val="001921C4"/>
    <w:rsid w:val="001923A4"/>
    <w:rsid w:val="001A25D5"/>
    <w:rsid w:val="001A2624"/>
    <w:rsid w:val="001A2A2B"/>
    <w:rsid w:val="001E0043"/>
    <w:rsid w:val="00201DFB"/>
    <w:rsid w:val="00204A63"/>
    <w:rsid w:val="00207A05"/>
    <w:rsid w:val="00212FF1"/>
    <w:rsid w:val="00230193"/>
    <w:rsid w:val="00244D0B"/>
    <w:rsid w:val="0025068A"/>
    <w:rsid w:val="002818D3"/>
    <w:rsid w:val="002911A7"/>
    <w:rsid w:val="002943C8"/>
    <w:rsid w:val="00295E6D"/>
    <w:rsid w:val="002A2A6B"/>
    <w:rsid w:val="002A6BDB"/>
    <w:rsid w:val="002B0E2E"/>
    <w:rsid w:val="002C2373"/>
    <w:rsid w:val="002D11A8"/>
    <w:rsid w:val="00314F87"/>
    <w:rsid w:val="0032051D"/>
    <w:rsid w:val="003303B5"/>
    <w:rsid w:val="003366E9"/>
    <w:rsid w:val="00342FB4"/>
    <w:rsid w:val="00343120"/>
    <w:rsid w:val="0036065A"/>
    <w:rsid w:val="00384C18"/>
    <w:rsid w:val="003866EC"/>
    <w:rsid w:val="0039028B"/>
    <w:rsid w:val="00391AF5"/>
    <w:rsid w:val="003B418B"/>
    <w:rsid w:val="003B4D96"/>
    <w:rsid w:val="003C1893"/>
    <w:rsid w:val="003D425E"/>
    <w:rsid w:val="003D7BB8"/>
    <w:rsid w:val="003E1D3C"/>
    <w:rsid w:val="003F100A"/>
    <w:rsid w:val="00410B71"/>
    <w:rsid w:val="00420D8A"/>
    <w:rsid w:val="0044282F"/>
    <w:rsid w:val="00445271"/>
    <w:rsid w:val="00447A04"/>
    <w:rsid w:val="004527C3"/>
    <w:rsid w:val="00483B8B"/>
    <w:rsid w:val="00487F7A"/>
    <w:rsid w:val="004971B2"/>
    <w:rsid w:val="004A0504"/>
    <w:rsid w:val="004B5278"/>
    <w:rsid w:val="004C7A3F"/>
    <w:rsid w:val="004E38D9"/>
    <w:rsid w:val="004F094C"/>
    <w:rsid w:val="005000F2"/>
    <w:rsid w:val="00501FF2"/>
    <w:rsid w:val="00531020"/>
    <w:rsid w:val="00545150"/>
    <w:rsid w:val="00545421"/>
    <w:rsid w:val="0055072A"/>
    <w:rsid w:val="005525A5"/>
    <w:rsid w:val="005544CE"/>
    <w:rsid w:val="00587C0A"/>
    <w:rsid w:val="005B0701"/>
    <w:rsid w:val="005B145B"/>
    <w:rsid w:val="005D160A"/>
    <w:rsid w:val="005D3F50"/>
    <w:rsid w:val="005D72CF"/>
    <w:rsid w:val="005E6C84"/>
    <w:rsid w:val="005F7CB9"/>
    <w:rsid w:val="00601C6D"/>
    <w:rsid w:val="00603CD4"/>
    <w:rsid w:val="006346C1"/>
    <w:rsid w:val="00653DD0"/>
    <w:rsid w:val="006711CA"/>
    <w:rsid w:val="0069116F"/>
    <w:rsid w:val="00691658"/>
    <w:rsid w:val="006B6262"/>
    <w:rsid w:val="006D037C"/>
    <w:rsid w:val="00727C6F"/>
    <w:rsid w:val="00740D6D"/>
    <w:rsid w:val="007422C7"/>
    <w:rsid w:val="00743F76"/>
    <w:rsid w:val="00770030"/>
    <w:rsid w:val="00774959"/>
    <w:rsid w:val="007852B2"/>
    <w:rsid w:val="00794149"/>
    <w:rsid w:val="007B3695"/>
    <w:rsid w:val="007B67A7"/>
    <w:rsid w:val="007C6092"/>
    <w:rsid w:val="007D1D0F"/>
    <w:rsid w:val="007E119E"/>
    <w:rsid w:val="00800AB9"/>
    <w:rsid w:val="00846903"/>
    <w:rsid w:val="00857EC2"/>
    <w:rsid w:val="008C58E9"/>
    <w:rsid w:val="008C77ED"/>
    <w:rsid w:val="008F0A96"/>
    <w:rsid w:val="009062A0"/>
    <w:rsid w:val="009451E7"/>
    <w:rsid w:val="00946D7E"/>
    <w:rsid w:val="00956E7F"/>
    <w:rsid w:val="00963118"/>
    <w:rsid w:val="00966E06"/>
    <w:rsid w:val="00970D4F"/>
    <w:rsid w:val="00971D70"/>
    <w:rsid w:val="00987DAA"/>
    <w:rsid w:val="009A4377"/>
    <w:rsid w:val="009A6043"/>
    <w:rsid w:val="009B08A8"/>
    <w:rsid w:val="009C4113"/>
    <w:rsid w:val="009C6B96"/>
    <w:rsid w:val="009D0673"/>
    <w:rsid w:val="009D789E"/>
    <w:rsid w:val="009E2864"/>
    <w:rsid w:val="00A053C6"/>
    <w:rsid w:val="00A055B3"/>
    <w:rsid w:val="00A15D71"/>
    <w:rsid w:val="00A21BC5"/>
    <w:rsid w:val="00A2753B"/>
    <w:rsid w:val="00A30D67"/>
    <w:rsid w:val="00A62563"/>
    <w:rsid w:val="00A736FF"/>
    <w:rsid w:val="00A8328F"/>
    <w:rsid w:val="00AA1434"/>
    <w:rsid w:val="00AB5000"/>
    <w:rsid w:val="00AC4310"/>
    <w:rsid w:val="00AC63D9"/>
    <w:rsid w:val="00AE2EF8"/>
    <w:rsid w:val="00AE529B"/>
    <w:rsid w:val="00AF5881"/>
    <w:rsid w:val="00B13BF0"/>
    <w:rsid w:val="00B33C81"/>
    <w:rsid w:val="00B34666"/>
    <w:rsid w:val="00B37416"/>
    <w:rsid w:val="00B53F7D"/>
    <w:rsid w:val="00B67E5B"/>
    <w:rsid w:val="00B85E84"/>
    <w:rsid w:val="00BA4894"/>
    <w:rsid w:val="00BA6BE0"/>
    <w:rsid w:val="00BB6D75"/>
    <w:rsid w:val="00BD43A8"/>
    <w:rsid w:val="00BF7E00"/>
    <w:rsid w:val="00C1285C"/>
    <w:rsid w:val="00C131AF"/>
    <w:rsid w:val="00C27B7D"/>
    <w:rsid w:val="00C32A06"/>
    <w:rsid w:val="00C43BAA"/>
    <w:rsid w:val="00C44394"/>
    <w:rsid w:val="00C533BA"/>
    <w:rsid w:val="00C902E9"/>
    <w:rsid w:val="00C92208"/>
    <w:rsid w:val="00CA7713"/>
    <w:rsid w:val="00CB3545"/>
    <w:rsid w:val="00CB5B24"/>
    <w:rsid w:val="00CD2243"/>
    <w:rsid w:val="00CD4B2B"/>
    <w:rsid w:val="00CE3037"/>
    <w:rsid w:val="00CF7A43"/>
    <w:rsid w:val="00D01775"/>
    <w:rsid w:val="00D1174F"/>
    <w:rsid w:val="00D1289C"/>
    <w:rsid w:val="00D22277"/>
    <w:rsid w:val="00D33076"/>
    <w:rsid w:val="00D4190A"/>
    <w:rsid w:val="00D44527"/>
    <w:rsid w:val="00D47369"/>
    <w:rsid w:val="00D52681"/>
    <w:rsid w:val="00D53D04"/>
    <w:rsid w:val="00D55EF7"/>
    <w:rsid w:val="00D62D29"/>
    <w:rsid w:val="00DA09F8"/>
    <w:rsid w:val="00DC0DF0"/>
    <w:rsid w:val="00DC2FE3"/>
    <w:rsid w:val="00DC6C70"/>
    <w:rsid w:val="00DD3D66"/>
    <w:rsid w:val="00DE10AC"/>
    <w:rsid w:val="00DE1C3E"/>
    <w:rsid w:val="00DF2BD0"/>
    <w:rsid w:val="00DF5ACD"/>
    <w:rsid w:val="00DF771C"/>
    <w:rsid w:val="00E05465"/>
    <w:rsid w:val="00E22893"/>
    <w:rsid w:val="00E349C2"/>
    <w:rsid w:val="00E360DE"/>
    <w:rsid w:val="00E366BA"/>
    <w:rsid w:val="00E47AF5"/>
    <w:rsid w:val="00E5074A"/>
    <w:rsid w:val="00E51993"/>
    <w:rsid w:val="00E521CB"/>
    <w:rsid w:val="00E728F6"/>
    <w:rsid w:val="00E75D28"/>
    <w:rsid w:val="00E84F25"/>
    <w:rsid w:val="00EA1EDE"/>
    <w:rsid w:val="00EC007B"/>
    <w:rsid w:val="00F17A85"/>
    <w:rsid w:val="00F21B30"/>
    <w:rsid w:val="00F273EA"/>
    <w:rsid w:val="00F35351"/>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A8292E72-1142-4027-BD38-FD039458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131AF"/>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131AF"/>
    <w:pPr>
      <w:numPr>
        <w:ilvl w:val="1"/>
      </w:numPr>
      <w:spacing w:before="500" w:line="250" w:lineRule="exact"/>
      <w:outlineLvl w:val="1"/>
    </w:pPr>
    <w:rPr>
      <w:sz w:val="27"/>
    </w:rPr>
  </w:style>
  <w:style w:type="paragraph" w:styleId="Rubrik3">
    <w:name w:val="heading 3"/>
    <w:aliases w:val="Mellanrubrik"/>
    <w:basedOn w:val="Rubrik2"/>
    <w:next w:val="Normal"/>
    <w:qFormat/>
    <w:rsid w:val="00C131AF"/>
    <w:pPr>
      <w:numPr>
        <w:ilvl w:val="2"/>
      </w:numPr>
      <w:spacing w:before="250" w:after="0"/>
      <w:outlineLvl w:val="2"/>
    </w:pPr>
    <w:rPr>
      <w:b/>
      <w:sz w:val="21"/>
    </w:rPr>
  </w:style>
  <w:style w:type="paragraph" w:styleId="Rubrik4">
    <w:name w:val="heading 4"/>
    <w:aliases w:val="KursivRubrik"/>
    <w:basedOn w:val="Rubrik3"/>
    <w:next w:val="Normal"/>
    <w:qFormat/>
    <w:rsid w:val="00C131AF"/>
    <w:pPr>
      <w:numPr>
        <w:ilvl w:val="3"/>
      </w:numPr>
      <w:outlineLvl w:val="3"/>
    </w:pPr>
    <w:rPr>
      <w:b w:val="0"/>
      <w:i/>
    </w:rPr>
  </w:style>
  <w:style w:type="paragraph" w:styleId="Rubrik5">
    <w:name w:val="heading 5"/>
    <w:aliases w:val="PackadFetRubrik,PackadKursivRubrik"/>
    <w:basedOn w:val="Rubrik4"/>
    <w:next w:val="Normal"/>
    <w:qFormat/>
    <w:rsid w:val="00C131AF"/>
    <w:pPr>
      <w:numPr>
        <w:ilvl w:val="4"/>
      </w:numPr>
      <w:tabs>
        <w:tab w:val="clear" w:pos="1021"/>
      </w:tabs>
      <w:spacing w:before="125"/>
      <w:outlineLvl w:val="4"/>
    </w:pPr>
    <w:rPr>
      <w:i w:val="0"/>
      <w:sz w:val="19"/>
    </w:rPr>
  </w:style>
  <w:style w:type="paragraph" w:styleId="Rubrik6">
    <w:name w:val="heading 6"/>
    <w:basedOn w:val="Rubrik5"/>
    <w:next w:val="Normal"/>
    <w:qFormat/>
    <w:rsid w:val="00C131AF"/>
    <w:pPr>
      <w:numPr>
        <w:ilvl w:val="5"/>
      </w:numPr>
      <w:spacing w:before="50" w:line="200" w:lineRule="exact"/>
      <w:outlineLvl w:val="5"/>
    </w:pPr>
    <w:rPr>
      <w:caps/>
      <w:sz w:val="14"/>
    </w:rPr>
  </w:style>
  <w:style w:type="paragraph" w:styleId="Rubrik7">
    <w:name w:val="heading 7"/>
    <w:basedOn w:val="Rubrik6"/>
    <w:next w:val="Normal"/>
    <w:qFormat/>
    <w:rsid w:val="00C131AF"/>
    <w:pPr>
      <w:numPr>
        <w:ilvl w:val="6"/>
      </w:numPr>
      <w:spacing w:before="0"/>
      <w:outlineLvl w:val="6"/>
    </w:pPr>
  </w:style>
  <w:style w:type="paragraph" w:styleId="Rubrik8">
    <w:name w:val="heading 8"/>
    <w:basedOn w:val="Rubrik7"/>
    <w:next w:val="Normal"/>
    <w:qFormat/>
    <w:rsid w:val="00C131AF"/>
    <w:pPr>
      <w:numPr>
        <w:ilvl w:val="7"/>
      </w:numPr>
      <w:outlineLvl w:val="7"/>
    </w:pPr>
  </w:style>
  <w:style w:type="paragraph" w:styleId="Rubrik9">
    <w:name w:val="heading 9"/>
    <w:basedOn w:val="Rubrik8"/>
    <w:next w:val="Normal"/>
    <w:qFormat/>
    <w:rsid w:val="00C131A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131AF"/>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link w:val="FotnotstextChar"/>
    <w:semiHidden/>
    <w:rsid w:val="009D789E"/>
    <w:pPr>
      <w:spacing w:line="280" w:lineRule="exact"/>
    </w:pPr>
    <w:rPr>
      <w:sz w:val="20"/>
    </w:rPr>
  </w:style>
  <w:style w:type="character" w:styleId="Fotnotsreferens">
    <w:name w:val="footnote reference"/>
    <w:basedOn w:val="Standardstycketeckensnitt"/>
    <w:semiHidden/>
    <w:rsid w:val="009D789E"/>
    <w:rPr>
      <w:vertAlign w:val="superscript"/>
    </w:rPr>
  </w:style>
  <w:style w:type="table" w:styleId="Tabellrutnt">
    <w:name w:val="Table Grid"/>
    <w:basedOn w:val="Normaltabell"/>
    <w:rsid w:val="009D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stextChar">
    <w:name w:val="Fotnotstext Char"/>
    <w:basedOn w:val="Standardstycketeckensnitt"/>
    <w:link w:val="Fotnotstext"/>
    <w:rsid w:val="009D789E"/>
    <w:rPr>
      <w:lang w:val="sv-SE" w:eastAsia="sv-SE" w:bidi="ar-SA"/>
    </w:rPr>
  </w:style>
  <w:style w:type="character" w:customStyle="1" w:styleId="Kapitler-fotnoter">
    <w:name w:val="Kapitäler - fotnoter"/>
    <w:basedOn w:val="Standardstycketeckensnitt"/>
    <w:rsid w:val="009D789E"/>
    <w:rPr>
      <w:spacing w:val="6"/>
      <w:sz w:val="18"/>
      <w:szCs w:val="18"/>
      <w:lang w:val="en-US"/>
    </w:rPr>
  </w:style>
  <w:style w:type="character" w:customStyle="1" w:styleId="Siffror-fotnoter">
    <w:name w:val="Siffror - fotnoter"/>
    <w:basedOn w:val="Standardstycketeckensnitt"/>
    <w:rsid w:val="009D789E"/>
    <w:rPr>
      <w:rFonts w:ascii="High Tower Text" w:hAnsi="High Tower Text"/>
      <w:sz w:val="22"/>
    </w:rPr>
  </w:style>
  <w:style w:type="character" w:customStyle="1" w:styleId="Kondenserad">
    <w:name w:val="Kondenserad"/>
    <w:basedOn w:val="Standardstycketeckensnitt"/>
    <w:rsid w:val="009D789E"/>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2659</Words>
  <Characters>16198</Characters>
  <Application>Microsoft Office Word</Application>
  <DocSecurity>4</DocSecurity>
  <Lines>344</Lines>
  <Paragraphs>132</Paragraphs>
  <ScaleCrop>false</ScaleCrop>
  <HeadingPairs>
    <vt:vector size="2" baseType="variant">
      <vt:variant>
        <vt:lpstr>Rubrik</vt:lpstr>
      </vt:variant>
      <vt:variant>
        <vt:i4>1</vt:i4>
      </vt:variant>
    </vt:vector>
  </HeadingPairs>
  <TitlesOfParts>
    <vt:vector size="1" baseType="lpstr">
      <vt:lpstr>v022</vt:lpstr>
    </vt:vector>
  </TitlesOfParts>
  <Company>Riksdagen</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v022</dc:title>
  <dc:subject>v022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2007-03-15T09:56:00Z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mot2000_462_2007-03-07</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framst. 2006/07:RB1 Årsredovisning för Sveriges riksbank för räkenskapsåret 2006</vt:lpwstr>
  </property>
  <property fmtid="{D5CDD505-2E9C-101B-9397-08002B2CF9AE}" pid="11" name="SvarFrasKort">
    <vt:lpwstr>med anledning av framst. 2006/07:RB1</vt:lpwstr>
  </property>
  <property fmtid="{D5CDD505-2E9C-101B-9397-08002B2CF9AE}" pid="12" name="Svar">
    <vt:lpwstr>Förslag</vt:lpwstr>
  </property>
  <property fmtid="{D5CDD505-2E9C-101B-9397-08002B2CF9AE}" pid="13" name="SvarNr">
    <vt:lpwstr>2006/07:RB1</vt:lpwstr>
  </property>
  <property fmtid="{D5CDD505-2E9C-101B-9397-08002B2CF9AE}" pid="14" name="RubrikSvar">
    <vt:lpwstr>Årsredovisning för Sveriges riksbank för räkenskapsåret 2006</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(v)\Johansson, Wiwi-Anne (v)\Linna, Elina (v)\Pedersen, Peter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Wiwi-Anne Johansson (v), Elina Linna (v), Peter Pedersen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Fi1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20062007000000000118000000220080</vt:lpwstr>
  </property>
  <property fmtid="{D5CDD505-2E9C-101B-9397-08002B2CF9AE}" pid="47" name="datum">
    <vt:lpwstr>070312</vt:lpwstr>
  </property>
  <property fmtid="{D5CDD505-2E9C-101B-9397-08002B2CF9AE}" pid="48" name="avsändar-e-post">
    <vt:lpwstr/>
  </property>
  <property fmtid="{D5CDD505-2E9C-101B-9397-08002B2CF9AE}" pid="49" name="id">
    <vt:lpwstr>20062007000000000118000000220080</vt:lpwstr>
  </property>
  <property fmtid="{D5CDD505-2E9C-101B-9397-08002B2CF9AE}" pid="50" name="nummer">
    <vt:lpwstr>1</vt:lpwstr>
  </property>
  <property fmtid="{D5CDD505-2E9C-101B-9397-08002B2CF9AE}" pid="51" name="utskottsbeteckning">
    <vt:lpwstr>Fi</vt:lpwstr>
  </property>
  <property fmtid="{D5CDD505-2E9C-101B-9397-08002B2CF9AE}" pid="52" name="GlobalUID">
    <vt:lpwstr>{3E7199D9-7767-4B31-94E8-8AC60D879B85}</vt:lpwstr>
  </property>
  <property fmtid="{D5CDD505-2E9C-101B-9397-08002B2CF9AE}" pid="53" name="Överföringar">
    <vt:i4>0</vt:i4>
  </property>
  <property fmtid="{D5CDD505-2E9C-101B-9397-08002B2CF9AE}" pid="54" name="Checksum">
    <vt:lpwstr>*1011686334043*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070628 10:30:55.836</vt:lpwstr>
  </property>
  <property fmtid="{D5CDD505-2E9C-101B-9397-08002B2CF9AE}" pid="58" name="urixGuid">
    <vt:lpwstr>{1C6DD82A-1A74-4DB8-BC68-B79BD69EE232}</vt:lpwstr>
  </property>
</Properties>
</file>