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6EC" w:rsidRPr="005678B4" w:rsidRDefault="001656EC">
      <w:pPr>
        <w:pStyle w:val="Hemstlrubrik"/>
        <w:shd w:val="clear" w:color="000000" w:fill="auto"/>
      </w:pPr>
      <w:r w:rsidRPr="005678B4">
        <w:t>Förslag till riksdagsbeslut</w:t>
      </w:r>
    </w:p>
    <w:p w:rsidR="001656EC" w:rsidRPr="005678B4" w:rsidRDefault="001656EC">
      <w:pPr>
        <w:pStyle w:val="Hemstlatt"/>
        <w:numPr>
          <w:ilvl w:val="0"/>
          <w:numId w:val="1"/>
        </w:numPr>
        <w:shd w:val="clear" w:color="000000" w:fill="auto"/>
      </w:pPr>
      <w:r w:rsidRPr="005678B4">
        <w:t>Riksdagen beslutar om ändrade ramar för utgift</w:t>
      </w:r>
      <w:r w:rsidRPr="005678B4">
        <w:t>s</w:t>
      </w:r>
      <w:r w:rsidRPr="005678B4">
        <w:t>områden samt anvisar ändrade och nya anslag enligt uppstäl</w:t>
      </w:r>
      <w:r w:rsidRPr="005678B4">
        <w:t>l</w:t>
      </w:r>
      <w:r w:rsidRPr="005678B4">
        <w:t>ning:</w:t>
      </w:r>
    </w:p>
    <w:tbl>
      <w:tblPr>
        <w:tblW w:w="6129" w:type="dxa"/>
        <w:tblInd w:w="55" w:type="dxa"/>
        <w:tblLayout w:type="fixed"/>
        <w:tblCellMar>
          <w:left w:w="70" w:type="dxa"/>
          <w:right w:w="70" w:type="dxa"/>
        </w:tblCellMar>
        <w:tblLook w:val="0000" w:firstRow="0" w:lastRow="0" w:firstColumn="0" w:lastColumn="0" w:noHBand="0" w:noVBand="0"/>
      </w:tblPr>
      <w:tblGrid>
        <w:gridCol w:w="616"/>
        <w:gridCol w:w="542"/>
        <w:gridCol w:w="3518"/>
        <w:gridCol w:w="1453"/>
      </w:tblGrid>
      <w:tr w:rsidR="00000000" w:rsidRPr="005678B4">
        <w:trPr>
          <w:trHeight w:val="20"/>
        </w:trPr>
        <w:tc>
          <w:tcPr>
            <w:tcW w:w="616" w:type="dxa"/>
            <w:tcBorders>
              <w:top w:val="single" w:sz="4" w:space="0" w:color="auto"/>
              <w:left w:val="nil"/>
              <w:bottom w:val="single" w:sz="4" w:space="0" w:color="auto"/>
              <w:right w:val="nil"/>
            </w:tcBorders>
          </w:tcPr>
          <w:p w:rsidR="001656EC" w:rsidRPr="005678B4" w:rsidRDefault="001656EC">
            <w:pPr>
              <w:shd w:val="clear" w:color="000000" w:fill="auto"/>
              <w:spacing w:before="60" w:line="200" w:lineRule="exact"/>
              <w:ind w:left="-57"/>
              <w:rPr>
                <w:b/>
                <w:sz w:val="16"/>
                <w:szCs w:val="16"/>
              </w:rPr>
            </w:pPr>
            <w:r w:rsidRPr="005678B4">
              <w:rPr>
                <w:b/>
                <w:sz w:val="16"/>
                <w:szCs w:val="16"/>
              </w:rPr>
              <w:t>Utgifts</w:t>
            </w:r>
            <w:r w:rsidRPr="005678B4">
              <w:rPr>
                <w:b/>
                <w:sz w:val="16"/>
                <w:szCs w:val="16"/>
              </w:rPr>
              <w:softHyphen/>
              <w:t>område</w:t>
            </w:r>
          </w:p>
        </w:tc>
        <w:tc>
          <w:tcPr>
            <w:tcW w:w="542" w:type="dxa"/>
            <w:tcBorders>
              <w:top w:val="single" w:sz="4" w:space="0" w:color="auto"/>
              <w:left w:val="nil"/>
              <w:bottom w:val="single" w:sz="4" w:space="0" w:color="auto"/>
              <w:right w:val="nil"/>
            </w:tcBorders>
          </w:tcPr>
          <w:p w:rsidR="001656EC" w:rsidRPr="005678B4" w:rsidRDefault="001656EC">
            <w:pPr>
              <w:shd w:val="clear" w:color="000000" w:fill="auto"/>
              <w:spacing w:before="60" w:line="200" w:lineRule="exact"/>
              <w:ind w:left="-57" w:right="-57"/>
              <w:jc w:val="center"/>
              <w:rPr>
                <w:b/>
                <w:sz w:val="16"/>
                <w:szCs w:val="16"/>
              </w:rPr>
            </w:pPr>
            <w:r w:rsidRPr="005678B4">
              <w:rPr>
                <w:b/>
                <w:sz w:val="16"/>
                <w:szCs w:val="16"/>
              </w:rPr>
              <w:t>Anslag</w:t>
            </w:r>
          </w:p>
        </w:tc>
        <w:tc>
          <w:tcPr>
            <w:tcW w:w="3518" w:type="dxa"/>
            <w:tcBorders>
              <w:top w:val="single" w:sz="4" w:space="0" w:color="auto"/>
              <w:left w:val="nil"/>
              <w:bottom w:val="single" w:sz="4" w:space="0" w:color="auto"/>
              <w:right w:val="nil"/>
            </w:tcBorders>
          </w:tcPr>
          <w:p w:rsidR="001656EC" w:rsidRPr="005678B4" w:rsidRDefault="001656EC">
            <w:pPr>
              <w:shd w:val="clear" w:color="000000" w:fill="auto"/>
              <w:spacing w:before="60" w:line="200" w:lineRule="exact"/>
              <w:rPr>
                <w:b/>
                <w:sz w:val="16"/>
                <w:szCs w:val="16"/>
              </w:rPr>
            </w:pPr>
          </w:p>
        </w:tc>
        <w:tc>
          <w:tcPr>
            <w:tcW w:w="1453" w:type="dxa"/>
            <w:tcBorders>
              <w:top w:val="single" w:sz="4" w:space="0" w:color="auto"/>
              <w:left w:val="nil"/>
              <w:bottom w:val="single" w:sz="4" w:space="0" w:color="auto"/>
              <w:right w:val="nil"/>
            </w:tcBorders>
          </w:tcPr>
          <w:p w:rsidR="001656EC" w:rsidRPr="005678B4" w:rsidRDefault="001656EC">
            <w:pPr>
              <w:shd w:val="clear" w:color="000000" w:fill="auto"/>
              <w:spacing w:before="60" w:line="200" w:lineRule="exact"/>
              <w:ind w:left="-57"/>
              <w:jc w:val="right"/>
              <w:rPr>
                <w:b/>
                <w:sz w:val="16"/>
                <w:szCs w:val="16"/>
              </w:rPr>
            </w:pPr>
            <w:r w:rsidRPr="005678B4">
              <w:rPr>
                <w:b/>
                <w:sz w:val="16"/>
                <w:szCs w:val="16"/>
              </w:rPr>
              <w:t xml:space="preserve">Avvikelse från </w:t>
            </w:r>
            <w:r w:rsidRPr="005678B4">
              <w:rPr>
                <w:b/>
                <w:sz w:val="16"/>
                <w:szCs w:val="16"/>
              </w:rPr>
              <w:br/>
              <w:t xml:space="preserve">regeringens förslag </w:t>
            </w:r>
            <w:r w:rsidRPr="005678B4">
              <w:rPr>
                <w:b/>
                <w:sz w:val="16"/>
                <w:szCs w:val="16"/>
              </w:rPr>
              <w:br/>
            </w:r>
            <w:r w:rsidRPr="005678B4">
              <w:rPr>
                <w:sz w:val="16"/>
                <w:szCs w:val="16"/>
              </w:rPr>
              <w:t>(tusental kronor)</w:t>
            </w:r>
          </w:p>
        </w:tc>
      </w:tr>
      <w:tr w:rsidR="00000000" w:rsidRPr="005678B4">
        <w:trPr>
          <w:trHeight w:val="20"/>
        </w:trPr>
        <w:tc>
          <w:tcPr>
            <w:tcW w:w="616" w:type="dxa"/>
            <w:tcBorders>
              <w:top w:val="single" w:sz="4" w:space="0" w:color="auto"/>
              <w:left w:val="nil"/>
              <w:bottom w:val="nil"/>
              <w:right w:val="nil"/>
            </w:tcBorders>
            <w:noWrap/>
            <w:vAlign w:val="bottom"/>
          </w:tcPr>
          <w:p w:rsidR="001656EC" w:rsidRPr="005678B4" w:rsidRDefault="001656EC">
            <w:pPr>
              <w:shd w:val="clear" w:color="000000" w:fill="auto"/>
              <w:spacing w:before="60" w:line="200" w:lineRule="exact"/>
              <w:ind w:right="57"/>
              <w:jc w:val="right"/>
              <w:rPr>
                <w:sz w:val="16"/>
                <w:szCs w:val="16"/>
              </w:rPr>
            </w:pPr>
            <w:r w:rsidRPr="005678B4">
              <w:rPr>
                <w:sz w:val="16"/>
                <w:szCs w:val="16"/>
              </w:rPr>
              <w:t>9</w:t>
            </w:r>
          </w:p>
        </w:tc>
        <w:tc>
          <w:tcPr>
            <w:tcW w:w="542" w:type="dxa"/>
            <w:tcBorders>
              <w:top w:val="single" w:sz="4" w:space="0" w:color="auto"/>
              <w:left w:val="nil"/>
              <w:bottom w:val="nil"/>
              <w:right w:val="nil"/>
            </w:tcBorders>
            <w:noWrap/>
            <w:vAlign w:val="bottom"/>
          </w:tcPr>
          <w:p w:rsidR="001656EC" w:rsidRPr="005678B4" w:rsidRDefault="001656EC">
            <w:pPr>
              <w:shd w:val="clear" w:color="000000" w:fill="auto"/>
              <w:spacing w:before="60" w:line="200" w:lineRule="exact"/>
              <w:jc w:val="right"/>
              <w:rPr>
                <w:sz w:val="16"/>
                <w:szCs w:val="16"/>
              </w:rPr>
            </w:pPr>
            <w:r w:rsidRPr="005678B4">
              <w:rPr>
                <w:sz w:val="16"/>
                <w:szCs w:val="16"/>
              </w:rPr>
              <w:t>13:9</w:t>
            </w:r>
          </w:p>
        </w:tc>
        <w:tc>
          <w:tcPr>
            <w:tcW w:w="3518" w:type="dxa"/>
            <w:tcBorders>
              <w:top w:val="single" w:sz="4" w:space="0" w:color="auto"/>
              <w:left w:val="nil"/>
              <w:bottom w:val="nil"/>
              <w:right w:val="nil"/>
            </w:tcBorders>
            <w:noWrap/>
            <w:vAlign w:val="bottom"/>
          </w:tcPr>
          <w:p w:rsidR="001656EC" w:rsidRPr="005678B4" w:rsidRDefault="001656EC">
            <w:pPr>
              <w:shd w:val="clear" w:color="000000" w:fill="auto"/>
              <w:spacing w:before="60" w:line="200" w:lineRule="exact"/>
              <w:rPr>
                <w:sz w:val="16"/>
                <w:szCs w:val="16"/>
              </w:rPr>
            </w:pPr>
            <w:r w:rsidRPr="005678B4">
              <w:rPr>
                <w:sz w:val="16"/>
                <w:szCs w:val="16"/>
              </w:rPr>
              <w:t>Bidrag till psykiatrin</w:t>
            </w:r>
          </w:p>
        </w:tc>
        <w:tc>
          <w:tcPr>
            <w:tcW w:w="1453" w:type="dxa"/>
            <w:tcBorders>
              <w:top w:val="single" w:sz="4" w:space="0" w:color="auto"/>
              <w:left w:val="nil"/>
              <w:bottom w:val="nil"/>
              <w:right w:val="nil"/>
            </w:tcBorders>
            <w:noWrap/>
            <w:vAlign w:val="bottom"/>
          </w:tcPr>
          <w:p w:rsidR="001656EC" w:rsidRPr="005678B4" w:rsidRDefault="001656EC">
            <w:pPr>
              <w:shd w:val="clear" w:color="000000" w:fill="auto"/>
              <w:spacing w:before="60" w:line="200" w:lineRule="exact"/>
              <w:jc w:val="right"/>
              <w:rPr>
                <w:sz w:val="16"/>
                <w:szCs w:val="16"/>
              </w:rPr>
            </w:pPr>
            <w:r w:rsidRPr="005678B4">
              <w:rPr>
                <w:sz w:val="16"/>
                <w:szCs w:val="16"/>
              </w:rPr>
              <w:t>1 530</w:t>
            </w:r>
          </w:p>
        </w:tc>
      </w:tr>
      <w:tr w:rsidR="00000000" w:rsidRPr="005678B4">
        <w:trPr>
          <w:trHeight w:val="20"/>
        </w:trPr>
        <w:tc>
          <w:tcPr>
            <w:tcW w:w="616" w:type="dxa"/>
            <w:tcBorders>
              <w:top w:val="nil"/>
              <w:left w:val="nil"/>
              <w:bottom w:val="nil"/>
              <w:right w:val="nil"/>
            </w:tcBorders>
            <w:noWrap/>
            <w:vAlign w:val="bottom"/>
          </w:tcPr>
          <w:p w:rsidR="001656EC" w:rsidRPr="005678B4" w:rsidRDefault="001656EC">
            <w:pPr>
              <w:shd w:val="clear" w:color="000000" w:fill="auto"/>
              <w:spacing w:before="60" w:line="200" w:lineRule="exact"/>
              <w:ind w:right="57"/>
              <w:jc w:val="right"/>
              <w:rPr>
                <w:sz w:val="16"/>
                <w:szCs w:val="16"/>
              </w:rPr>
            </w:pPr>
            <w:r w:rsidRPr="005678B4">
              <w:rPr>
                <w:sz w:val="16"/>
                <w:szCs w:val="16"/>
              </w:rPr>
              <w:t>13</w:t>
            </w:r>
          </w:p>
        </w:tc>
        <w:tc>
          <w:tcPr>
            <w:tcW w:w="542" w:type="dxa"/>
            <w:tcBorders>
              <w:top w:val="nil"/>
              <w:left w:val="nil"/>
              <w:bottom w:val="nil"/>
              <w:right w:val="nil"/>
            </w:tcBorders>
            <w:noWrap/>
            <w:vAlign w:val="bottom"/>
          </w:tcPr>
          <w:p w:rsidR="001656EC" w:rsidRPr="005678B4" w:rsidRDefault="001656EC">
            <w:pPr>
              <w:shd w:val="clear" w:color="000000" w:fill="auto"/>
              <w:spacing w:before="60" w:line="200" w:lineRule="exact"/>
              <w:jc w:val="right"/>
              <w:rPr>
                <w:sz w:val="16"/>
                <w:szCs w:val="16"/>
              </w:rPr>
            </w:pPr>
            <w:r w:rsidRPr="005678B4">
              <w:rPr>
                <w:sz w:val="16"/>
                <w:szCs w:val="16"/>
              </w:rPr>
              <w:t>10:3</w:t>
            </w:r>
          </w:p>
        </w:tc>
        <w:tc>
          <w:tcPr>
            <w:tcW w:w="3518" w:type="dxa"/>
            <w:tcBorders>
              <w:top w:val="nil"/>
              <w:left w:val="nil"/>
              <w:bottom w:val="nil"/>
              <w:right w:val="nil"/>
            </w:tcBorders>
            <w:noWrap/>
            <w:vAlign w:val="bottom"/>
          </w:tcPr>
          <w:p w:rsidR="001656EC" w:rsidRPr="005678B4" w:rsidRDefault="001656EC">
            <w:pPr>
              <w:shd w:val="clear" w:color="000000" w:fill="auto"/>
              <w:spacing w:before="60" w:line="200" w:lineRule="exact"/>
              <w:rPr>
                <w:sz w:val="16"/>
                <w:szCs w:val="16"/>
              </w:rPr>
            </w:pPr>
            <w:r w:rsidRPr="005678B4">
              <w:rPr>
                <w:sz w:val="16"/>
                <w:szCs w:val="16"/>
              </w:rPr>
              <w:t>Kommunersättningar vid flyktingmottagande</w:t>
            </w:r>
          </w:p>
        </w:tc>
        <w:tc>
          <w:tcPr>
            <w:tcW w:w="1453" w:type="dxa"/>
            <w:tcBorders>
              <w:top w:val="nil"/>
              <w:left w:val="nil"/>
              <w:bottom w:val="nil"/>
              <w:right w:val="nil"/>
            </w:tcBorders>
            <w:noWrap/>
            <w:vAlign w:val="bottom"/>
          </w:tcPr>
          <w:p w:rsidR="001656EC" w:rsidRPr="005678B4" w:rsidRDefault="001656EC">
            <w:pPr>
              <w:shd w:val="clear" w:color="000000" w:fill="auto"/>
              <w:spacing w:before="60" w:line="200" w:lineRule="exact"/>
              <w:jc w:val="right"/>
              <w:rPr>
                <w:sz w:val="16"/>
                <w:szCs w:val="16"/>
              </w:rPr>
            </w:pPr>
            <w:r w:rsidRPr="005678B4">
              <w:rPr>
                <w:sz w:val="16"/>
                <w:szCs w:val="16"/>
              </w:rPr>
              <w:t>4 000</w:t>
            </w:r>
          </w:p>
        </w:tc>
      </w:tr>
      <w:tr w:rsidR="00000000" w:rsidRPr="005678B4">
        <w:trPr>
          <w:trHeight w:val="20"/>
        </w:trPr>
        <w:tc>
          <w:tcPr>
            <w:tcW w:w="616" w:type="dxa"/>
            <w:tcBorders>
              <w:top w:val="nil"/>
              <w:left w:val="nil"/>
              <w:bottom w:val="nil"/>
              <w:right w:val="nil"/>
            </w:tcBorders>
            <w:noWrap/>
            <w:vAlign w:val="bottom"/>
          </w:tcPr>
          <w:p w:rsidR="001656EC" w:rsidRPr="005678B4" w:rsidRDefault="001656EC">
            <w:pPr>
              <w:shd w:val="clear" w:color="000000" w:fill="auto"/>
              <w:spacing w:before="60" w:line="200" w:lineRule="exact"/>
              <w:ind w:right="57"/>
              <w:jc w:val="right"/>
              <w:rPr>
                <w:sz w:val="16"/>
                <w:szCs w:val="16"/>
              </w:rPr>
            </w:pPr>
            <w:r w:rsidRPr="005678B4">
              <w:rPr>
                <w:sz w:val="16"/>
                <w:szCs w:val="16"/>
              </w:rPr>
              <w:t>16</w:t>
            </w:r>
          </w:p>
        </w:tc>
        <w:tc>
          <w:tcPr>
            <w:tcW w:w="542" w:type="dxa"/>
            <w:tcBorders>
              <w:top w:val="nil"/>
              <w:left w:val="nil"/>
              <w:bottom w:val="nil"/>
              <w:right w:val="nil"/>
            </w:tcBorders>
            <w:noWrap/>
            <w:vAlign w:val="bottom"/>
          </w:tcPr>
          <w:p w:rsidR="001656EC" w:rsidRPr="005678B4" w:rsidRDefault="001656EC">
            <w:pPr>
              <w:shd w:val="clear" w:color="000000" w:fill="auto"/>
              <w:spacing w:before="60" w:line="200" w:lineRule="exact"/>
              <w:jc w:val="right"/>
              <w:rPr>
                <w:sz w:val="16"/>
                <w:szCs w:val="16"/>
              </w:rPr>
            </w:pPr>
            <w:r w:rsidRPr="005678B4">
              <w:rPr>
                <w:sz w:val="16"/>
                <w:szCs w:val="16"/>
              </w:rPr>
              <w:t>25:1</w:t>
            </w:r>
          </w:p>
        </w:tc>
        <w:tc>
          <w:tcPr>
            <w:tcW w:w="3518" w:type="dxa"/>
            <w:tcBorders>
              <w:top w:val="nil"/>
              <w:left w:val="nil"/>
              <w:bottom w:val="nil"/>
              <w:right w:val="nil"/>
            </w:tcBorders>
            <w:noWrap/>
            <w:vAlign w:val="bottom"/>
          </w:tcPr>
          <w:p w:rsidR="001656EC" w:rsidRPr="005678B4" w:rsidRDefault="001656EC">
            <w:pPr>
              <w:shd w:val="clear" w:color="000000" w:fill="auto"/>
              <w:spacing w:before="60" w:line="200" w:lineRule="exact"/>
              <w:rPr>
                <w:sz w:val="16"/>
                <w:szCs w:val="16"/>
              </w:rPr>
            </w:pPr>
            <w:r w:rsidRPr="005678B4">
              <w:rPr>
                <w:sz w:val="16"/>
                <w:szCs w:val="16"/>
              </w:rPr>
              <w:t>Statens skolverk</w:t>
            </w:r>
          </w:p>
        </w:tc>
        <w:tc>
          <w:tcPr>
            <w:tcW w:w="1453" w:type="dxa"/>
            <w:tcBorders>
              <w:top w:val="nil"/>
              <w:left w:val="nil"/>
              <w:bottom w:val="nil"/>
              <w:right w:val="nil"/>
            </w:tcBorders>
            <w:noWrap/>
            <w:vAlign w:val="bottom"/>
          </w:tcPr>
          <w:p w:rsidR="001656EC" w:rsidRPr="005678B4" w:rsidRDefault="001656EC">
            <w:pPr>
              <w:shd w:val="clear" w:color="000000" w:fill="auto"/>
              <w:spacing w:before="60" w:line="200" w:lineRule="exact"/>
              <w:jc w:val="right"/>
              <w:rPr>
                <w:sz w:val="16"/>
                <w:szCs w:val="16"/>
              </w:rPr>
            </w:pPr>
            <w:r w:rsidRPr="005678B4">
              <w:rPr>
                <w:sz w:val="16"/>
                <w:szCs w:val="16"/>
              </w:rPr>
              <w:t>44 082</w:t>
            </w:r>
          </w:p>
        </w:tc>
      </w:tr>
      <w:tr w:rsidR="00000000" w:rsidRPr="005678B4">
        <w:trPr>
          <w:trHeight w:val="20"/>
        </w:trPr>
        <w:tc>
          <w:tcPr>
            <w:tcW w:w="616" w:type="dxa"/>
            <w:tcBorders>
              <w:top w:val="nil"/>
              <w:left w:val="nil"/>
              <w:bottom w:val="nil"/>
              <w:right w:val="nil"/>
            </w:tcBorders>
            <w:noWrap/>
            <w:vAlign w:val="bottom"/>
          </w:tcPr>
          <w:p w:rsidR="001656EC" w:rsidRPr="005678B4" w:rsidRDefault="001656EC">
            <w:pPr>
              <w:shd w:val="clear" w:color="000000" w:fill="auto"/>
              <w:spacing w:before="60" w:line="200" w:lineRule="exact"/>
              <w:ind w:right="57"/>
              <w:jc w:val="right"/>
              <w:rPr>
                <w:sz w:val="16"/>
                <w:szCs w:val="16"/>
              </w:rPr>
            </w:pPr>
          </w:p>
        </w:tc>
        <w:tc>
          <w:tcPr>
            <w:tcW w:w="542" w:type="dxa"/>
            <w:tcBorders>
              <w:top w:val="nil"/>
              <w:left w:val="nil"/>
              <w:bottom w:val="nil"/>
              <w:right w:val="nil"/>
            </w:tcBorders>
            <w:noWrap/>
            <w:vAlign w:val="bottom"/>
          </w:tcPr>
          <w:p w:rsidR="001656EC" w:rsidRPr="005678B4" w:rsidRDefault="001656EC">
            <w:pPr>
              <w:shd w:val="clear" w:color="000000" w:fill="auto"/>
              <w:spacing w:before="60" w:line="200" w:lineRule="exact"/>
              <w:jc w:val="right"/>
              <w:rPr>
                <w:sz w:val="16"/>
                <w:szCs w:val="16"/>
              </w:rPr>
            </w:pPr>
            <w:r w:rsidRPr="005678B4">
              <w:rPr>
                <w:sz w:val="16"/>
                <w:szCs w:val="16"/>
              </w:rPr>
              <w:t>25:2</w:t>
            </w:r>
          </w:p>
        </w:tc>
        <w:tc>
          <w:tcPr>
            <w:tcW w:w="3518" w:type="dxa"/>
            <w:tcBorders>
              <w:top w:val="nil"/>
              <w:left w:val="nil"/>
              <w:bottom w:val="nil"/>
              <w:right w:val="nil"/>
            </w:tcBorders>
            <w:noWrap/>
            <w:vAlign w:val="bottom"/>
          </w:tcPr>
          <w:p w:rsidR="001656EC" w:rsidRPr="005678B4" w:rsidRDefault="001656EC">
            <w:pPr>
              <w:shd w:val="clear" w:color="000000" w:fill="auto"/>
              <w:spacing w:before="60" w:line="200" w:lineRule="exact"/>
              <w:rPr>
                <w:sz w:val="16"/>
                <w:szCs w:val="16"/>
              </w:rPr>
            </w:pPr>
            <w:r w:rsidRPr="005678B4">
              <w:rPr>
                <w:sz w:val="16"/>
                <w:szCs w:val="16"/>
              </w:rPr>
              <w:t>Myndigheten för skolutveckling</w:t>
            </w:r>
          </w:p>
        </w:tc>
        <w:tc>
          <w:tcPr>
            <w:tcW w:w="1453" w:type="dxa"/>
            <w:tcBorders>
              <w:top w:val="nil"/>
              <w:left w:val="nil"/>
              <w:bottom w:val="nil"/>
              <w:right w:val="nil"/>
            </w:tcBorders>
            <w:noWrap/>
            <w:vAlign w:val="bottom"/>
          </w:tcPr>
          <w:p w:rsidR="001656EC" w:rsidRPr="005678B4" w:rsidRDefault="001656EC">
            <w:pPr>
              <w:shd w:val="clear" w:color="000000" w:fill="auto"/>
              <w:spacing w:before="60" w:line="200" w:lineRule="exact"/>
              <w:jc w:val="right"/>
              <w:rPr>
                <w:sz w:val="16"/>
                <w:szCs w:val="16"/>
              </w:rPr>
            </w:pPr>
            <w:r w:rsidRPr="005678B4">
              <w:rPr>
                <w:sz w:val="16"/>
                <w:szCs w:val="16"/>
              </w:rPr>
              <w:t>24 558</w:t>
            </w:r>
          </w:p>
        </w:tc>
      </w:tr>
      <w:tr w:rsidR="00000000" w:rsidRPr="005678B4">
        <w:trPr>
          <w:trHeight w:val="20"/>
        </w:trPr>
        <w:tc>
          <w:tcPr>
            <w:tcW w:w="616" w:type="dxa"/>
            <w:tcBorders>
              <w:top w:val="nil"/>
              <w:left w:val="nil"/>
              <w:bottom w:val="nil"/>
              <w:right w:val="nil"/>
            </w:tcBorders>
            <w:noWrap/>
            <w:vAlign w:val="bottom"/>
          </w:tcPr>
          <w:p w:rsidR="001656EC" w:rsidRPr="005678B4" w:rsidRDefault="001656EC">
            <w:pPr>
              <w:shd w:val="clear" w:color="000000" w:fill="auto"/>
              <w:spacing w:before="60" w:line="200" w:lineRule="exact"/>
              <w:ind w:right="57"/>
              <w:jc w:val="right"/>
              <w:rPr>
                <w:sz w:val="16"/>
                <w:szCs w:val="16"/>
              </w:rPr>
            </w:pPr>
          </w:p>
        </w:tc>
        <w:tc>
          <w:tcPr>
            <w:tcW w:w="542" w:type="dxa"/>
            <w:tcBorders>
              <w:top w:val="nil"/>
              <w:left w:val="nil"/>
              <w:bottom w:val="nil"/>
              <w:right w:val="nil"/>
            </w:tcBorders>
            <w:noWrap/>
            <w:vAlign w:val="bottom"/>
          </w:tcPr>
          <w:p w:rsidR="001656EC" w:rsidRPr="005678B4" w:rsidRDefault="001656EC">
            <w:pPr>
              <w:shd w:val="clear" w:color="000000" w:fill="auto"/>
              <w:spacing w:before="60" w:line="200" w:lineRule="exact"/>
              <w:jc w:val="right"/>
              <w:rPr>
                <w:sz w:val="16"/>
                <w:szCs w:val="16"/>
              </w:rPr>
            </w:pPr>
            <w:r w:rsidRPr="005678B4">
              <w:rPr>
                <w:sz w:val="16"/>
                <w:szCs w:val="16"/>
              </w:rPr>
              <w:t>25:12</w:t>
            </w:r>
          </w:p>
        </w:tc>
        <w:tc>
          <w:tcPr>
            <w:tcW w:w="3518" w:type="dxa"/>
            <w:tcBorders>
              <w:top w:val="nil"/>
              <w:left w:val="nil"/>
              <w:bottom w:val="nil"/>
              <w:right w:val="nil"/>
            </w:tcBorders>
            <w:noWrap/>
            <w:vAlign w:val="bottom"/>
          </w:tcPr>
          <w:p w:rsidR="001656EC" w:rsidRPr="005678B4" w:rsidRDefault="001656EC">
            <w:pPr>
              <w:shd w:val="clear" w:color="000000" w:fill="auto"/>
              <w:spacing w:before="60" w:line="200" w:lineRule="exact"/>
              <w:rPr>
                <w:sz w:val="16"/>
                <w:szCs w:val="16"/>
              </w:rPr>
            </w:pPr>
            <w:r w:rsidRPr="005678B4">
              <w:rPr>
                <w:sz w:val="16"/>
                <w:szCs w:val="16"/>
              </w:rPr>
              <w:t>Nationellt centrum för flexibelt lärande</w:t>
            </w:r>
          </w:p>
        </w:tc>
        <w:tc>
          <w:tcPr>
            <w:tcW w:w="1453" w:type="dxa"/>
            <w:tcBorders>
              <w:top w:val="nil"/>
              <w:left w:val="nil"/>
              <w:bottom w:val="nil"/>
              <w:right w:val="nil"/>
            </w:tcBorders>
            <w:noWrap/>
            <w:vAlign w:val="bottom"/>
          </w:tcPr>
          <w:p w:rsidR="001656EC" w:rsidRPr="005678B4" w:rsidRDefault="001656EC">
            <w:pPr>
              <w:shd w:val="clear" w:color="000000" w:fill="auto"/>
              <w:spacing w:before="60" w:line="200" w:lineRule="exact"/>
              <w:jc w:val="right"/>
              <w:rPr>
                <w:sz w:val="16"/>
                <w:szCs w:val="16"/>
              </w:rPr>
            </w:pPr>
            <w:r w:rsidRPr="005678B4">
              <w:rPr>
                <w:sz w:val="16"/>
                <w:szCs w:val="16"/>
              </w:rPr>
              <w:t>58 820</w:t>
            </w:r>
          </w:p>
        </w:tc>
      </w:tr>
      <w:tr w:rsidR="00000000" w:rsidRPr="005678B4">
        <w:trPr>
          <w:trHeight w:val="20"/>
        </w:trPr>
        <w:tc>
          <w:tcPr>
            <w:tcW w:w="616" w:type="dxa"/>
            <w:tcBorders>
              <w:top w:val="nil"/>
              <w:left w:val="nil"/>
              <w:bottom w:val="nil"/>
              <w:right w:val="nil"/>
            </w:tcBorders>
            <w:noWrap/>
            <w:vAlign w:val="bottom"/>
          </w:tcPr>
          <w:p w:rsidR="001656EC" w:rsidRPr="005678B4" w:rsidRDefault="001656EC">
            <w:pPr>
              <w:shd w:val="clear" w:color="000000" w:fill="auto"/>
              <w:spacing w:before="60" w:line="200" w:lineRule="exact"/>
              <w:ind w:right="57"/>
              <w:jc w:val="right"/>
              <w:rPr>
                <w:sz w:val="16"/>
                <w:szCs w:val="16"/>
              </w:rPr>
            </w:pPr>
          </w:p>
        </w:tc>
        <w:tc>
          <w:tcPr>
            <w:tcW w:w="542" w:type="dxa"/>
            <w:tcBorders>
              <w:top w:val="nil"/>
              <w:left w:val="nil"/>
              <w:bottom w:val="nil"/>
              <w:right w:val="nil"/>
            </w:tcBorders>
            <w:noWrap/>
          </w:tcPr>
          <w:p w:rsidR="001656EC" w:rsidRPr="005678B4" w:rsidRDefault="001656EC">
            <w:pPr>
              <w:shd w:val="clear" w:color="000000" w:fill="auto"/>
              <w:spacing w:before="60" w:line="200" w:lineRule="exact"/>
              <w:jc w:val="right"/>
              <w:rPr>
                <w:sz w:val="16"/>
                <w:szCs w:val="16"/>
              </w:rPr>
            </w:pPr>
            <w:r w:rsidRPr="005678B4">
              <w:rPr>
                <w:sz w:val="16"/>
                <w:szCs w:val="16"/>
              </w:rPr>
              <w:t>25:84</w:t>
            </w:r>
          </w:p>
        </w:tc>
        <w:tc>
          <w:tcPr>
            <w:tcW w:w="3518" w:type="dxa"/>
            <w:tcBorders>
              <w:top w:val="nil"/>
              <w:left w:val="nil"/>
              <w:bottom w:val="nil"/>
              <w:right w:val="nil"/>
            </w:tcBorders>
            <w:noWrap/>
            <w:vAlign w:val="bottom"/>
          </w:tcPr>
          <w:p w:rsidR="001656EC" w:rsidRPr="005678B4" w:rsidRDefault="001656EC">
            <w:pPr>
              <w:shd w:val="clear" w:color="000000" w:fill="auto"/>
              <w:spacing w:before="60" w:line="200" w:lineRule="exact"/>
              <w:rPr>
                <w:sz w:val="16"/>
                <w:szCs w:val="16"/>
              </w:rPr>
            </w:pPr>
            <w:r w:rsidRPr="005678B4">
              <w:rPr>
                <w:sz w:val="16"/>
                <w:szCs w:val="16"/>
              </w:rPr>
              <w:t>Avvecklingsmyndigheten för skolmyndigheter m.m.</w:t>
            </w:r>
          </w:p>
        </w:tc>
        <w:tc>
          <w:tcPr>
            <w:tcW w:w="1453" w:type="dxa"/>
            <w:tcBorders>
              <w:top w:val="nil"/>
              <w:left w:val="nil"/>
              <w:bottom w:val="nil"/>
              <w:right w:val="nil"/>
            </w:tcBorders>
            <w:noWrap/>
            <w:vAlign w:val="bottom"/>
          </w:tcPr>
          <w:p w:rsidR="001656EC" w:rsidRPr="005678B4" w:rsidRDefault="001656EC">
            <w:pPr>
              <w:shd w:val="clear" w:color="000000" w:fill="auto"/>
              <w:spacing w:before="60" w:line="200" w:lineRule="exact"/>
              <w:jc w:val="right"/>
              <w:rPr>
                <w:sz w:val="16"/>
                <w:szCs w:val="16"/>
              </w:rPr>
            </w:pPr>
            <w:r w:rsidRPr="005678B4">
              <w:rPr>
                <w:sz w:val="16"/>
                <w:szCs w:val="16"/>
              </w:rPr>
              <w:t>– 127 214</w:t>
            </w:r>
          </w:p>
        </w:tc>
      </w:tr>
      <w:tr w:rsidR="00000000" w:rsidRPr="005678B4">
        <w:trPr>
          <w:trHeight w:val="20"/>
        </w:trPr>
        <w:tc>
          <w:tcPr>
            <w:tcW w:w="616" w:type="dxa"/>
            <w:tcBorders>
              <w:top w:val="nil"/>
              <w:left w:val="nil"/>
              <w:bottom w:val="nil"/>
              <w:right w:val="nil"/>
            </w:tcBorders>
            <w:noWrap/>
          </w:tcPr>
          <w:p w:rsidR="001656EC" w:rsidRPr="005678B4" w:rsidRDefault="001656EC">
            <w:pPr>
              <w:shd w:val="clear" w:color="000000" w:fill="auto"/>
              <w:spacing w:before="60" w:line="200" w:lineRule="exact"/>
              <w:ind w:right="57"/>
              <w:jc w:val="right"/>
              <w:rPr>
                <w:sz w:val="16"/>
                <w:szCs w:val="16"/>
              </w:rPr>
            </w:pPr>
            <w:r w:rsidRPr="005678B4">
              <w:rPr>
                <w:sz w:val="16"/>
                <w:szCs w:val="16"/>
              </w:rPr>
              <w:t>20</w:t>
            </w:r>
          </w:p>
        </w:tc>
        <w:tc>
          <w:tcPr>
            <w:tcW w:w="542" w:type="dxa"/>
            <w:tcBorders>
              <w:top w:val="nil"/>
              <w:left w:val="nil"/>
              <w:bottom w:val="nil"/>
              <w:right w:val="nil"/>
            </w:tcBorders>
            <w:noWrap/>
          </w:tcPr>
          <w:p w:rsidR="001656EC" w:rsidRPr="005678B4" w:rsidRDefault="001656EC">
            <w:pPr>
              <w:shd w:val="clear" w:color="000000" w:fill="auto"/>
              <w:spacing w:before="60" w:line="200" w:lineRule="exact"/>
              <w:jc w:val="right"/>
              <w:rPr>
                <w:sz w:val="16"/>
                <w:szCs w:val="16"/>
              </w:rPr>
            </w:pPr>
            <w:r w:rsidRPr="005678B4">
              <w:rPr>
                <w:sz w:val="16"/>
                <w:szCs w:val="16"/>
              </w:rPr>
              <w:t>34:4</w:t>
            </w:r>
          </w:p>
        </w:tc>
        <w:tc>
          <w:tcPr>
            <w:tcW w:w="3518" w:type="dxa"/>
            <w:tcBorders>
              <w:top w:val="nil"/>
              <w:left w:val="nil"/>
              <w:bottom w:val="nil"/>
              <w:right w:val="nil"/>
            </w:tcBorders>
            <w:noWrap/>
            <w:vAlign w:val="bottom"/>
          </w:tcPr>
          <w:p w:rsidR="001656EC" w:rsidRPr="005678B4" w:rsidRDefault="001656EC">
            <w:pPr>
              <w:shd w:val="clear" w:color="000000" w:fill="auto"/>
              <w:spacing w:before="60" w:line="200" w:lineRule="exact"/>
              <w:rPr>
                <w:sz w:val="16"/>
                <w:szCs w:val="16"/>
              </w:rPr>
            </w:pPr>
            <w:r w:rsidRPr="005678B4">
              <w:rPr>
                <w:sz w:val="16"/>
                <w:szCs w:val="16"/>
              </w:rPr>
              <w:t>Sanering och återställning av förorenade områden</w:t>
            </w:r>
          </w:p>
        </w:tc>
        <w:tc>
          <w:tcPr>
            <w:tcW w:w="1453" w:type="dxa"/>
            <w:tcBorders>
              <w:top w:val="nil"/>
              <w:left w:val="nil"/>
              <w:bottom w:val="nil"/>
              <w:right w:val="nil"/>
            </w:tcBorders>
            <w:noWrap/>
            <w:vAlign w:val="bottom"/>
          </w:tcPr>
          <w:p w:rsidR="001656EC" w:rsidRPr="005678B4" w:rsidRDefault="001656EC">
            <w:pPr>
              <w:shd w:val="clear" w:color="000000" w:fill="auto"/>
              <w:spacing w:before="60" w:line="200" w:lineRule="exact"/>
              <w:jc w:val="right"/>
              <w:rPr>
                <w:sz w:val="16"/>
                <w:szCs w:val="16"/>
              </w:rPr>
            </w:pPr>
            <w:r w:rsidRPr="005678B4">
              <w:rPr>
                <w:sz w:val="16"/>
                <w:szCs w:val="16"/>
              </w:rPr>
              <w:t>50 000</w:t>
            </w:r>
          </w:p>
        </w:tc>
      </w:tr>
      <w:tr w:rsidR="00000000" w:rsidRPr="005678B4">
        <w:trPr>
          <w:trHeight w:val="20"/>
        </w:trPr>
        <w:tc>
          <w:tcPr>
            <w:tcW w:w="616" w:type="dxa"/>
            <w:tcBorders>
              <w:top w:val="nil"/>
              <w:left w:val="nil"/>
              <w:bottom w:val="nil"/>
              <w:right w:val="nil"/>
            </w:tcBorders>
            <w:noWrap/>
            <w:vAlign w:val="bottom"/>
          </w:tcPr>
          <w:p w:rsidR="001656EC" w:rsidRPr="005678B4" w:rsidRDefault="001656EC">
            <w:pPr>
              <w:shd w:val="clear" w:color="000000" w:fill="auto"/>
              <w:spacing w:before="60" w:line="200" w:lineRule="exact"/>
              <w:ind w:right="57"/>
              <w:jc w:val="right"/>
              <w:rPr>
                <w:sz w:val="16"/>
                <w:szCs w:val="16"/>
              </w:rPr>
            </w:pPr>
            <w:r w:rsidRPr="005678B4">
              <w:rPr>
                <w:sz w:val="16"/>
                <w:szCs w:val="16"/>
              </w:rPr>
              <w:t>22</w:t>
            </w:r>
          </w:p>
        </w:tc>
        <w:tc>
          <w:tcPr>
            <w:tcW w:w="542" w:type="dxa"/>
            <w:tcBorders>
              <w:top w:val="nil"/>
              <w:left w:val="nil"/>
              <w:bottom w:val="nil"/>
              <w:right w:val="nil"/>
            </w:tcBorders>
            <w:noWrap/>
            <w:vAlign w:val="bottom"/>
          </w:tcPr>
          <w:p w:rsidR="001656EC" w:rsidRPr="005678B4" w:rsidRDefault="001656EC">
            <w:pPr>
              <w:shd w:val="clear" w:color="000000" w:fill="auto"/>
              <w:spacing w:before="60" w:line="200" w:lineRule="exact"/>
              <w:jc w:val="right"/>
              <w:rPr>
                <w:sz w:val="16"/>
                <w:szCs w:val="16"/>
              </w:rPr>
            </w:pPr>
            <w:r w:rsidRPr="005678B4">
              <w:rPr>
                <w:sz w:val="16"/>
                <w:szCs w:val="16"/>
              </w:rPr>
              <w:t>36:2</w:t>
            </w:r>
          </w:p>
        </w:tc>
        <w:tc>
          <w:tcPr>
            <w:tcW w:w="3518" w:type="dxa"/>
            <w:tcBorders>
              <w:top w:val="nil"/>
              <w:left w:val="nil"/>
              <w:bottom w:val="nil"/>
              <w:right w:val="nil"/>
            </w:tcBorders>
            <w:noWrap/>
            <w:vAlign w:val="bottom"/>
          </w:tcPr>
          <w:p w:rsidR="001656EC" w:rsidRPr="005678B4" w:rsidRDefault="001656EC">
            <w:pPr>
              <w:shd w:val="clear" w:color="000000" w:fill="auto"/>
              <w:spacing w:before="60" w:line="200" w:lineRule="exact"/>
              <w:rPr>
                <w:sz w:val="16"/>
                <w:szCs w:val="16"/>
              </w:rPr>
            </w:pPr>
            <w:r w:rsidRPr="005678B4">
              <w:rPr>
                <w:sz w:val="16"/>
                <w:szCs w:val="16"/>
              </w:rPr>
              <w:t>Väghållning och statsbidrag</w:t>
            </w:r>
          </w:p>
        </w:tc>
        <w:tc>
          <w:tcPr>
            <w:tcW w:w="1453" w:type="dxa"/>
            <w:tcBorders>
              <w:top w:val="nil"/>
              <w:left w:val="nil"/>
              <w:bottom w:val="nil"/>
              <w:right w:val="nil"/>
            </w:tcBorders>
            <w:noWrap/>
            <w:vAlign w:val="bottom"/>
          </w:tcPr>
          <w:p w:rsidR="001656EC" w:rsidRPr="005678B4" w:rsidRDefault="001656EC">
            <w:pPr>
              <w:shd w:val="clear" w:color="000000" w:fill="auto"/>
              <w:spacing w:before="60" w:line="200" w:lineRule="exact"/>
              <w:jc w:val="right"/>
              <w:rPr>
                <w:sz w:val="16"/>
                <w:szCs w:val="16"/>
              </w:rPr>
            </w:pPr>
            <w:r w:rsidRPr="005678B4">
              <w:rPr>
                <w:sz w:val="16"/>
                <w:szCs w:val="16"/>
              </w:rPr>
              <w:t>– 140 000</w:t>
            </w:r>
          </w:p>
        </w:tc>
      </w:tr>
      <w:tr w:rsidR="00000000" w:rsidRPr="005678B4">
        <w:trPr>
          <w:trHeight w:val="20"/>
        </w:trPr>
        <w:tc>
          <w:tcPr>
            <w:tcW w:w="616" w:type="dxa"/>
            <w:tcBorders>
              <w:top w:val="nil"/>
              <w:left w:val="nil"/>
              <w:right w:val="nil"/>
            </w:tcBorders>
            <w:noWrap/>
            <w:vAlign w:val="bottom"/>
          </w:tcPr>
          <w:p w:rsidR="001656EC" w:rsidRPr="005678B4" w:rsidRDefault="001656EC">
            <w:pPr>
              <w:shd w:val="clear" w:color="000000" w:fill="auto"/>
              <w:spacing w:before="60" w:line="200" w:lineRule="exact"/>
              <w:ind w:right="57"/>
              <w:jc w:val="right"/>
              <w:rPr>
                <w:sz w:val="16"/>
                <w:szCs w:val="16"/>
              </w:rPr>
            </w:pPr>
          </w:p>
        </w:tc>
        <w:tc>
          <w:tcPr>
            <w:tcW w:w="542" w:type="dxa"/>
            <w:tcBorders>
              <w:top w:val="nil"/>
              <w:left w:val="nil"/>
              <w:right w:val="nil"/>
            </w:tcBorders>
            <w:noWrap/>
            <w:vAlign w:val="bottom"/>
          </w:tcPr>
          <w:p w:rsidR="001656EC" w:rsidRPr="005678B4" w:rsidRDefault="001656EC">
            <w:pPr>
              <w:shd w:val="clear" w:color="000000" w:fill="auto"/>
              <w:spacing w:before="60" w:line="200" w:lineRule="exact"/>
              <w:jc w:val="right"/>
              <w:rPr>
                <w:sz w:val="16"/>
                <w:szCs w:val="16"/>
              </w:rPr>
            </w:pPr>
            <w:r w:rsidRPr="005678B4">
              <w:rPr>
                <w:sz w:val="16"/>
                <w:szCs w:val="16"/>
              </w:rPr>
              <w:t>36:4</w:t>
            </w:r>
          </w:p>
        </w:tc>
        <w:tc>
          <w:tcPr>
            <w:tcW w:w="3518" w:type="dxa"/>
            <w:tcBorders>
              <w:top w:val="nil"/>
              <w:left w:val="nil"/>
              <w:right w:val="nil"/>
            </w:tcBorders>
            <w:noWrap/>
            <w:vAlign w:val="bottom"/>
          </w:tcPr>
          <w:p w:rsidR="001656EC" w:rsidRPr="005678B4" w:rsidRDefault="001656EC">
            <w:pPr>
              <w:shd w:val="clear" w:color="000000" w:fill="auto"/>
              <w:spacing w:before="60" w:line="200" w:lineRule="exact"/>
              <w:rPr>
                <w:sz w:val="16"/>
                <w:szCs w:val="16"/>
              </w:rPr>
            </w:pPr>
            <w:r w:rsidRPr="005678B4">
              <w:rPr>
                <w:sz w:val="16"/>
                <w:szCs w:val="16"/>
              </w:rPr>
              <w:t>Banverket: Banhållning och sektorsuppgifter</w:t>
            </w:r>
          </w:p>
        </w:tc>
        <w:tc>
          <w:tcPr>
            <w:tcW w:w="1453" w:type="dxa"/>
            <w:tcBorders>
              <w:top w:val="nil"/>
              <w:left w:val="nil"/>
              <w:right w:val="nil"/>
            </w:tcBorders>
            <w:noWrap/>
            <w:vAlign w:val="bottom"/>
          </w:tcPr>
          <w:p w:rsidR="001656EC" w:rsidRPr="005678B4" w:rsidRDefault="001656EC">
            <w:pPr>
              <w:shd w:val="clear" w:color="000000" w:fill="auto"/>
              <w:spacing w:before="60" w:line="200" w:lineRule="exact"/>
              <w:jc w:val="right"/>
              <w:rPr>
                <w:sz w:val="16"/>
                <w:szCs w:val="16"/>
              </w:rPr>
            </w:pPr>
            <w:r w:rsidRPr="005678B4">
              <w:rPr>
                <w:sz w:val="16"/>
                <w:szCs w:val="16"/>
              </w:rPr>
              <w:t>120 000</w:t>
            </w:r>
          </w:p>
        </w:tc>
      </w:tr>
      <w:tr w:rsidR="00000000" w:rsidRPr="005678B4">
        <w:trPr>
          <w:trHeight w:val="20"/>
        </w:trPr>
        <w:tc>
          <w:tcPr>
            <w:tcW w:w="4676" w:type="dxa"/>
            <w:gridSpan w:val="3"/>
            <w:tcBorders>
              <w:top w:val="nil"/>
              <w:left w:val="nil"/>
              <w:bottom w:val="single" w:sz="4" w:space="0" w:color="auto"/>
              <w:right w:val="nil"/>
            </w:tcBorders>
            <w:noWrap/>
            <w:vAlign w:val="bottom"/>
          </w:tcPr>
          <w:p w:rsidR="001656EC" w:rsidRPr="005678B4" w:rsidRDefault="001656EC">
            <w:pPr>
              <w:shd w:val="clear" w:color="000000" w:fill="auto"/>
              <w:spacing w:before="60" w:line="200" w:lineRule="exact"/>
              <w:rPr>
                <w:b/>
                <w:sz w:val="16"/>
                <w:szCs w:val="16"/>
              </w:rPr>
            </w:pPr>
            <w:r w:rsidRPr="005678B4">
              <w:rPr>
                <w:b/>
                <w:sz w:val="16"/>
                <w:szCs w:val="16"/>
              </w:rPr>
              <w:t>Summa anslagsförändringar i förhållande till regeringens förslag</w:t>
            </w:r>
          </w:p>
        </w:tc>
        <w:tc>
          <w:tcPr>
            <w:tcW w:w="1453" w:type="dxa"/>
            <w:tcBorders>
              <w:top w:val="nil"/>
              <w:left w:val="nil"/>
              <w:bottom w:val="single" w:sz="4" w:space="0" w:color="auto"/>
              <w:right w:val="nil"/>
            </w:tcBorders>
            <w:noWrap/>
            <w:vAlign w:val="bottom"/>
          </w:tcPr>
          <w:p w:rsidR="001656EC" w:rsidRPr="005678B4" w:rsidRDefault="001656EC">
            <w:pPr>
              <w:shd w:val="clear" w:color="000000" w:fill="auto"/>
              <w:spacing w:before="60" w:line="200" w:lineRule="exact"/>
              <w:jc w:val="right"/>
              <w:rPr>
                <w:b/>
                <w:sz w:val="16"/>
                <w:szCs w:val="16"/>
              </w:rPr>
            </w:pPr>
            <w:r w:rsidRPr="005678B4">
              <w:rPr>
                <w:b/>
                <w:sz w:val="16"/>
                <w:szCs w:val="16"/>
              </w:rPr>
              <w:t>35 776</w:t>
            </w:r>
          </w:p>
        </w:tc>
      </w:tr>
    </w:tbl>
    <w:p w:rsidR="001656EC" w:rsidRPr="005678B4" w:rsidRDefault="001656EC">
      <w:pPr>
        <w:pStyle w:val="Hemstlatt"/>
        <w:numPr>
          <w:ilvl w:val="0"/>
          <w:numId w:val="1"/>
        </w:numPr>
        <w:shd w:val="clear" w:color="000000" w:fill="auto"/>
      </w:pPr>
      <w:r w:rsidRPr="005678B4">
        <w:t>Riksdagen tillkännager för regeringen som sin mening vad som anförs i motionen om att offentliga biträden i utlänningsärenden ska utses av domstolarna och inte av Migrationsverket.</w:t>
      </w:r>
    </w:p>
    <w:p w:rsidR="001656EC" w:rsidRPr="005678B4" w:rsidRDefault="001656EC">
      <w:pPr>
        <w:pStyle w:val="Hemstlatt"/>
        <w:numPr>
          <w:ilvl w:val="0"/>
          <w:numId w:val="1"/>
        </w:numPr>
        <w:shd w:val="clear" w:color="000000" w:fill="auto"/>
      </w:pPr>
      <w:r w:rsidRPr="005678B4">
        <w:t>Riksdagen tillkännager för regeringen som sin mening vad som anförs i motionen om att transportbidraget ska ses över och utvärd</w:t>
      </w:r>
      <w:r w:rsidRPr="005678B4">
        <w:t>e</w:t>
      </w:r>
      <w:r w:rsidRPr="005678B4">
        <w:t>ras i förhållande till Sveriges klimatmål.</w:t>
      </w:r>
    </w:p>
    <w:p w:rsidR="001656EC" w:rsidRPr="005678B4" w:rsidRDefault="001656EC">
      <w:pPr>
        <w:pStyle w:val="Hemstlatt"/>
        <w:numPr>
          <w:ilvl w:val="0"/>
          <w:numId w:val="1"/>
        </w:numPr>
        <w:shd w:val="clear" w:color="000000" w:fill="auto"/>
      </w:pPr>
      <w:r w:rsidRPr="005678B4">
        <w:t>Riksdagen tillkännager för regeringen som sin mening vad som anförs i motionen om att överskottet från trängselskatten ska anvä</w:t>
      </w:r>
      <w:r w:rsidRPr="005678B4">
        <w:t>n</w:t>
      </w:r>
      <w:r w:rsidRPr="005678B4">
        <w:t>das för investeringar i järnvägsburen kollektivtrafik i Stockholmsregi</w:t>
      </w:r>
      <w:r w:rsidRPr="005678B4">
        <w:t>o</w:t>
      </w:r>
      <w:r w:rsidRPr="005678B4">
        <w:t>nen.</w:t>
      </w:r>
    </w:p>
    <w:p w:rsidR="001656EC" w:rsidRPr="005678B4" w:rsidRDefault="001656EC">
      <w:pPr>
        <w:shd w:val="clear" w:color="000000" w:fill="auto"/>
      </w:pPr>
    </w:p>
    <w:p w:rsidR="001656EC" w:rsidRPr="005678B4" w:rsidRDefault="001656EC">
      <w:pPr>
        <w:pStyle w:val="Rubrik2"/>
        <w:pageBreakBefore/>
        <w:shd w:val="clear" w:color="000000" w:fill="auto"/>
        <w:spacing w:before="0"/>
      </w:pPr>
      <w:r w:rsidRPr="005678B4">
        <w:lastRenderedPageBreak/>
        <w:t>Utgiftsområde 8 Migration</w:t>
      </w:r>
    </w:p>
    <w:p w:rsidR="001656EC" w:rsidRPr="005678B4" w:rsidRDefault="001656EC">
      <w:pPr>
        <w:shd w:val="clear" w:color="000000" w:fill="auto"/>
      </w:pPr>
      <w:r w:rsidRPr="005678B4">
        <w:t xml:space="preserve">Regeringen föreslår att pengar förs över från kostnader vid domstolsprövning till anslag 12:6 Offentligt biträde i utlänningsärenden. Anledningen är fler asylsökanden och därmed fler ärenden.  </w:t>
      </w:r>
    </w:p>
    <w:p w:rsidR="001656EC" w:rsidRPr="005678B4" w:rsidRDefault="001656EC">
      <w:pPr>
        <w:pStyle w:val="Normaltindrag"/>
        <w:shd w:val="clear" w:color="000000" w:fill="auto"/>
      </w:pPr>
      <w:r w:rsidRPr="005678B4">
        <w:t>I dag utses offentliga biträden enligt utlänningslagen av Migrationsverket. Miljöpartiet menar att detta är fel och att det avviker från hur offentliga bitr</w:t>
      </w:r>
      <w:r w:rsidRPr="005678B4">
        <w:t>ä</w:t>
      </w:r>
      <w:r w:rsidRPr="005678B4">
        <w:t>den utses enligt exempelvis lagar om psykiatrisk tvångsvård, rättspsykiatrisk tvångsvård, vård av unga eller vård av missbrukare. Det avviker dessutom från hur förfarandet med offentliga försvarare i brottmålsprocessen hanteras. I samtliga dessa fall utses det offentliga biträdet/ombudet av domstolen och inte av den handläggande myndigheten. Skälet till detta är att myndigheten kan ha ett intresse av att en viss person utses som biträde eller ombud och att det finns en risk för att myndigheten inte hantera</w:t>
      </w:r>
      <w:r w:rsidRPr="005678B4">
        <w:t>r ärendet helt objektivt.</w:t>
      </w:r>
    </w:p>
    <w:p w:rsidR="001656EC" w:rsidRPr="005678B4" w:rsidRDefault="001656EC">
      <w:pPr>
        <w:pStyle w:val="Normaltindrag"/>
        <w:shd w:val="clear" w:color="000000" w:fill="auto"/>
      </w:pPr>
      <w:r w:rsidRPr="005678B4">
        <w:t>Vi anser fortsättningsvis att offentliga biträden i utlänningsärenden ska u</w:t>
      </w:r>
      <w:r w:rsidRPr="005678B4">
        <w:t>t</w:t>
      </w:r>
      <w:r w:rsidRPr="005678B4">
        <w:t>ses av domstolarna och inte av Migrationsverket. Då detta är en tilläggsbu</w:t>
      </w:r>
      <w:r w:rsidRPr="005678B4">
        <w:t>d</w:t>
      </w:r>
      <w:r w:rsidRPr="005678B4">
        <w:t xml:space="preserve">get till regeringens proposition från i höstas accepteras dock överflytten 2008. </w:t>
      </w:r>
    </w:p>
    <w:p w:rsidR="001656EC" w:rsidRPr="005678B4" w:rsidRDefault="001656EC">
      <w:pPr>
        <w:pStyle w:val="Rubrik2"/>
        <w:shd w:val="clear" w:color="000000" w:fill="auto"/>
      </w:pPr>
      <w:r w:rsidRPr="005678B4">
        <w:t>Utgiftsområde 9 Hälsovård, sjukvård och social omsorg</w:t>
      </w:r>
    </w:p>
    <w:p w:rsidR="001656EC" w:rsidRPr="005678B4" w:rsidRDefault="001656EC">
      <w:pPr>
        <w:shd w:val="clear" w:color="000000" w:fill="auto"/>
      </w:pPr>
      <w:r w:rsidRPr="005678B4">
        <w:t>Vi anser att kraftfulla satsningar på folkhälsoområdet behöver göras. Ett akut område där åtgärder snarast måste till är satsning på prevention av sexuellt överförbara sjukdomar med anledning av ökad smittspridning. Smittskyddsi</w:t>
      </w:r>
      <w:r w:rsidRPr="005678B4">
        <w:t>n</w:t>
      </w:r>
      <w:r w:rsidRPr="005678B4">
        <w:t>stitutet har visat på en dramatisk ökning av hiv och även en kraftig ökning av klamydia. Under 2007 anmäldes 541 personer med hiv vilket är det högsta antalet rapporterade fall ett enskilt år sedan 1986. Jämfört med 2006 var ö</w:t>
      </w:r>
      <w:r w:rsidRPr="005678B4">
        <w:t>k</w:t>
      </w:r>
      <w:r w:rsidRPr="005678B4">
        <w:t>ningen 70 %. Även personer som utvecklat aids ökar. Under 2007 anmäldes 65 fall av aids jämfört med i genomsnitt 48 fall under den senaste femårs</w:t>
      </w:r>
      <w:r w:rsidRPr="005678B4">
        <w:softHyphen/>
        <w:t>perioden.</w:t>
      </w:r>
    </w:p>
    <w:p w:rsidR="001656EC" w:rsidRPr="005678B4" w:rsidRDefault="001656EC">
      <w:pPr>
        <w:pStyle w:val="Normaltindrag"/>
        <w:shd w:val="clear" w:color="000000" w:fill="auto"/>
      </w:pPr>
      <w:r w:rsidRPr="005678B4">
        <w:t>Klamydia ökade med 45 % 2007. Att det skett en så kraftig ökning det s</w:t>
      </w:r>
      <w:r w:rsidRPr="005678B4">
        <w:t>e</w:t>
      </w:r>
      <w:r w:rsidRPr="005678B4">
        <w:t>naste året beror enligt Smittskyddsinstitutet på förbättrade testmetoder så att fler nu upptäcks. För ett tjugotal år sedan upplevdes aids som ett hot, därför var det viktigt att använda kondom. Det resulterade i att klamydia och andra sexuellt överförbara sjukdomar också minskade markant. I dag har medvete</w:t>
      </w:r>
      <w:r w:rsidRPr="005678B4">
        <w:t>n</w:t>
      </w:r>
      <w:r w:rsidRPr="005678B4">
        <w:t>heten blivit mindre. För att vända den trenden behövs resurser för preventivt arbete.</w:t>
      </w:r>
    </w:p>
    <w:p w:rsidR="001656EC" w:rsidRPr="005678B4" w:rsidRDefault="001656EC">
      <w:pPr>
        <w:pStyle w:val="Normaltindrag"/>
        <w:shd w:val="clear" w:color="000000" w:fill="auto"/>
      </w:pPr>
      <w:r w:rsidRPr="005678B4">
        <w:t xml:space="preserve">Miljöpartiet menar att regeringen redan i tilläggsbudgeten borde ha skjutit till medel för satsningar på prevention </w:t>
      </w:r>
      <w:r w:rsidRPr="005678B4">
        <w:t xml:space="preserve">av sexuellt överförbara sjukdomar. </w:t>
      </w:r>
    </w:p>
    <w:p w:rsidR="001656EC" w:rsidRPr="005678B4" w:rsidRDefault="001656EC">
      <w:pPr>
        <w:pStyle w:val="Rubrik3"/>
        <w:shd w:val="clear" w:color="000000" w:fill="auto"/>
      </w:pPr>
      <w:r w:rsidRPr="005678B4">
        <w:t>Psykiatrin</w:t>
      </w:r>
    </w:p>
    <w:p w:rsidR="001656EC" w:rsidRPr="005678B4" w:rsidRDefault="001656EC">
      <w:pPr>
        <w:shd w:val="clear" w:color="000000" w:fill="auto"/>
      </w:pPr>
      <w:r w:rsidRPr="005678B4">
        <w:t>Regeringen föreslår att anslag 13:9 Bidrag till psykiatri minskas med 1 530 000 kr för att finansiera utgifter under anslagen 25:2 och 25:3. Milj</w:t>
      </w:r>
      <w:r w:rsidRPr="005678B4">
        <w:t>ö</w:t>
      </w:r>
      <w:r w:rsidRPr="005678B4">
        <w:t xml:space="preserve">partiet avvisar denna finansiering. Vi menar att pengarna behövs för insatser inom psykiatrin. Det är ologiskt att regeringen gör en minskning när man samtidigt aviserar ökade satsningar på psykiatrin i vårpropositionen. </w:t>
      </w:r>
    </w:p>
    <w:p w:rsidR="001656EC" w:rsidRPr="005678B4" w:rsidRDefault="001656EC">
      <w:pPr>
        <w:pStyle w:val="Rubrik2"/>
        <w:shd w:val="clear" w:color="000000" w:fill="auto"/>
      </w:pPr>
      <w:r w:rsidRPr="005678B4">
        <w:t>Utgiftsområde 13 Arbetsmarknad</w:t>
      </w:r>
    </w:p>
    <w:p w:rsidR="001656EC" w:rsidRPr="005678B4" w:rsidRDefault="001656EC">
      <w:pPr>
        <w:shd w:val="clear" w:color="000000" w:fill="auto"/>
      </w:pPr>
      <w:r w:rsidRPr="005678B4">
        <w:t>Regeringen föreslår att anslag 10:3 Kommunersättningar vid flyktingmott</w:t>
      </w:r>
      <w:r w:rsidRPr="005678B4">
        <w:t>a</w:t>
      </w:r>
      <w:r w:rsidRPr="005678B4">
        <w:t xml:space="preserve">gande minskas med 4 miljoner kronor för att finansiera nationella prov i svenskundervisning för invandrare. </w:t>
      </w:r>
    </w:p>
    <w:p w:rsidR="001656EC" w:rsidRPr="005678B4" w:rsidRDefault="001656EC">
      <w:pPr>
        <w:pStyle w:val="Normaltindrag"/>
        <w:shd w:val="clear" w:color="000000" w:fill="auto"/>
      </w:pPr>
      <w:r w:rsidRPr="005678B4">
        <w:t>Miljöpartiet föreslog i budgetpropositionen förra hösten att anslagen för kommunersättningar för 2008 skulle ökas med 400 miljoner kronor och säger därför nej till att de nationella proven finansieras genom en neddragning av anslag 10:3. Många kommuner har fortfarande stora problem med flyktin</w:t>
      </w:r>
      <w:r w:rsidRPr="005678B4">
        <w:t>g</w:t>
      </w:r>
      <w:r w:rsidRPr="005678B4">
        <w:t xml:space="preserve">mottagandet och mer resurser behövs för att på ett bra sätt slussa människor in i det svenska samhället. </w:t>
      </w:r>
    </w:p>
    <w:p w:rsidR="001656EC" w:rsidRPr="005678B4" w:rsidRDefault="001656EC">
      <w:pPr>
        <w:pStyle w:val="Rubrik2"/>
        <w:shd w:val="clear" w:color="000000" w:fill="auto"/>
      </w:pPr>
      <w:r w:rsidRPr="005678B4">
        <w:t>Utgiftsområde 16 Utbildning och universitetsforskning</w:t>
      </w:r>
    </w:p>
    <w:p w:rsidR="001656EC" w:rsidRPr="005678B4" w:rsidRDefault="001656EC">
      <w:pPr>
        <w:shd w:val="clear" w:color="000000" w:fill="auto"/>
      </w:pPr>
      <w:r w:rsidRPr="005678B4">
        <w:t>Regeringen håller på att genomföra ett antal förändringar i myndighetsstru</w:t>
      </w:r>
      <w:r w:rsidRPr="005678B4">
        <w:t>k</w:t>
      </w:r>
      <w:r w:rsidRPr="005678B4">
        <w:t>turen inom skolpolitiken. I tilläggsbudgeten minskar som en följd av detta anslagen till Myndigheten för skolutveckling, Statens skolverk och Nationellt centrum för flexibelt lärande. Minskningarna av deras anslag används bl.a. för att finansiera Avvecklingsmyndigheten för skolmyndigheter m.m. samt för att finansiera två nya myndigheter, Statens skolinspektion och Specialpedagogi</w:t>
      </w:r>
      <w:r w:rsidRPr="005678B4">
        <w:t>s</w:t>
      </w:r>
      <w:r w:rsidRPr="005678B4">
        <w:t xml:space="preserve">ka skolmyndigheten. </w:t>
      </w:r>
    </w:p>
    <w:p w:rsidR="001656EC" w:rsidRPr="005678B4" w:rsidRDefault="001656EC">
      <w:pPr>
        <w:pStyle w:val="Normaltindrag"/>
        <w:shd w:val="clear" w:color="000000" w:fill="auto"/>
      </w:pPr>
      <w:r w:rsidRPr="005678B4">
        <w:t>Miljöpartiet motsätter sig delar av de minskade anslagen till Myndigheten för skolutveckling, Statens skolv</w:t>
      </w:r>
      <w:r w:rsidRPr="005678B4">
        <w:t xml:space="preserve">erk och Nationellt centrum för flexibelt lärande. Myndigheten för skolutveckling har gjort ett viktigt arbete med att sprida kunskap om olika pedagogiska metoder mellan olika kommuner. Vi anser att detta arbete bör fortsätta. </w:t>
      </w:r>
    </w:p>
    <w:p w:rsidR="001656EC" w:rsidRPr="005678B4" w:rsidRDefault="001656EC">
      <w:pPr>
        <w:pStyle w:val="Normaltindrag"/>
        <w:shd w:val="clear" w:color="000000" w:fill="auto"/>
      </w:pPr>
      <w:r w:rsidRPr="005678B4">
        <w:t>Miljöpartiet föreslår riksdagen att avslå inrättandet av det nya anslaget 25:84 Avvecklingsmyndigheten för skolmyndigheter m.m. på 127 214 000 kr och återföra dessa medel till Myndigheten för skolutveckling, Statens sko</w:t>
      </w:r>
      <w:r w:rsidRPr="005678B4">
        <w:t>l</w:t>
      </w:r>
      <w:r w:rsidRPr="005678B4">
        <w:t>verk och Nationellt centrum för flexibelt lärande.</w:t>
      </w:r>
    </w:p>
    <w:p w:rsidR="001656EC" w:rsidRPr="005678B4" w:rsidRDefault="001656EC">
      <w:pPr>
        <w:pStyle w:val="Rubrik2"/>
        <w:shd w:val="clear" w:color="000000" w:fill="auto"/>
      </w:pPr>
      <w:r w:rsidRPr="005678B4">
        <w:t>Utgiftsområde 19 Regional utveckling</w:t>
      </w:r>
    </w:p>
    <w:p w:rsidR="001656EC" w:rsidRPr="005678B4" w:rsidRDefault="001656EC">
      <w:pPr>
        <w:shd w:val="clear" w:color="000000" w:fill="auto"/>
      </w:pPr>
      <w:r w:rsidRPr="005678B4">
        <w:t>Regeringen tillför 50 miljoner till anslag 33:3 Transportbidrag. Miljöpartiet anser att transportbidraget bör utvärderas och ses över i relation till klimat</w:t>
      </w:r>
      <w:r w:rsidRPr="005678B4">
        <w:softHyphen/>
        <w:t>målen och att miljö</w:t>
      </w:r>
      <w:r w:rsidRPr="005678B4">
        <w:softHyphen/>
        <w:t xml:space="preserve">styrningen i transportbidraget bör öka. </w:t>
      </w:r>
    </w:p>
    <w:p w:rsidR="001656EC" w:rsidRPr="005678B4" w:rsidRDefault="001656EC">
      <w:pPr>
        <w:pStyle w:val="Normaltindrag"/>
        <w:shd w:val="clear" w:color="000000" w:fill="auto"/>
      </w:pPr>
      <w:r w:rsidRPr="005678B4">
        <w:t xml:space="preserve">Regeringens föreslagna ändring i tilläggsbudgeten beror dock på ett ändrat regelverk. Så länge regelverket ser ut som det gör motsäger vi oss inte att öka ramen för anslaget. </w:t>
      </w:r>
    </w:p>
    <w:p w:rsidR="001656EC" w:rsidRPr="005678B4" w:rsidRDefault="001656EC">
      <w:pPr>
        <w:pStyle w:val="Rubrik2"/>
        <w:shd w:val="clear" w:color="000000" w:fill="auto"/>
      </w:pPr>
      <w:r w:rsidRPr="005678B4">
        <w:t>Utgiftsområde 20 Allmän miljö- och naturvård</w:t>
      </w:r>
    </w:p>
    <w:p w:rsidR="001656EC" w:rsidRPr="005678B4" w:rsidRDefault="001656EC">
      <w:pPr>
        <w:shd w:val="clear" w:color="000000" w:fill="auto"/>
      </w:pPr>
      <w:r w:rsidRPr="005678B4">
        <w:t>Regeringen föreslår att anslag 34:3 Åtgärder för biologisk mångfald ökar med 50 miljoner, vilket är bra. Regeringen har tidigare minskat anslaget med m</w:t>
      </w:r>
      <w:r w:rsidRPr="005678B4">
        <w:t>o</w:t>
      </w:r>
      <w:r w:rsidRPr="005678B4">
        <w:t>tiveringen att det skulle gå att skydda skog på billigare sätt. Höjningen nu tyder på att regeringen inte lyckats med sina föresatser. Däremot leder rege</w:t>
      </w:r>
      <w:r w:rsidRPr="005678B4">
        <w:t>r</w:t>
      </w:r>
      <w:r w:rsidRPr="005678B4">
        <w:t xml:space="preserve">ingens politik till att arbetet med biologisk mångfald blir sämre. Myndigheter och andra aktörers planering blir lidande och miljömålen svårare att nå. </w:t>
      </w:r>
    </w:p>
    <w:p w:rsidR="001656EC" w:rsidRPr="005678B4" w:rsidRDefault="001656EC">
      <w:pPr>
        <w:pStyle w:val="Normaltindrag"/>
        <w:shd w:val="clear" w:color="000000" w:fill="auto"/>
      </w:pPr>
      <w:r w:rsidRPr="005678B4">
        <w:t>Höjningen av 34:3 finansieras genom att anslag 34:4 Sanering av föror</w:t>
      </w:r>
      <w:r w:rsidRPr="005678B4">
        <w:t>e</w:t>
      </w:r>
      <w:r w:rsidRPr="005678B4">
        <w:t>nade områden minskas med 50 miljoner, vilket vi motsätter oss. Behoven av pengar till förorenad mark ökar, vilket också regeringen själv påpekat. Anslag 34:3 har dragits ned med en tredjedel sedan regeringen övertog makten. Sa</w:t>
      </w:r>
      <w:r w:rsidRPr="005678B4">
        <w:t>m</w:t>
      </w:r>
      <w:r w:rsidRPr="005678B4">
        <w:t>tidigt medges i höstbudgeten för 2008 att behoven är större än man trott och att det kan bidra till att man inte når målen. Regeringen räknar också med att längre fram under mandatperioden höja till ungefär samma nivå som innan. Denna ryckighet orsakar stora problem för branschen och</w:t>
      </w:r>
      <w:r w:rsidRPr="005678B4">
        <w:t xml:space="preserve"> kommuner som är beroende av pengarna och att arbetet blir utfört. Vi menar att regeringens politik på det här området gör att miljömålen blir svårare att nå. </w:t>
      </w:r>
    </w:p>
    <w:p w:rsidR="001656EC" w:rsidRPr="005678B4" w:rsidRDefault="001656EC">
      <w:pPr>
        <w:pStyle w:val="Rubrik2"/>
        <w:shd w:val="clear" w:color="000000" w:fill="auto"/>
      </w:pPr>
      <w:r w:rsidRPr="005678B4">
        <w:t>Utgiftsområde 22 Kommunikationer</w:t>
      </w:r>
    </w:p>
    <w:p w:rsidR="001656EC" w:rsidRPr="005678B4" w:rsidRDefault="001656EC">
      <w:pPr>
        <w:shd w:val="clear" w:color="000000" w:fill="auto"/>
      </w:pPr>
      <w:r w:rsidRPr="005678B4">
        <w:t>Miljöpartiet menar att det behövs betydligt mer av klimatsmarta investeringar. Regeringen gör tvärtom och bidrar i stället till ökade utsläpp. Trots utfästelser på klimatområdet fortsätter regeringen att lägga skattepengar på att i stället öka klimatpåverkan. Regeringen visar tydligt exempel på detta när de i tilläggsbudgeten skär ned 120 miljoner kronor på Banverkets anslag 36:4 och ökar Vägverkets anslag 36:2 som går till investering, drift och underhåll av vägar. Miljöpartiet motsätter sig denna omdispo</w:t>
      </w:r>
      <w:r w:rsidRPr="005678B4">
        <w:t>nering och ökning av Vä</w:t>
      </w:r>
      <w:r w:rsidRPr="005678B4">
        <w:t>g</w:t>
      </w:r>
      <w:r w:rsidRPr="005678B4">
        <w:t xml:space="preserve">verkets anslag. </w:t>
      </w:r>
    </w:p>
    <w:p w:rsidR="001656EC" w:rsidRPr="005678B4" w:rsidRDefault="001656EC">
      <w:pPr>
        <w:pStyle w:val="Normaltindrag"/>
        <w:shd w:val="clear" w:color="000000" w:fill="auto"/>
      </w:pPr>
      <w:r w:rsidRPr="005678B4">
        <w:t>Regeringen satsar också 20 miljoner kronor extra på vägar i Stockholm</w:t>
      </w:r>
      <w:r w:rsidRPr="005678B4">
        <w:t>s</w:t>
      </w:r>
      <w:r w:rsidRPr="005678B4">
        <w:t>regionen. Medlen finansieras genom det ökade uttag av trängselskatt som de nya reglerna som gäller fr.o.m. den 1 juli leder till (bl.a. höjs tilläggsavgiften till 500 kr). Syftet är sannolikt att påskynda arbetet med att bygga Förbifart Stockholm. Vi motsätter oss denna satsning. Medlen från trängselskatten bör enligt vår mening gå till investeringar i järnvägsburen</w:t>
      </w:r>
      <w:r w:rsidRPr="005678B4">
        <w:rPr>
          <w:u w:val="single"/>
        </w:rPr>
        <w:t xml:space="preserve"> </w:t>
      </w:r>
      <w:r w:rsidRPr="005678B4">
        <w:t>kollektivtrafik i Stoc</w:t>
      </w:r>
      <w:r w:rsidRPr="005678B4">
        <w:t>k</w:t>
      </w:r>
      <w:r w:rsidRPr="005678B4">
        <w:t>holmsregionen. På det sättet minskar utsläppen av växthusgaser. Detta bör riksdagen som sin mening ge regeringen till k</w:t>
      </w:r>
      <w:r w:rsidRPr="005678B4">
        <w:t>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78B4">
        <w:trPr>
          <w:cantSplit/>
        </w:trPr>
        <w:tc>
          <w:tcPr>
            <w:tcW w:w="3046" w:type="dxa"/>
          </w:tcPr>
          <w:p w:rsidR="001656EC" w:rsidRPr="005678B4" w:rsidRDefault="001656EC">
            <w:pPr>
              <w:pStyle w:val="UnderskriftDatum"/>
              <w:shd w:val="clear" w:color="000000" w:fill="auto"/>
              <w:spacing w:before="240"/>
            </w:pPr>
            <w:r w:rsidRPr="005678B4">
              <w:t>Stockholm den 6 maj 2008</w:t>
            </w:r>
          </w:p>
        </w:tc>
        <w:tc>
          <w:tcPr>
            <w:tcW w:w="3047" w:type="dxa"/>
          </w:tcPr>
          <w:p w:rsidR="001656EC" w:rsidRPr="005678B4" w:rsidRDefault="001656EC">
            <w:pPr>
              <w:pStyle w:val="Underskrifter"/>
              <w:shd w:val="clear" w:color="000000" w:fill="auto"/>
              <w:spacing w:before="240"/>
            </w:pPr>
          </w:p>
        </w:tc>
      </w:tr>
      <w:tr w:rsidR="00000000" w:rsidRPr="005678B4">
        <w:trPr>
          <w:cantSplit/>
        </w:trPr>
        <w:tc>
          <w:tcPr>
            <w:tcW w:w="3046" w:type="dxa"/>
          </w:tcPr>
          <w:p w:rsidR="001656EC" w:rsidRPr="005678B4" w:rsidRDefault="001656EC">
            <w:pPr>
              <w:pStyle w:val="Underskrifter"/>
              <w:shd w:val="clear" w:color="000000" w:fill="auto"/>
            </w:pPr>
            <w:r w:rsidRPr="005678B4">
              <w:t>Maria Wetterstrand (mp)</w:t>
            </w:r>
          </w:p>
        </w:tc>
        <w:tc>
          <w:tcPr>
            <w:tcW w:w="3046" w:type="dxa"/>
          </w:tcPr>
          <w:p w:rsidR="001656EC" w:rsidRPr="005678B4" w:rsidRDefault="001656EC">
            <w:pPr>
              <w:pStyle w:val="Underskrifter"/>
              <w:shd w:val="clear" w:color="000000" w:fill="auto"/>
            </w:pPr>
          </w:p>
        </w:tc>
      </w:tr>
      <w:tr w:rsidR="00000000" w:rsidRPr="005678B4">
        <w:trPr>
          <w:cantSplit/>
        </w:trPr>
        <w:tc>
          <w:tcPr>
            <w:tcW w:w="3046" w:type="dxa"/>
          </w:tcPr>
          <w:p w:rsidR="001656EC" w:rsidRPr="005678B4" w:rsidRDefault="001656EC">
            <w:pPr>
              <w:pStyle w:val="Underskrifter"/>
              <w:shd w:val="clear" w:color="000000" w:fill="auto"/>
            </w:pPr>
            <w:r w:rsidRPr="005678B4">
              <w:t>Peter Eriksson (mp)</w:t>
            </w:r>
          </w:p>
        </w:tc>
        <w:tc>
          <w:tcPr>
            <w:tcW w:w="3046" w:type="dxa"/>
          </w:tcPr>
          <w:p w:rsidR="001656EC" w:rsidRPr="005678B4" w:rsidRDefault="001656EC">
            <w:pPr>
              <w:pStyle w:val="Underskrifter"/>
              <w:shd w:val="clear" w:color="000000" w:fill="auto"/>
            </w:pPr>
            <w:r w:rsidRPr="005678B4">
              <w:t>Mikaela Valtersson (mp)</w:t>
            </w:r>
          </w:p>
        </w:tc>
      </w:tr>
      <w:tr w:rsidR="00000000" w:rsidRPr="005678B4">
        <w:trPr>
          <w:cantSplit/>
        </w:trPr>
        <w:tc>
          <w:tcPr>
            <w:tcW w:w="3046" w:type="dxa"/>
          </w:tcPr>
          <w:p w:rsidR="001656EC" w:rsidRPr="005678B4" w:rsidRDefault="001656EC">
            <w:pPr>
              <w:pStyle w:val="Underskrifter"/>
              <w:shd w:val="clear" w:color="000000" w:fill="auto"/>
            </w:pPr>
            <w:r w:rsidRPr="005678B4">
              <w:t>Max Andersson (mp)</w:t>
            </w:r>
          </w:p>
        </w:tc>
        <w:tc>
          <w:tcPr>
            <w:tcW w:w="3046" w:type="dxa"/>
          </w:tcPr>
          <w:p w:rsidR="001656EC" w:rsidRPr="005678B4" w:rsidRDefault="001656EC">
            <w:pPr>
              <w:pStyle w:val="Underskrifter"/>
              <w:shd w:val="clear" w:color="000000" w:fill="auto"/>
            </w:pPr>
            <w:r w:rsidRPr="005678B4">
              <w:t>Per Bolund (mp)</w:t>
            </w:r>
          </w:p>
        </w:tc>
      </w:tr>
      <w:tr w:rsidR="00000000" w:rsidRPr="005678B4">
        <w:trPr>
          <w:cantSplit/>
        </w:trPr>
        <w:tc>
          <w:tcPr>
            <w:tcW w:w="3046" w:type="dxa"/>
          </w:tcPr>
          <w:p w:rsidR="001656EC" w:rsidRPr="005678B4" w:rsidRDefault="001656EC">
            <w:pPr>
              <w:pStyle w:val="Underskrifter"/>
              <w:shd w:val="clear" w:color="000000" w:fill="auto"/>
            </w:pPr>
            <w:r w:rsidRPr="005678B4">
              <w:t>Bodil Ceballos (mp)</w:t>
            </w:r>
          </w:p>
        </w:tc>
        <w:tc>
          <w:tcPr>
            <w:tcW w:w="3046" w:type="dxa"/>
          </w:tcPr>
          <w:p w:rsidR="001656EC" w:rsidRPr="005678B4" w:rsidRDefault="001656EC">
            <w:pPr>
              <w:pStyle w:val="Underskrifter"/>
              <w:shd w:val="clear" w:color="000000" w:fill="auto"/>
            </w:pPr>
            <w:r w:rsidRPr="005678B4">
              <w:t>Esabelle Dingizian (mp)</w:t>
            </w:r>
          </w:p>
        </w:tc>
      </w:tr>
      <w:tr w:rsidR="00000000" w:rsidRPr="005678B4">
        <w:trPr>
          <w:cantSplit/>
        </w:trPr>
        <w:tc>
          <w:tcPr>
            <w:tcW w:w="3046" w:type="dxa"/>
          </w:tcPr>
          <w:p w:rsidR="001656EC" w:rsidRPr="005678B4" w:rsidRDefault="001656EC">
            <w:pPr>
              <w:pStyle w:val="Underskrifter"/>
              <w:shd w:val="clear" w:color="000000" w:fill="auto"/>
            </w:pPr>
            <w:r w:rsidRPr="005678B4">
              <w:t>Tina Ehn (mp)</w:t>
            </w:r>
          </w:p>
        </w:tc>
        <w:tc>
          <w:tcPr>
            <w:tcW w:w="3046" w:type="dxa"/>
          </w:tcPr>
          <w:p w:rsidR="001656EC" w:rsidRPr="005678B4" w:rsidRDefault="001656EC">
            <w:pPr>
              <w:pStyle w:val="Underskrifter"/>
              <w:shd w:val="clear" w:color="000000" w:fill="auto"/>
            </w:pPr>
            <w:r w:rsidRPr="005678B4">
              <w:t>Gunvor G Ericson (mp)</w:t>
            </w:r>
          </w:p>
        </w:tc>
      </w:tr>
      <w:tr w:rsidR="00000000" w:rsidRPr="005678B4">
        <w:trPr>
          <w:cantSplit/>
        </w:trPr>
        <w:tc>
          <w:tcPr>
            <w:tcW w:w="3046" w:type="dxa"/>
          </w:tcPr>
          <w:p w:rsidR="001656EC" w:rsidRPr="005678B4" w:rsidRDefault="001656EC">
            <w:pPr>
              <w:pStyle w:val="Underskrifter"/>
              <w:shd w:val="clear" w:color="000000" w:fill="auto"/>
            </w:pPr>
            <w:r w:rsidRPr="005678B4">
              <w:t>Ulf Holm (mp)</w:t>
            </w:r>
          </w:p>
        </w:tc>
        <w:tc>
          <w:tcPr>
            <w:tcW w:w="3046" w:type="dxa"/>
          </w:tcPr>
          <w:p w:rsidR="001656EC" w:rsidRPr="005678B4" w:rsidRDefault="001656EC">
            <w:pPr>
              <w:pStyle w:val="Underskrifter"/>
              <w:shd w:val="clear" w:color="000000" w:fill="auto"/>
            </w:pPr>
            <w:r w:rsidRPr="005678B4">
              <w:t>Mikael Johansson (mp)</w:t>
            </w:r>
          </w:p>
        </w:tc>
      </w:tr>
      <w:tr w:rsidR="00000000" w:rsidRPr="005678B4">
        <w:trPr>
          <w:cantSplit/>
        </w:trPr>
        <w:tc>
          <w:tcPr>
            <w:tcW w:w="3046" w:type="dxa"/>
          </w:tcPr>
          <w:p w:rsidR="001656EC" w:rsidRPr="005678B4" w:rsidRDefault="001656EC">
            <w:pPr>
              <w:pStyle w:val="Underskrifter"/>
              <w:shd w:val="clear" w:color="000000" w:fill="auto"/>
            </w:pPr>
            <w:r w:rsidRPr="005678B4">
              <w:t>Mehmet Kaplan (mp)</w:t>
            </w:r>
          </w:p>
        </w:tc>
        <w:tc>
          <w:tcPr>
            <w:tcW w:w="3046" w:type="dxa"/>
          </w:tcPr>
          <w:p w:rsidR="001656EC" w:rsidRPr="005678B4" w:rsidRDefault="001656EC">
            <w:pPr>
              <w:pStyle w:val="Underskrifter"/>
              <w:shd w:val="clear" w:color="000000" w:fill="auto"/>
            </w:pPr>
            <w:r w:rsidRPr="005678B4">
              <w:t>Helena Leander (mp)</w:t>
            </w:r>
          </w:p>
        </w:tc>
      </w:tr>
      <w:tr w:rsidR="00000000" w:rsidRPr="005678B4">
        <w:trPr>
          <w:cantSplit/>
        </w:trPr>
        <w:tc>
          <w:tcPr>
            <w:tcW w:w="3046" w:type="dxa"/>
          </w:tcPr>
          <w:p w:rsidR="001656EC" w:rsidRPr="005678B4" w:rsidRDefault="001656EC">
            <w:pPr>
              <w:pStyle w:val="Underskrifter"/>
              <w:shd w:val="clear" w:color="000000" w:fill="auto"/>
            </w:pPr>
            <w:r w:rsidRPr="005678B4">
              <w:t>Jan Lindholm (mp)</w:t>
            </w:r>
          </w:p>
        </w:tc>
        <w:tc>
          <w:tcPr>
            <w:tcW w:w="3046" w:type="dxa"/>
          </w:tcPr>
          <w:p w:rsidR="001656EC" w:rsidRPr="005678B4" w:rsidRDefault="001656EC">
            <w:pPr>
              <w:pStyle w:val="Underskrifter"/>
              <w:shd w:val="clear" w:color="000000" w:fill="auto"/>
            </w:pPr>
            <w:r w:rsidRPr="005678B4">
              <w:t>Thomas Nihlén (mp)</w:t>
            </w:r>
          </w:p>
        </w:tc>
      </w:tr>
      <w:tr w:rsidR="00000000" w:rsidRPr="005678B4">
        <w:trPr>
          <w:cantSplit/>
        </w:trPr>
        <w:tc>
          <w:tcPr>
            <w:tcW w:w="3046" w:type="dxa"/>
          </w:tcPr>
          <w:p w:rsidR="001656EC" w:rsidRPr="005678B4" w:rsidRDefault="001656EC">
            <w:pPr>
              <w:pStyle w:val="Underskrifter"/>
              <w:shd w:val="clear" w:color="000000" w:fill="auto"/>
            </w:pPr>
            <w:r w:rsidRPr="005678B4">
              <w:t>Mats Pertoft (mp)</w:t>
            </w:r>
          </w:p>
        </w:tc>
        <w:tc>
          <w:tcPr>
            <w:tcW w:w="3046" w:type="dxa"/>
          </w:tcPr>
          <w:p w:rsidR="001656EC" w:rsidRPr="005678B4" w:rsidRDefault="001656EC">
            <w:pPr>
              <w:pStyle w:val="Underskrifter"/>
              <w:shd w:val="clear" w:color="000000" w:fill="auto"/>
            </w:pPr>
            <w:r w:rsidRPr="005678B4">
              <w:t>Lage Rahm (mp)</w:t>
            </w:r>
          </w:p>
        </w:tc>
      </w:tr>
      <w:tr w:rsidR="00000000" w:rsidRPr="005678B4">
        <w:trPr>
          <w:cantSplit/>
        </w:trPr>
        <w:tc>
          <w:tcPr>
            <w:tcW w:w="3046" w:type="dxa"/>
          </w:tcPr>
          <w:p w:rsidR="001656EC" w:rsidRPr="005678B4" w:rsidRDefault="001656EC">
            <w:pPr>
              <w:pStyle w:val="Underskrifter"/>
              <w:shd w:val="clear" w:color="000000" w:fill="auto"/>
            </w:pPr>
            <w:r w:rsidRPr="005678B4">
              <w:t>Peter Rådberg (mp)</w:t>
            </w:r>
          </w:p>
        </w:tc>
        <w:tc>
          <w:tcPr>
            <w:tcW w:w="3046" w:type="dxa"/>
          </w:tcPr>
          <w:p w:rsidR="001656EC" w:rsidRPr="005678B4" w:rsidRDefault="001656EC">
            <w:pPr>
              <w:pStyle w:val="Underskrifter"/>
              <w:shd w:val="clear" w:color="000000" w:fill="auto"/>
            </w:pPr>
            <w:r w:rsidRPr="005678B4">
              <w:t>Karin Svensson Smith (mp)</w:t>
            </w:r>
          </w:p>
        </w:tc>
      </w:tr>
    </w:tbl>
    <w:p w:rsidR="001656EC" w:rsidRPr="005678B4" w:rsidRDefault="001656EC">
      <w:pPr>
        <w:pStyle w:val="Normaltindrag"/>
        <w:shd w:val="clear" w:color="000000" w:fill="auto"/>
      </w:pPr>
    </w:p>
    <w:sectPr w:rsidR="001656EC" w:rsidRPr="005678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6EC" w:rsidRPr="005678B4" w:rsidRDefault="001656EC">
      <w:r w:rsidRPr="005678B4">
        <w:separator/>
      </w:r>
    </w:p>
  </w:endnote>
  <w:endnote w:type="continuationSeparator" w:id="0">
    <w:p w:rsidR="001656EC" w:rsidRPr="005678B4" w:rsidRDefault="001656EC">
      <w:r w:rsidRPr="005678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6EC" w:rsidRPr="005678B4" w:rsidRDefault="005678B4">
    <w:pPr>
      <w:pStyle w:val="Sidfot"/>
    </w:pPr>
    <w:r w:rsidRPr="005678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5412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6EC" w:rsidRDefault="001656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56EC" w:rsidRDefault="001656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6EC" w:rsidRPr="005678B4" w:rsidRDefault="005678B4">
    <w:pPr>
      <w:pStyle w:val="Sidfot"/>
    </w:pPr>
    <w:r w:rsidRPr="005678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072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6EC" w:rsidRDefault="001656E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56EC" w:rsidRDefault="001656E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6EC" w:rsidRPr="005678B4" w:rsidRDefault="005678B4">
    <w:pPr>
      <w:pStyle w:val="Sidfot"/>
    </w:pPr>
    <w:r w:rsidRPr="005678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220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6EC" w:rsidRDefault="001656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56EC" w:rsidRDefault="001656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6EC" w:rsidRPr="005678B4" w:rsidRDefault="001656EC">
      <w:r w:rsidRPr="005678B4">
        <w:separator/>
      </w:r>
    </w:p>
  </w:footnote>
  <w:footnote w:type="continuationSeparator" w:id="0">
    <w:p w:rsidR="001656EC" w:rsidRPr="005678B4" w:rsidRDefault="001656EC">
      <w:r w:rsidRPr="005678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6EC" w:rsidRPr="005678B4" w:rsidRDefault="005678B4">
    <w:pPr>
      <w:pStyle w:val="Sidhuvud"/>
    </w:pPr>
    <w:r w:rsidRPr="005678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2886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6EC" w:rsidRDefault="001656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56EC" w:rsidRDefault="001656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6EC" w:rsidRPr="005678B4" w:rsidRDefault="005678B4">
    <w:pPr>
      <w:pStyle w:val="Sidhuvud"/>
    </w:pPr>
    <w:r w:rsidRPr="005678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88010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6EC" w:rsidRDefault="001656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56EC" w:rsidRDefault="001656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6EC" w:rsidRPr="005678B4" w:rsidRDefault="001656EC">
    <w:pPr>
      <w:pStyle w:val="FSHNormal"/>
      <w:tabs>
        <w:tab w:val="right" w:pos="5840"/>
      </w:tabs>
    </w:pPr>
    <w:r w:rsidRPr="005678B4">
      <w:br/>
    </w:r>
    <w:r w:rsidRPr="005678B4">
      <w:fldChar w:fldCharType="begin" w:fldLock="1"/>
    </w:r>
    <w:r w:rsidRPr="005678B4">
      <w:instrText xml:space="preserve"> DOCPROPERTY</w:instrText>
    </w:r>
    <w:r w:rsidRPr="005678B4">
      <w:rPr>
        <w:sz w:val="18"/>
      </w:rPr>
      <w:instrText xml:space="preserve"> "YearUser" *\charformat </w:instrText>
    </w:r>
    <w:r w:rsidRPr="005678B4">
      <w:fldChar w:fldCharType="separate"/>
    </w:r>
    <w:r w:rsidRPr="005678B4">
      <w:t>2007/08</w:t>
    </w:r>
    <w:r w:rsidRPr="005678B4">
      <w:fldChar w:fldCharType="end"/>
    </w:r>
    <w:r w:rsidRPr="005678B4">
      <w:t xml:space="preserve"> </w:t>
    </w:r>
    <w:r w:rsidRPr="005678B4">
      <w:tab/>
      <w:t xml:space="preserve">mnr: </w:t>
    </w:r>
    <w:r w:rsidRPr="005678B4">
      <w:fldChar w:fldCharType="begin" w:fldLock="1"/>
    </w:r>
    <w:r w:rsidRPr="005678B4">
      <w:instrText xml:space="preserve"> DOCPROPERTY</w:instrText>
    </w:r>
    <w:r w:rsidRPr="005678B4">
      <w:rPr>
        <w:sz w:val="18"/>
      </w:rPr>
      <w:instrText xml:space="preserve"> "Motionsnummer" *\charformat </w:instrText>
    </w:r>
    <w:r w:rsidRPr="005678B4">
      <w:fldChar w:fldCharType="separate"/>
    </w:r>
    <w:r w:rsidRPr="005678B4">
      <w:t>Fi12</w:t>
    </w:r>
    <w:r w:rsidRPr="005678B4">
      <w:fldChar w:fldCharType="end"/>
    </w:r>
    <w:r w:rsidRPr="005678B4">
      <w:br/>
    </w:r>
    <w:r w:rsidRPr="005678B4">
      <w:fldChar w:fldCharType="begin" w:fldLock="1"/>
    </w:r>
    <w:r w:rsidRPr="005678B4">
      <w:instrText xml:space="preserve"> DOCPROPERTY</w:instrText>
    </w:r>
    <w:r w:rsidRPr="005678B4">
      <w:rPr>
        <w:sz w:val="18"/>
      </w:rPr>
      <w:instrText xml:space="preserve"> "Samling" *\charformat </w:instrText>
    </w:r>
    <w:r w:rsidRPr="005678B4">
      <w:fldChar w:fldCharType="end"/>
    </w:r>
    <w:r w:rsidRPr="005678B4">
      <w:tab/>
      <w:t xml:space="preserve">pnr: </w:t>
    </w:r>
    <w:r w:rsidRPr="005678B4">
      <w:fldChar w:fldCharType="begin" w:fldLock="1"/>
    </w:r>
    <w:r w:rsidRPr="005678B4">
      <w:instrText xml:space="preserve"> DOCPROPERTY</w:instrText>
    </w:r>
    <w:r w:rsidRPr="005678B4">
      <w:rPr>
        <w:sz w:val="18"/>
      </w:rPr>
      <w:instrText xml:space="preserve"> "Partinummer" *\charformat </w:instrText>
    </w:r>
    <w:r w:rsidRPr="005678B4">
      <w:fldChar w:fldCharType="separate"/>
    </w:r>
    <w:r w:rsidRPr="005678B4">
      <w:t>mp56</w:t>
    </w:r>
    <w:r w:rsidRPr="005678B4">
      <w:fldChar w:fldCharType="end"/>
    </w:r>
  </w:p>
  <w:p w:rsidR="001656EC" w:rsidRPr="005678B4" w:rsidRDefault="001656EC">
    <w:pPr>
      <w:pStyle w:val="FSHRub1"/>
    </w:pPr>
    <w:r w:rsidRPr="005678B4">
      <w:t>Motion till riksdagen</w:t>
    </w:r>
    <w:r w:rsidRPr="005678B4">
      <w:br/>
    </w:r>
    <w:r w:rsidRPr="005678B4">
      <w:fldChar w:fldCharType="begin" w:fldLock="1"/>
    </w:r>
    <w:r w:rsidRPr="005678B4">
      <w:instrText xml:space="preserve"> DOCPROPERTY "YearUser" *\charformat </w:instrText>
    </w:r>
    <w:r w:rsidRPr="005678B4">
      <w:fldChar w:fldCharType="separate"/>
    </w:r>
    <w:r w:rsidRPr="005678B4">
      <w:t>2007/08</w:t>
    </w:r>
    <w:r w:rsidRPr="005678B4">
      <w:fldChar w:fldCharType="end"/>
    </w:r>
    <w:r w:rsidRPr="005678B4">
      <w:t>:</w:t>
    </w:r>
    <w:r w:rsidRPr="005678B4">
      <w:fldChar w:fldCharType="begin" w:fldLock="1"/>
    </w:r>
    <w:r w:rsidRPr="005678B4">
      <w:instrText xml:space="preserve"> DOCPROPERTY "Motionsnummer" *\charformat </w:instrText>
    </w:r>
    <w:r w:rsidRPr="005678B4">
      <w:fldChar w:fldCharType="separate"/>
    </w:r>
    <w:r w:rsidRPr="005678B4">
      <w:t>Fi12</w:t>
    </w:r>
    <w:r w:rsidRPr="005678B4">
      <w:fldChar w:fldCharType="end"/>
    </w:r>
  </w:p>
  <w:p w:rsidR="001656EC" w:rsidRPr="005678B4" w:rsidRDefault="001656EC">
    <w:pPr>
      <w:pStyle w:val="FSHNormalS5"/>
    </w:pPr>
    <w:r w:rsidRPr="005678B4">
      <w:fldChar w:fldCharType="begin" w:fldLock="1"/>
    </w:r>
    <w:r w:rsidRPr="005678B4">
      <w:instrText xml:space="preserve"> DOCPROPERTY "MotionarText" *\charformat </w:instrText>
    </w:r>
    <w:r w:rsidRPr="005678B4">
      <w:fldChar w:fldCharType="separate"/>
    </w:r>
    <w:r w:rsidRPr="005678B4">
      <w:t>av Maria Wetterstrand m.fl. (mp)</w:t>
    </w:r>
    <w:r w:rsidRPr="005678B4">
      <w:fldChar w:fldCharType="end"/>
    </w:r>
    <w:r w:rsidRPr="005678B4">
      <w:br/>
    </w:r>
    <w:r w:rsidRPr="005678B4">
      <w:fldChar w:fldCharType="begin" w:fldLock="1"/>
    </w:r>
    <w:r w:rsidRPr="005678B4">
      <w:instrText xml:space="preserve"> DOCPROPERTY "SvarFrasKort" *\charformat </w:instrText>
    </w:r>
    <w:r w:rsidRPr="005678B4">
      <w:fldChar w:fldCharType="separate"/>
    </w:r>
    <w:r w:rsidRPr="005678B4">
      <w:t>med anledning av prop. 2007/08:99</w:t>
    </w:r>
    <w:r w:rsidRPr="005678B4">
      <w:fldChar w:fldCharType="end"/>
    </w:r>
  </w:p>
  <w:p w:rsidR="001656EC" w:rsidRPr="005678B4" w:rsidRDefault="001656EC">
    <w:pPr>
      <w:pStyle w:val="FSHTitel"/>
    </w:pPr>
    <w:r w:rsidRPr="005678B4">
      <w:fldChar w:fldCharType="begin" w:fldLock="1"/>
    </w:r>
    <w:r w:rsidRPr="005678B4">
      <w:instrText xml:space="preserve"> DOCPROPERTY</w:instrText>
    </w:r>
    <w:r w:rsidRPr="005678B4">
      <w:rPr>
        <w:sz w:val="18"/>
      </w:rPr>
      <w:instrText xml:space="preserve"> "RubrikSvar" *\charformat </w:instrText>
    </w:r>
    <w:r w:rsidRPr="005678B4">
      <w:fldChar w:fldCharType="separate"/>
    </w:r>
    <w:r w:rsidRPr="005678B4">
      <w:t>Tilläggsbudget till statsbudgeten 2008</w:t>
    </w:r>
    <w:r w:rsidRPr="005678B4">
      <w:fldChar w:fldCharType="end"/>
    </w:r>
  </w:p>
  <w:p w:rsidR="001656EC" w:rsidRPr="005678B4" w:rsidRDefault="001656EC">
    <w:pPr>
      <w:pStyle w:val="Normal00"/>
    </w:pPr>
  </w:p>
  <w:p w:rsidR="001656EC" w:rsidRPr="005678B4" w:rsidRDefault="001656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577B3E"/>
    <w:multiLevelType w:val="hybridMultilevel"/>
    <w:tmpl w:val="A290F4FE"/>
    <w:lvl w:ilvl="0" w:tplc="0B5C3A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82A6D17"/>
    <w:multiLevelType w:val="hybridMultilevel"/>
    <w:tmpl w:val="A88A373C"/>
    <w:lvl w:ilvl="0" w:tplc="35E629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2461178">
    <w:abstractNumId w:val="8"/>
  </w:num>
  <w:num w:numId="2" w16cid:durableId="1239365933">
    <w:abstractNumId w:val="9"/>
  </w:num>
  <w:num w:numId="3" w16cid:durableId="575632805">
    <w:abstractNumId w:val="8"/>
  </w:num>
  <w:num w:numId="4" w16cid:durableId="392316688">
    <w:abstractNumId w:val="9"/>
  </w:num>
  <w:num w:numId="5" w16cid:durableId="1963685058">
    <w:abstractNumId w:val="14"/>
  </w:num>
  <w:num w:numId="6" w16cid:durableId="194393674">
    <w:abstractNumId w:val="10"/>
  </w:num>
  <w:num w:numId="7" w16cid:durableId="1905094333">
    <w:abstractNumId w:val="12"/>
  </w:num>
  <w:num w:numId="8" w16cid:durableId="417677072">
    <w:abstractNumId w:val="13"/>
  </w:num>
  <w:num w:numId="9" w16cid:durableId="158739252">
    <w:abstractNumId w:val="8"/>
  </w:num>
  <w:num w:numId="10" w16cid:durableId="572201110">
    <w:abstractNumId w:val="3"/>
  </w:num>
  <w:num w:numId="11" w16cid:durableId="2034138894">
    <w:abstractNumId w:val="2"/>
  </w:num>
  <w:num w:numId="12" w16cid:durableId="528688999">
    <w:abstractNumId w:val="1"/>
  </w:num>
  <w:num w:numId="13" w16cid:durableId="1433086978">
    <w:abstractNumId w:val="0"/>
  </w:num>
  <w:num w:numId="14" w16cid:durableId="371882213">
    <w:abstractNumId w:val="9"/>
  </w:num>
  <w:num w:numId="15" w16cid:durableId="842162662">
    <w:abstractNumId w:val="7"/>
  </w:num>
  <w:num w:numId="16" w16cid:durableId="152375931">
    <w:abstractNumId w:val="6"/>
  </w:num>
  <w:num w:numId="17" w16cid:durableId="567152526">
    <w:abstractNumId w:val="5"/>
  </w:num>
  <w:num w:numId="18" w16cid:durableId="1979139599">
    <w:abstractNumId w:val="4"/>
  </w:num>
  <w:num w:numId="19" w16cid:durableId="1652908852">
    <w:abstractNumId w:val="15"/>
  </w:num>
  <w:num w:numId="20" w16cid:durableId="4645900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24"/>
    <w:docVar w:name="PersonGUIDs" w:val="{8022D127-CE9D-46CB-B553-D28767AFBAA9},{0CDB567F-E43C-4889-9FA5-1291966678FD},{7C31CD86-53C7-4E1C-A073-157C1FC7DBDC},{891F8238-7272-4195-A81B-8E357071C4D2},{7CC9A58C-3141-48A3-86B8-8EA19B911E01},{44E1179A-EAF6-4300-B094-8294DC01CCC9},{67E77369-3EE3-448A-A205-B9E0C4AF5EC8},{18C74A2A-AE65-4127-9CEA-CFF157E3C4FA},{89ABCACB-191A-460E-9D0D-F493EEE6F9F1},{DA08321F-F0BC-4060-A586-E39C9BA97177},{756F1CB3-4A6F-49DB-ACE4-BF700CEB9665},{118C048D-818B-4EE9-99AD-DE1F328BC164},{EC49A5C4-EF8B-4128-8058-67D1E519C3AA},{C87839E7-C05D-47B9-AB7F-246B82B1F61B},{678A9254-59ED-452D-AB16-7DA16C224668},{0F87DCE8-E845-4A82-8576-72C9B4F36723},{B40CF4CF-E74B-4017-8D58-93B738EC5F6D},{B81B8A0A-08CE-44CC-9E69-32C06335E529},{56D06B6F-3AC6-4A0C-8BA9-48CDB569EBA6}"/>
  </w:docVars>
  <w:rsids>
    <w:rsidRoot w:val="00303202"/>
    <w:rsid w:val="001656EC"/>
    <w:rsid w:val="00303202"/>
    <w:rsid w:val="005678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AA60E7-2AF9-41C3-BAC6-6551EBFA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926423">
      <w:bodyDiv w:val="1"/>
      <w:marLeft w:val="0"/>
      <w:marRight w:val="0"/>
      <w:marTop w:val="0"/>
      <w:marBottom w:val="0"/>
      <w:divBdr>
        <w:top w:val="none" w:sz="0" w:space="0" w:color="auto"/>
        <w:left w:val="none" w:sz="0" w:space="0" w:color="auto"/>
        <w:bottom w:val="none" w:sz="0" w:space="0" w:color="auto"/>
        <w:right w:val="none" w:sz="0" w:space="0" w:color="auto"/>
      </w:divBdr>
    </w:div>
    <w:div w:id="44500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1308</Words>
  <Characters>7827</Characters>
  <Application>Microsoft Office Word</Application>
  <DocSecurity>4</DocSecurity>
  <Lines>190</Lines>
  <Paragraphs>102</Paragraphs>
  <ScaleCrop>false</ScaleCrop>
  <HeadingPairs>
    <vt:vector size="2" baseType="variant">
      <vt:variant>
        <vt:lpstr>Rubrik</vt:lpstr>
      </vt:variant>
      <vt:variant>
        <vt:i4>1</vt:i4>
      </vt:variant>
    </vt:vector>
  </HeadingPairs>
  <TitlesOfParts>
    <vt:vector size="1" baseType="lpstr">
      <vt:lpstr>mp056</vt:lpstr>
    </vt:vector>
  </TitlesOfParts>
  <Company>Riksdagen</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mp056</dc:title>
  <dc:subject>mp056</dc:subject>
  <dc:creator>Riksdagen</dc:creator>
  <cp:keywords>Riksdagen</cp:keywords>
  <dc:description>TKG-ktrl, MSMQ4mb, PersReg-Distribution mm</dc:description>
  <cp:lastModifiedBy>Lars Brink</cp:lastModifiedBy>
  <cp:revision>2</cp:revision>
  <cp:lastPrinted>2008-05-12T09:05:00Z</cp:lastPrinted>
  <dcterms:created xsi:type="dcterms:W3CDTF">2025-12-17T05:08:00Z</dcterms:created>
  <dcterms:modified xsi:type="dcterms:W3CDTF">2025-12-17T05:08:00Z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mot2000_492_2008-04-24</vt:lpwstr>
  </property>
  <property fmtid="{D5CDD505-2E9C-101B-9397-08002B2CF9AE}" pid="3" name="version">
    <vt:lpwstr>mot2000_492_2008-04-24</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2007/08:99 Tilläggsbudget till statsbudgeten 2008</vt:lpwstr>
  </property>
  <property fmtid="{D5CDD505-2E9C-101B-9397-08002B2CF9AE}" pid="11" name="SvarFrasKort">
    <vt:lpwstr>med anledning av prop. 2007/08:99</vt:lpwstr>
  </property>
  <property fmtid="{D5CDD505-2E9C-101B-9397-08002B2CF9AE}" pid="12" name="Svar">
    <vt:lpwstr>Proposition</vt:lpwstr>
  </property>
  <property fmtid="{D5CDD505-2E9C-101B-9397-08002B2CF9AE}" pid="13" name="SvarNr">
    <vt:lpwstr>2007/08:99</vt:lpwstr>
  </property>
  <property fmtid="{D5CDD505-2E9C-101B-9397-08002B2CF9AE}" pid="14" name="RubrikSvar">
    <vt:lpwstr>Tilläggsbudget till statsbudgeten 2008</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mp56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Maria Wetterstrand m.fl. (mp)</vt:lpwstr>
  </property>
  <property fmtid="{D5CDD505-2E9C-101B-9397-08002B2CF9AE}" pid="26" name="MotionarLista">
    <vt:lpwstr>Wetterstrand, Maria (mp)\Eriksson, Peter (mp)\Valtersson, Mikaela (mp)\Andersson, Max (mp)\Bolund, Per (mp)\Ceballos, Bodil (mp)\Dingizian, Esabelle (mp)\Ehn, Tina (mp)\Ericson, Gunvor G (mp)\Holm, Ulf (mp)\Johansson, Mikael (mp)\Kaplan, Mehmet (mp)\</vt:lpwstr>
  </property>
  <property fmtid="{D5CDD505-2E9C-101B-9397-08002B2CF9AE}" pid="27" name="MotionarLista1">
    <vt:lpwstr>Leander, Helena (mp)\Lindholm, Jan (mp)\Nihlén, Thomas (mp)\Pertoft, Mats (mp)\Rahm, Lage (mp)\Rådberg, Peter (mp)\Svensson Smith, Karin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Mikaela Valtersson (mp), Max Andersson (mp), Per Bolund (mp), Bodil Ceballos (mp), Esabelle Dingizian (mp), Tina Ehn (mp), Gunvor G Ericson (mp), Ulf Holm (mp), Mikael Johansson (mp), Mehmet Kaplan (mp), Helen</vt:lpwstr>
  </property>
  <property fmtid="{D5CDD505-2E9C-101B-9397-08002B2CF9AE}" pid="31" name="MotionarLotus1">
    <vt:lpwstr>a Leander (mp), Jan Lindholm (mp), Thomas Nihlén (mp), Mats Pertoft (mp), Lage Rahm (mp), Peter Rådberg (mp), Karin Svensson Smith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maj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20072008000001090112000000560080</vt:lpwstr>
  </property>
  <property fmtid="{D5CDD505-2E9C-101B-9397-08002B2CF9AE}" pid="47" name="datum">
    <vt:lpwstr>080506</vt:lpwstr>
  </property>
  <property fmtid="{D5CDD505-2E9C-101B-9397-08002B2CF9AE}" pid="48" name="avsändar-e-post">
    <vt:lpwstr>magnus.lindgren@riksdagen.se</vt:lpwstr>
  </property>
  <property fmtid="{D5CDD505-2E9C-101B-9397-08002B2CF9AE}" pid="49" name="id">
    <vt:lpwstr>20072008000001090112000000560080</vt:lpwstr>
  </property>
  <property fmtid="{D5CDD505-2E9C-101B-9397-08002B2CF9AE}" pid="50" name="nummer">
    <vt:lpwstr>12</vt:lpwstr>
  </property>
  <property fmtid="{D5CDD505-2E9C-101B-9397-08002B2CF9AE}" pid="51" name="utskottsbeteckning">
    <vt:lpwstr>Fi</vt:lpwstr>
  </property>
  <property fmtid="{D5CDD505-2E9C-101B-9397-08002B2CF9AE}" pid="52" name="GlobalUID">
    <vt:lpwstr>{B76550D1-EFF5-43DC-9E9C-B904534E062C}</vt:lpwstr>
  </property>
  <property fmtid="{D5CDD505-2E9C-101B-9397-08002B2CF9AE}" pid="53" name="Överföringar">
    <vt:i4>0</vt:i4>
  </property>
  <property fmtid="{D5CDD505-2E9C-101B-9397-08002B2CF9AE}" pid="54" name="Checksum">
    <vt:lpwstr>*1007030628715*</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080523 09:50:17.804</vt:lpwstr>
  </property>
  <property fmtid="{D5CDD505-2E9C-101B-9397-08002B2CF9AE}" pid="58" name="urixGuid">
    <vt:lpwstr>{88D055AD-B920-4F48-99C7-999109E859BB}</vt:lpwstr>
  </property>
</Properties>
</file>