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6906B9C9" w14:textId="77777777">
          <w:pPr>
            <w:pStyle w:val="Rubrik1"/>
            <w:spacing w:after="300"/>
          </w:pPr>
          <w:r w:rsidRPr="009B062B">
            <w:t>Förslag till riksdagsbeslut</w:t>
          </w:r>
        </w:p>
      </w:sdtContent>
    </w:sdt>
    <w:sdt>
      <w:sdtPr>
        <w:alias w:val="Yrkande 1"/>
        <w:tag w:val="e046b0dd-d177-4434-b4fc-a3a749b3bcb4"/>
        <w:id w:val="683559904"/>
        <w:lock w:val="sdtLocked"/>
      </w:sdtPr>
      <w:sdtEndPr/>
      <w:sdtContent>
        <w:p w:rsidR="003A0030" w:rsidRDefault="009D4D42" w14:paraId="42124D54"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2"/>
        <w:tag w:val="40198e47-bf52-494d-8be0-fbe0329e81ac"/>
        <w:id w:val="-181513409"/>
        <w:lock w:val="sdtLocked"/>
      </w:sdtPr>
      <w:sdtEndPr/>
      <w:sdtContent>
        <w:p w:rsidR="003A0030" w:rsidRDefault="009D4D42" w14:paraId="532D6C47" w14:textId="77777777">
          <w:pPr>
            <w:pStyle w:val="Frslagstext"/>
          </w:pPr>
          <w:r>
            <w:t>Riksdagen ställer sig bakom det som anförs i motionen om en ökad möjlighet till BB-vistelse inför stundande förlossning och tillkännager detta för regeringen.</w:t>
          </w:r>
        </w:p>
      </w:sdtContent>
    </w:sdt>
    <w:sdt>
      <w:sdtPr>
        <w:alias w:val="Yrkande 3"/>
        <w:tag w:val="a63405b0-3287-4fe6-8884-87b54031e21b"/>
        <w:id w:val="4252609"/>
        <w:lock w:val="sdtLocked"/>
      </w:sdtPr>
      <w:sdtEndPr/>
      <w:sdtContent>
        <w:p w:rsidR="003A0030" w:rsidRDefault="009D4D42" w14:paraId="109FB4B1"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4"/>
        <w:tag w:val="8a10eb56-d3e8-4070-bbb8-13feda2f51ea"/>
        <w:id w:val="752542734"/>
        <w:lock w:val="sdtLocked"/>
      </w:sdtPr>
      <w:sdtEndPr/>
      <w:sdtContent>
        <w:p w:rsidR="003A0030" w:rsidRDefault="009D4D42" w14:paraId="59E3960F" w14:textId="77777777">
          <w:pPr>
            <w:pStyle w:val="Frslagstext"/>
          </w:pPr>
          <w:r>
            <w:t>Riksdagen ställer sig bakom det som anförs i motionen om utvecklad statistik kring förlossningsskador i Sverige och tillkännager detta för regeringen.</w:t>
          </w:r>
        </w:p>
      </w:sdtContent>
    </w:sdt>
    <w:sdt>
      <w:sdtPr>
        <w:alias w:val="Yrkande 5"/>
        <w:tag w:val="43a7b587-850d-42ea-90e7-a3fa40077b19"/>
        <w:id w:val="393560055"/>
        <w:lock w:val="sdtLocked"/>
      </w:sdtPr>
      <w:sdtEndPr/>
      <w:sdtContent>
        <w:p w:rsidR="003A0030" w:rsidRDefault="009D4D42" w14:paraId="0B009A4A" w14:textId="77777777">
          <w:pPr>
            <w:pStyle w:val="Frslagstext"/>
          </w:pPr>
          <w:r>
            <w:t>Riksdagen ställer sig bakom det som anförs i motionen om ett nationellt kompetenscentrum för förlossningsvård och tillkännager detta för regeringen.</w:t>
          </w:r>
        </w:p>
      </w:sdtContent>
    </w:sdt>
    <w:sdt>
      <w:sdtPr>
        <w:alias w:val="Yrkande 6"/>
        <w:tag w:val="506151ee-fa9f-40d8-bb32-5806d6d2acef"/>
        <w:id w:val="1178474906"/>
        <w:lock w:val="sdtLocked"/>
      </w:sdtPr>
      <w:sdtEndPr/>
      <w:sdtContent>
        <w:p w:rsidR="003A0030" w:rsidRDefault="009D4D42" w14:paraId="312BBE62" w14:textId="77777777">
          <w:pPr>
            <w:pStyle w:val="Frslagstext"/>
          </w:pPr>
          <w:r>
            <w:t>Riksdagen ställer sig bakom det som anförs i motionen om nationella riktlinjer för vården efter en förlossning och tillkännager detta för regeringen.</w:t>
          </w:r>
        </w:p>
      </w:sdtContent>
    </w:sdt>
    <w:sdt>
      <w:sdtPr>
        <w:alias w:val="Yrkande 7"/>
        <w:tag w:val="c45ca99c-25f6-4f2f-994f-a53cb1f427a8"/>
        <w:id w:val="1810051340"/>
        <w:lock w:val="sdtLocked"/>
      </w:sdtPr>
      <w:sdtEndPr/>
      <w:sdtContent>
        <w:p w:rsidR="003A0030" w:rsidRDefault="009D4D42" w14:paraId="76338399" w14:textId="77777777">
          <w:pPr>
            <w:pStyle w:val="Frslagstext"/>
          </w:pPr>
          <w:r>
            <w:t>Riksdagen ställer sig bakom det som anförs i motionen om att inrätta ett särskilt kunskapsstöd för förlossningsvården för att motverka regionala skillnader och tillkännager detta för regeringen.</w:t>
          </w:r>
        </w:p>
      </w:sdtContent>
    </w:sdt>
    <w:sdt>
      <w:sdtPr>
        <w:alias w:val="Yrkande 8"/>
        <w:tag w:val="1279626c-ce1d-4cda-9eb9-7943524f432f"/>
        <w:id w:val="1383602487"/>
        <w:lock w:val="sdtLocked"/>
      </w:sdtPr>
      <w:sdtEndPr/>
      <w:sdtContent>
        <w:p w:rsidR="003A0030" w:rsidRDefault="009D4D42" w14:paraId="314C8828" w14:textId="77777777">
          <w:pPr>
            <w:pStyle w:val="Frslagstext"/>
          </w:pPr>
          <w:r>
            <w:t>Riksdagen ställer sig bakom det som anförs i motionen om ett tydligare ansvar för mödravården att följa upp såväl den psykiska som den fysiska situationen för de kvinnor som har genomgått en förlossning, och detta tillkännager riksdagen för regeringen.</w:t>
          </w:r>
        </w:p>
      </w:sdtContent>
    </w:sdt>
    <w:sdt>
      <w:sdtPr>
        <w:alias w:val="Yrkande 9"/>
        <w:tag w:val="9c513ad1-3d44-43f8-aa4d-691dbfb166a8"/>
        <w:id w:val="-1319964274"/>
        <w:lock w:val="sdtLocked"/>
      </w:sdtPr>
      <w:sdtEndPr/>
      <w:sdtContent>
        <w:p w:rsidR="003A0030" w:rsidRDefault="009D4D42" w14:paraId="60103EDF" w14:textId="77777777">
          <w:pPr>
            <w:pStyle w:val="Frslagstext"/>
          </w:pPr>
          <w:r>
            <w:t>Riksdagen ställer sig bakom det som anförs i motionen om ett bidrag för förlossningsrelaterad rehab till kvinnor med fysiska eller psykiska besvär och tillkännager detta för regeringen.</w:t>
          </w:r>
        </w:p>
      </w:sdtContent>
    </w:sdt>
    <w:sdt>
      <w:sdtPr>
        <w:alias w:val="Yrkande 10"/>
        <w:tag w:val="468db0be-ea5e-4ba9-a0e0-b61e65c9a66d"/>
        <w:id w:val="1035474802"/>
        <w:lock w:val="sdtLocked"/>
      </w:sdtPr>
      <w:sdtEndPr/>
      <w:sdtContent>
        <w:p w:rsidR="003A0030" w:rsidRDefault="009D4D42" w14:paraId="6A48D0C5" w14:textId="77777777">
          <w:pPr>
            <w:pStyle w:val="Frslagstext"/>
          </w:pPr>
          <w:r>
            <w:t>Riksdagen ställer sig bakom det som anförs i motionen om specialistcenter för eftervård och tillkännager detta för regeringen.</w:t>
          </w:r>
        </w:p>
      </w:sdtContent>
    </w:sdt>
    <w:sdt>
      <w:sdtPr>
        <w:alias w:val="Yrkande 11"/>
        <w:tag w:val="e9dfeb09-0112-4c39-be31-1ca14c5b780e"/>
        <w:id w:val="-1474592805"/>
        <w:lock w:val="sdtLocked"/>
      </w:sdtPr>
      <w:sdtEndPr/>
      <w:sdtContent>
        <w:p w:rsidR="003A0030" w:rsidRDefault="009D4D42" w14:paraId="067DF4A7" w14:textId="77777777">
          <w:pPr>
            <w:pStyle w:val="Frslagstext"/>
          </w:pPr>
          <w:r>
            <w:t>Riksdagen ställer sig bakom det som anförs i motionen om en garanti i fråga om att få operation efter en förlossningsskada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6F287709B9477595A319FE9354AD33"/>
        </w:placeholder>
        <w:text/>
      </w:sdtPr>
      <w:sdtEndPr/>
      <w:sdtContent>
        <w:p w:rsidRPr="009438AF" w:rsidR="006D79C9" w:rsidP="00333E95" w:rsidRDefault="0004399D" w14:paraId="291F7167" w14:textId="2E03E4E2">
          <w:pPr>
            <w:pStyle w:val="Rubrik1"/>
          </w:pPr>
          <w:r w:rsidRPr="0029173F">
            <w:t>Profylaxkurser för blivande föräldrar</w:t>
          </w:r>
        </w:p>
      </w:sdtContent>
    </w:sdt>
    <w:p w:rsidRPr="0004399D" w:rsidR="0002747B" w:rsidP="0004399D" w:rsidRDefault="006A69F5" w14:paraId="49727E6F" w14:textId="4FCC0C7E">
      <w:pPr>
        <w:pStyle w:val="Normalutanindragellerluft"/>
      </w:pPr>
      <w:r w:rsidRPr="0004399D">
        <w:t>Målet med förlossningsvården är en frisk mor och ett friskt barn samt en för kvinnan</w:t>
      </w:r>
      <w:r w:rsidRPr="0004399D" w:rsidR="00C35324">
        <w:t xml:space="preserve"> </w:t>
      </w:r>
      <w:r w:rsidRPr="0004399D">
        <w:t xml:space="preserve">positiv upplevelse av förlossningen. </w:t>
      </w:r>
      <w:r w:rsidRPr="0004399D" w:rsidR="00831266">
        <w:t>För att detta ska vara möjligt krävs en vä</w:t>
      </w:r>
      <w:r w:rsidRPr="0004399D" w:rsidR="003F4DD5">
        <w:t>lfunge</w:t>
      </w:r>
      <w:r w:rsidR="0004399D">
        <w:softHyphen/>
      </w:r>
      <w:r w:rsidRPr="0004399D" w:rsidR="003F4DD5">
        <w:t>rande vård, men också väl förberedda</w:t>
      </w:r>
      <w:r w:rsidRPr="0004399D" w:rsidR="00831266">
        <w:t xml:space="preserve"> föräldrar</w:t>
      </w:r>
      <w:r w:rsidRPr="0004399D" w:rsidR="00397860">
        <w:t>, även inför och under förlossningen</w:t>
      </w:r>
      <w:r w:rsidRPr="0004399D" w:rsidR="00CF608B">
        <w:t>.</w:t>
      </w:r>
      <w:r w:rsidRPr="0004399D" w:rsidR="00397860">
        <w:t xml:space="preserve"> </w:t>
      </w:r>
      <w:r w:rsidRPr="0004399D" w:rsidR="00CF608B">
        <w:t xml:space="preserve">Upplevelsen går </w:t>
      </w:r>
      <w:r w:rsidRPr="0004399D" w:rsidR="00397860">
        <w:t>knappast att beskriva för en person som inte själv varit med om det</w:t>
      </w:r>
      <w:r w:rsidRPr="0004399D" w:rsidR="00CF608B">
        <w:t>, men det är av största vikt att blivande föräldrar ändå blir så väl förberedda som möjligt</w:t>
      </w:r>
      <w:r w:rsidRPr="0004399D" w:rsidR="00831266">
        <w:t>.</w:t>
      </w:r>
      <w:r w:rsidRPr="0004399D" w:rsidR="00397860">
        <w:t xml:space="preserve"> Journalisten Sarah Boseley från The Guardian beskrev förlossningen på följande sätt: ”Birth is scary. Nobody can completely prepare you for it, because the words they use don’t translate to the physical sensations you experience when extraordinary primeval forces take over your body.” </w:t>
      </w:r>
    </w:p>
    <w:p w:rsidRPr="0004399D" w:rsidR="00397860" w:rsidP="0004399D" w:rsidRDefault="0002747B" w14:paraId="486943D0" w14:textId="0A23401B">
      <w:r w:rsidRPr="0004399D">
        <w:t>Profylaxkurser finns därför</w:t>
      </w:r>
      <w:r w:rsidRPr="0004399D" w:rsidR="003C1187">
        <w:t xml:space="preserve"> till</w:t>
      </w:r>
      <w:r w:rsidRPr="0004399D">
        <w:t xml:space="preserve">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w:t>
      </w:r>
      <w:r w:rsidRPr="0004399D" w:rsidR="00A9277E">
        <w:t xml:space="preserve"> under si</w:t>
      </w:r>
      <w:r w:rsidRPr="0004399D" w:rsidR="000B7F8B">
        <w:t>tt</w:t>
      </w:r>
      <w:r w:rsidRPr="0004399D" w:rsidR="00A9277E">
        <w:t xml:space="preserve"> livs kanske vikti</w:t>
      </w:r>
      <w:r w:rsidR="0004399D">
        <w:softHyphen/>
      </w:r>
      <w:r w:rsidRPr="0004399D" w:rsidR="00A9277E">
        <w:t>gaste tid</w:t>
      </w:r>
      <w:r w:rsidRPr="0004399D">
        <w:t>. Med profylaxkurser lär sig blivande föräldrar om andning och avslappning, om den mentala förberedelsen och partnerns roll samt olika massagetekniker</w:t>
      </w:r>
      <w:r w:rsidRPr="0004399D" w:rsidR="00397860">
        <w:t xml:space="preserve"> som möjliggör ett gott samarbete inför förlossningen</w:t>
      </w:r>
      <w:r w:rsidRPr="0004399D" w:rsidR="00EC7FE0">
        <w:t>, som ska fungera utan att de blivande föräldrarna ska behöva anlita en privat doula.</w:t>
      </w:r>
    </w:p>
    <w:p w:rsidRPr="0004399D" w:rsidR="00B37766" w:rsidP="0004399D" w:rsidRDefault="00C34DC1" w14:paraId="095B5417" w14:textId="2A405080">
      <w:r w:rsidRPr="0004399D">
        <w:t>F</w:t>
      </w:r>
      <w:r w:rsidRPr="0004399D" w:rsidR="00397860">
        <w:t xml:space="preserve">ler förberedda blivande föräldrar kan inte bara </w:t>
      </w:r>
      <w:r w:rsidRPr="0004399D">
        <w:t xml:space="preserve">öka chansen </w:t>
      </w:r>
      <w:r w:rsidRPr="0004399D" w:rsidR="008C1C59">
        <w:t xml:space="preserve">att få </w:t>
      </w:r>
      <w:r w:rsidRPr="0004399D">
        <w:t xml:space="preserve">en smidig </w:t>
      </w:r>
      <w:r w:rsidRPr="0004399D" w:rsidR="00397860">
        <w:t>förloss</w:t>
      </w:r>
      <w:r w:rsidR="0004399D">
        <w:softHyphen/>
      </w:r>
      <w:r w:rsidRPr="0004399D" w:rsidR="00397860">
        <w:t>ning</w:t>
      </w:r>
      <w:r w:rsidRPr="0004399D">
        <w:t xml:space="preserve"> för den födande kvinnan</w:t>
      </w:r>
      <w:r w:rsidRPr="0004399D" w:rsidR="00C35324">
        <w:t>;</w:t>
      </w:r>
      <w:r w:rsidRPr="0004399D" w:rsidR="00397860">
        <w:t xml:space="preserve"> det innebär även en form av avlastning för vårdpersona</w:t>
      </w:r>
      <w:r w:rsidR="0004399D">
        <w:softHyphen/>
      </w:r>
      <w:r w:rsidRPr="0004399D" w:rsidR="00397860">
        <w:t>len</w:t>
      </w:r>
      <w:r w:rsidRPr="0004399D" w:rsidR="00631C8B">
        <w:t>, inte minst då stödet till en födande kvinna främst är partnerns uppgift</w:t>
      </w:r>
      <w:r w:rsidRPr="0004399D" w:rsidR="00397860">
        <w:t xml:space="preserve">. </w:t>
      </w:r>
      <w:r w:rsidRPr="0004399D" w:rsidR="00E0380C">
        <w:t>Eftersom p</w:t>
      </w:r>
      <w:r w:rsidRPr="0004399D" w:rsidR="00397860">
        <w:t xml:space="preserve">rofylaxkurser inte </w:t>
      </w:r>
      <w:r w:rsidRPr="0004399D" w:rsidR="00E0380C">
        <w:t xml:space="preserve">är </w:t>
      </w:r>
      <w:r w:rsidRPr="0004399D" w:rsidR="00397860">
        <w:t>kostnadsfria</w:t>
      </w:r>
      <w:r w:rsidRPr="0004399D" w:rsidR="00E0380C">
        <w:t xml:space="preserve"> </w:t>
      </w:r>
      <w:r w:rsidRPr="0004399D" w:rsidR="00397860">
        <w:t xml:space="preserve">väljer </w:t>
      </w:r>
      <w:r w:rsidRPr="0004399D" w:rsidR="00F72283">
        <w:t>vissa</w:t>
      </w:r>
      <w:r w:rsidRPr="0004399D" w:rsidR="00E0380C">
        <w:t xml:space="preserve"> föräldrar att </w:t>
      </w:r>
      <w:r w:rsidRPr="0004399D" w:rsidR="00397860">
        <w:t>inte gå dem</w:t>
      </w:r>
      <w:r w:rsidRPr="0004399D" w:rsidR="00E0380C">
        <w:t>, trots at</w:t>
      </w:r>
      <w:r w:rsidRPr="0004399D" w:rsidR="00817E19">
        <w:t>t det kan vara bra för såväl dem</w:t>
      </w:r>
      <w:r w:rsidRPr="0004399D" w:rsidR="00E0380C">
        <w:t xml:space="preserve"> själva som vårdpersonalen</w:t>
      </w:r>
      <w:r w:rsidRPr="0004399D" w:rsidR="00397860">
        <w:t xml:space="preserve">. </w:t>
      </w:r>
      <w:r w:rsidRPr="0004399D" w:rsidR="00D71B25">
        <w:t xml:space="preserve">Regeringen bör </w:t>
      </w:r>
      <w:r w:rsidRPr="0004399D" w:rsidR="00E0380C">
        <w:t xml:space="preserve">därför </w:t>
      </w:r>
      <w:r w:rsidRPr="0004399D" w:rsidR="006371AC">
        <w:t>se över</w:t>
      </w:r>
      <w:r w:rsidRPr="0004399D" w:rsidR="000B297E">
        <w:t xml:space="preserve"> möjligheten att </w:t>
      </w:r>
      <w:r w:rsidRPr="0004399D" w:rsidR="007E502B">
        <w:t>få f</w:t>
      </w:r>
      <w:r w:rsidRPr="0004399D" w:rsidR="00D71B25">
        <w:t xml:space="preserve">ler blivande föräldrar </w:t>
      </w:r>
      <w:r w:rsidRPr="0004399D" w:rsidR="007E502B">
        <w:t>att genomföra</w:t>
      </w:r>
      <w:r w:rsidRPr="0004399D" w:rsidR="00D71B25">
        <w:t xml:space="preserve"> profylaxkurser</w:t>
      </w:r>
      <w:r w:rsidRPr="0004399D" w:rsidR="00F72283">
        <w:t>, exempelvis genom införandet av avdrag för dessa eller att de ingår i högkostnadsskyddet</w:t>
      </w:r>
      <w:r w:rsidRPr="0004399D" w:rsidR="00397860">
        <w:t>.</w:t>
      </w:r>
    </w:p>
    <w:p w:rsidRPr="0004399D" w:rsidR="006F4FF8" w:rsidP="0004399D" w:rsidRDefault="006F4FF8" w14:paraId="45193AE2" w14:textId="77777777">
      <w:pPr>
        <w:pStyle w:val="Rubrik1"/>
      </w:pPr>
      <w:r w:rsidRPr="0004399D">
        <w:t xml:space="preserve">Ökad möjlighet till BB-vistelse inför </w:t>
      </w:r>
      <w:r w:rsidRPr="0004399D" w:rsidR="00E72E2C">
        <w:t xml:space="preserve">en </w:t>
      </w:r>
      <w:r w:rsidRPr="0004399D">
        <w:t>stundande förlossning</w:t>
      </w:r>
    </w:p>
    <w:p w:rsidRPr="009438AF" w:rsidR="006F4FF8" w:rsidP="00C35324" w:rsidRDefault="006F4FF8" w14:paraId="73F4BB1A" w14:textId="005D10B3">
      <w:pPr>
        <w:ind w:firstLine="0"/>
      </w:pPr>
      <w:r w:rsidRPr="009438AF">
        <w:t>I november 2018 rapporterade tidningen Expressen om 19-åriga Felicia som trots fruk</w:t>
      </w:r>
      <w:r w:rsidR="0004399D">
        <w:softHyphen/>
      </w:r>
      <w:r w:rsidRPr="009438AF">
        <w:t xml:space="preserve">tansvärda smärtor, panikattacker och illamående skickades hem efter att hon anlänt till BB. Bara en timme efter hemkomst påbörjades födseln och i efterhand har Felicia beskrivit </w:t>
      </w:r>
      <w:r w:rsidR="00C35324">
        <w:t>sin</w:t>
      </w:r>
      <w:r w:rsidRPr="009438AF">
        <w:t xml:space="preserve"> upplevelse som en mardröm. I januari 2019 fick vi läsa om något liknande, men då handlade det om flerbarnsföräldern Sanna som skickades hem med värkar, trots att hon vid sina tidigare förlossningar</w:t>
      </w:r>
      <w:r w:rsidRPr="009438AF" w:rsidR="009F3A47">
        <w:t xml:space="preserve"> behövt operation</w:t>
      </w:r>
      <w:r w:rsidRPr="009438AF">
        <w:t>. Att hon skickades hem innebar att hon fick föda sitt barn i bilen och därefter förlorade två liter blod vilket nästan kostade henne livet.</w:t>
      </w:r>
    </w:p>
    <w:p w:rsidRPr="009438AF" w:rsidR="006F4FF8" w:rsidP="006F4FF8" w:rsidRDefault="008B01B1" w14:paraId="0EBACDD5" w14:textId="0D566079">
      <w:r w:rsidRPr="009438AF">
        <w:t xml:space="preserve">En del </w:t>
      </w:r>
      <w:r w:rsidRPr="009438AF" w:rsidR="006F4FF8">
        <w:t xml:space="preserve">kvinnor som inte riktigt är redo för födsel men ändå har åkt in till BB </w:t>
      </w:r>
      <w:r w:rsidRPr="009438AF">
        <w:t>före</w:t>
      </w:r>
      <w:r w:rsidR="0004399D">
        <w:softHyphen/>
      </w:r>
      <w:r w:rsidRPr="009438AF">
        <w:t>drar</w:t>
      </w:r>
      <w:r w:rsidRPr="009438AF" w:rsidR="006F4FF8">
        <w:t xml:space="preserve"> att</w:t>
      </w:r>
      <w:r w:rsidRPr="009438AF" w:rsidR="00DC1E83">
        <w:t xml:space="preserve"> komma hem för att ta det lugnt.</w:t>
      </w:r>
      <w:r w:rsidRPr="009438AF" w:rsidR="006F4FF8">
        <w:t xml:space="preserve"> </w:t>
      </w:r>
      <w:r w:rsidRPr="009438AF" w:rsidR="00DC1E83">
        <w:t>D</w:t>
      </w:r>
      <w:r w:rsidRPr="009438AF" w:rsidR="006F4FF8">
        <w:t xml:space="preserve">et gäller </w:t>
      </w:r>
      <w:r w:rsidRPr="009438AF" w:rsidR="00DC1E83">
        <w:t xml:space="preserve">dock </w:t>
      </w:r>
      <w:r w:rsidRPr="009438AF" w:rsidR="006F4FF8">
        <w:t xml:space="preserve">inte alla, särskilt inte vid en situation med täta värkar som man tycker gör fruktansvärt ont. Oro eller panik gör bara känslan värre och smärtan starkare, varför närheten till barnmorskor i sig kan underlätta hela processen. </w:t>
      </w:r>
    </w:p>
    <w:p w:rsidRPr="009438AF" w:rsidR="006F4FF8" w:rsidP="006F4FF8" w:rsidRDefault="006F4FF8" w14:paraId="2F7721BF" w14:textId="77777777">
      <w:r w:rsidRPr="009438AF">
        <w:t>Att bli hemskickad har tyvärr kommit att bli många gravida kvinnors vånda och oro</w:t>
      </w:r>
      <w:r w:rsidRPr="009438AF" w:rsidR="009B1733">
        <w:t>, ibland långt innan det faktiskt är dags att föda</w:t>
      </w:r>
      <w:r w:rsidRPr="009438AF">
        <w:t>. Mot bakgrund av de verkliga historier vi har läst är det inte konstigt</w:t>
      </w:r>
      <w:r w:rsidRPr="009438AF" w:rsidR="001257A5">
        <w:t xml:space="preserve"> att många känner den här typen av oro</w:t>
      </w:r>
      <w:r w:rsidRPr="009438AF">
        <w:t xml:space="preserve">, varför regeringen bör </w:t>
      </w:r>
      <w:r w:rsidRPr="009438AF">
        <w:lastRenderedPageBreak/>
        <w:t>återkomma med förslag som gör att fler kvinnor får chansen till en BB-vistelse inför en kommande förlossning, exempelvis genom patienthotell.</w:t>
      </w:r>
    </w:p>
    <w:p w:rsidRPr="0004399D" w:rsidR="006B2397" w:rsidP="0004399D" w:rsidRDefault="006B2397" w14:paraId="76A69063" w14:textId="77777777">
      <w:pPr>
        <w:pStyle w:val="Rubrik1"/>
      </w:pPr>
      <w:r w:rsidRPr="0004399D">
        <w:t>Kommittee i syfte att minska antalet förlossningsskador</w:t>
      </w:r>
      <w:r w:rsidRPr="0004399D" w:rsidR="006028C7">
        <w:t xml:space="preserve"> samt utökad statistik</w:t>
      </w:r>
    </w:p>
    <w:p w:rsidRPr="0004399D" w:rsidR="0069201F" w:rsidP="0004399D" w:rsidRDefault="006B2397" w14:paraId="6EFE25A4" w14:textId="6285C660">
      <w:pPr>
        <w:pStyle w:val="Normalutanindragellerluft"/>
      </w:pPr>
      <w:r w:rsidRPr="0004399D">
        <w:t>Sverige är idag ett av de länder i Europa med flest förlossningsskador</w:t>
      </w:r>
      <w:r w:rsidRPr="0004399D" w:rsidR="00EF2AF0">
        <w:t xml:space="preserve"> och bland de 115</w:t>
      </w:r>
      <w:r w:rsidRPr="0004399D" w:rsidR="00C35324">
        <w:t> </w:t>
      </w:r>
      <w:r w:rsidRPr="0004399D">
        <w:t>000</w:t>
      </w:r>
      <w:r w:rsidRPr="0004399D" w:rsidR="00C35324">
        <w:t>–</w:t>
      </w:r>
      <w:r w:rsidRPr="0004399D" w:rsidR="00EF2AF0">
        <w:t>120</w:t>
      </w:r>
      <w:r w:rsidRPr="0004399D" w:rsidR="00C35324">
        <w:t> </w:t>
      </w:r>
      <w:r w:rsidRPr="0004399D" w:rsidR="00EF2AF0">
        <w:t>000</w:t>
      </w:r>
      <w:r w:rsidRPr="0004399D">
        <w:t xml:space="preserve"> </w:t>
      </w:r>
      <w:r w:rsidRPr="0004399D" w:rsidR="00EF2AF0">
        <w:t xml:space="preserve">barn som föds </w:t>
      </w:r>
      <w:r w:rsidRPr="0004399D">
        <w:t>varje år i vårt land måste omkring fyra av fem först</w:t>
      </w:r>
      <w:r w:rsidR="0076051A">
        <w:softHyphen/>
      </w:r>
      <w:r w:rsidRPr="0004399D">
        <w:t xml:space="preserve">föderskor sys till följd av dessa. </w:t>
      </w:r>
      <w:r w:rsidRPr="0004399D" w:rsidR="00116F51">
        <w:t>För vissa kvinnor innebär skadan att de</w:t>
      </w:r>
      <w:r w:rsidRPr="0004399D" w:rsidR="00F41529">
        <w:t xml:space="preserve"> ald</w:t>
      </w:r>
      <w:r w:rsidRPr="0004399D" w:rsidR="00116F51">
        <w:t xml:space="preserve">rig kommer att återhämta sig igen och </w:t>
      </w:r>
      <w:r w:rsidRPr="0004399D" w:rsidR="000D3E6C">
        <w:t xml:space="preserve">därmed </w:t>
      </w:r>
      <w:r w:rsidRPr="0004399D" w:rsidR="00116F51">
        <w:t xml:space="preserve">får men för livet. </w:t>
      </w:r>
    </w:p>
    <w:p w:rsidRPr="009438AF" w:rsidR="0069201F" w:rsidP="006B2397" w:rsidRDefault="002363B3" w14:paraId="26F6F233" w14:textId="77777777">
      <w:r w:rsidRPr="009438AF">
        <w:t xml:space="preserve">Bristningarna delas in i fyra grader, där ett är lindrigast och fyra allvarligast. </w:t>
      </w:r>
      <w:r w:rsidRPr="009438AF" w:rsidR="0069201F">
        <w:t>Andel</w:t>
      </w:r>
      <w:r w:rsidRPr="009438AF" w:rsidR="00116F51">
        <w:t>en</w:t>
      </w:r>
      <w:r w:rsidRPr="009438AF" w:rsidR="0069201F">
        <w:t xml:space="preserve"> kvinnor som har fått tredje eller fjärde gradens bristning</w:t>
      </w:r>
      <w:r w:rsidRPr="009438AF" w:rsidR="00F41529">
        <w:t xml:space="preserve"> (sfinkterskador)</w:t>
      </w:r>
      <w:r w:rsidRPr="009438AF" w:rsidR="0069201F">
        <w:t xml:space="preserve"> vid vaginal icke instrumentell förlossning skiljer sig ordentligt åt beroende på landsting eller region, vilket är tydligt om man granskar siffror som publicerats av Sveriges Kommuner och Landsting (se nedan).</w:t>
      </w:r>
      <w:r w:rsidRPr="009438AF" w:rsidR="00F41529">
        <w:t xml:space="preserve"> </w:t>
      </w:r>
    </w:p>
    <w:p w:rsidRPr="0004399D" w:rsidR="0079649C" w:rsidP="0004399D" w:rsidRDefault="0079649C" w14:paraId="715340E3" w14:textId="0071C8B1">
      <w:pPr>
        <w:pStyle w:val="Tabellrubrik"/>
        <w:spacing w:after="120"/>
      </w:pPr>
      <w:r w:rsidRPr="0004399D">
        <w:t xml:space="preserve">Tabell över </w:t>
      </w:r>
      <w:r w:rsidRPr="0004399D" w:rsidR="0069201F">
        <w:t>a</w:t>
      </w:r>
      <w:r w:rsidRPr="0004399D" w:rsidR="005A4D85">
        <w:t xml:space="preserve">ndel bristningar av grad tre och fyra vid vaginal förlossning </w:t>
      </w:r>
      <w:r w:rsidR="00D107A5">
        <w:br/>
      </w:r>
      <w:r w:rsidRPr="0004399D" w:rsidR="005A4D85">
        <w:t>bland förstföderskor</w:t>
      </w:r>
      <w:r w:rsidRPr="0004399D" w:rsidR="0069201F">
        <w:t xml:space="preserve"> (år 2011</w:t>
      </w:r>
      <w:r w:rsidRPr="0004399D" w:rsidR="00C35324">
        <w:t>–</w:t>
      </w:r>
      <w:r w:rsidRPr="0004399D" w:rsidR="0069201F">
        <w:t>2016)</w:t>
      </w:r>
      <w:r w:rsidRPr="0004399D" w:rsidR="00C35324">
        <w:t xml:space="preserve"> –</w:t>
      </w:r>
      <w:r w:rsidRPr="0004399D" w:rsidR="005A4D85">
        <w:t xml:space="preserve"> </w:t>
      </w:r>
      <w:r w:rsidRPr="0004399D" w:rsidR="00C35324">
        <w:t>r</w:t>
      </w:r>
      <w:r w:rsidRPr="0004399D" w:rsidR="005A4D85">
        <w:t>ikssnittet ligger på 5,7 procent</w:t>
      </w:r>
    </w:p>
    <w:tbl>
      <w:tblPr>
        <w:tblStyle w:val="Tabellrutnt"/>
        <w:tblW w:w="6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3119"/>
        <w:gridCol w:w="3118"/>
      </w:tblGrid>
      <w:tr w:rsidRPr="009438AF" w:rsidR="00644624" w:rsidTr="00D107A5" w14:paraId="4311289A" w14:textId="77777777">
        <w:tc>
          <w:tcPr>
            <w:tcW w:w="4247" w:type="dxa"/>
            <w:tcBorders>
              <w:top w:val="single" w:color="auto" w:sz="4" w:space="0"/>
              <w:bottom w:val="single" w:color="auto" w:sz="4" w:space="0"/>
            </w:tcBorders>
          </w:tcPr>
          <w:p w:rsidRPr="00F91EE4" w:rsidR="00644624" w:rsidP="00F91EE4" w:rsidRDefault="0079649C" w14:paraId="21ED4B1D" w14:textId="2C6E56C0">
            <w:pPr>
              <w:spacing w:before="80" w:line="240" w:lineRule="exact"/>
              <w:ind w:firstLine="0"/>
              <w:rPr>
                <w:b/>
                <w:sz w:val="20"/>
                <w:szCs w:val="20"/>
              </w:rPr>
            </w:pPr>
            <w:r w:rsidRPr="00F91EE4">
              <w:rPr>
                <w:b/>
                <w:sz w:val="20"/>
                <w:szCs w:val="20"/>
              </w:rPr>
              <w:t>Region/</w:t>
            </w:r>
            <w:r w:rsidRPr="00F91EE4" w:rsidR="00C35324">
              <w:rPr>
                <w:b/>
                <w:sz w:val="20"/>
                <w:szCs w:val="20"/>
              </w:rPr>
              <w:t>l</w:t>
            </w:r>
            <w:r w:rsidRPr="00F91EE4">
              <w:rPr>
                <w:b/>
                <w:sz w:val="20"/>
                <w:szCs w:val="20"/>
              </w:rPr>
              <w:t>andsting</w:t>
            </w:r>
          </w:p>
        </w:tc>
        <w:tc>
          <w:tcPr>
            <w:tcW w:w="4247" w:type="dxa"/>
            <w:tcBorders>
              <w:top w:val="single" w:color="auto" w:sz="4" w:space="0"/>
              <w:bottom w:val="single" w:color="auto" w:sz="4" w:space="0"/>
            </w:tcBorders>
          </w:tcPr>
          <w:p w:rsidRPr="00F91EE4" w:rsidR="00644624" w:rsidP="00F91EE4" w:rsidRDefault="00644624" w14:paraId="27675ABF" w14:textId="77777777">
            <w:pPr>
              <w:spacing w:before="80" w:line="240" w:lineRule="exact"/>
              <w:ind w:firstLine="0"/>
              <w:jc w:val="right"/>
              <w:rPr>
                <w:b/>
                <w:sz w:val="20"/>
                <w:szCs w:val="20"/>
              </w:rPr>
            </w:pPr>
          </w:p>
        </w:tc>
      </w:tr>
      <w:tr w:rsidRPr="009438AF" w:rsidR="00644624" w:rsidTr="00D107A5" w14:paraId="74A76CA2" w14:textId="77777777">
        <w:tc>
          <w:tcPr>
            <w:tcW w:w="4247" w:type="dxa"/>
            <w:tcBorders>
              <w:top w:val="single" w:color="auto" w:sz="4" w:space="0"/>
            </w:tcBorders>
          </w:tcPr>
          <w:p w:rsidRPr="00F91EE4" w:rsidR="00644624" w:rsidP="00F91EE4" w:rsidRDefault="00644624" w14:paraId="044F8646" w14:textId="77777777">
            <w:pPr>
              <w:spacing w:before="80" w:line="240" w:lineRule="exact"/>
              <w:ind w:firstLine="0"/>
              <w:rPr>
                <w:sz w:val="20"/>
                <w:szCs w:val="20"/>
              </w:rPr>
            </w:pPr>
            <w:r w:rsidRPr="00F91EE4">
              <w:rPr>
                <w:sz w:val="20"/>
                <w:szCs w:val="20"/>
              </w:rPr>
              <w:t>Stockholm</w:t>
            </w:r>
          </w:p>
        </w:tc>
        <w:tc>
          <w:tcPr>
            <w:tcW w:w="4247" w:type="dxa"/>
            <w:tcBorders>
              <w:top w:val="single" w:color="auto" w:sz="4" w:space="0"/>
            </w:tcBorders>
          </w:tcPr>
          <w:p w:rsidRPr="00F91EE4" w:rsidR="00644624" w:rsidP="00F91EE4" w:rsidRDefault="0079649C" w14:paraId="79DED53D" w14:textId="101897B2">
            <w:pPr>
              <w:spacing w:before="80" w:line="240" w:lineRule="exact"/>
              <w:ind w:firstLine="0"/>
              <w:jc w:val="right"/>
              <w:rPr>
                <w:sz w:val="20"/>
                <w:szCs w:val="20"/>
              </w:rPr>
            </w:pPr>
            <w:r w:rsidRPr="00F91EE4">
              <w:rPr>
                <w:sz w:val="20"/>
                <w:szCs w:val="20"/>
              </w:rPr>
              <w:t>7,1</w:t>
            </w:r>
            <w:r w:rsidRPr="00F91EE4" w:rsidR="00C35324">
              <w:rPr>
                <w:sz w:val="20"/>
                <w:szCs w:val="20"/>
              </w:rPr>
              <w:t> </w:t>
            </w:r>
            <w:r w:rsidRPr="00F91EE4" w:rsidR="00644624">
              <w:rPr>
                <w:sz w:val="20"/>
                <w:szCs w:val="20"/>
              </w:rPr>
              <w:t>%</w:t>
            </w:r>
          </w:p>
        </w:tc>
      </w:tr>
      <w:tr w:rsidRPr="009438AF" w:rsidR="00644624" w:rsidTr="00D107A5" w14:paraId="73346543" w14:textId="77777777">
        <w:tc>
          <w:tcPr>
            <w:tcW w:w="4247" w:type="dxa"/>
          </w:tcPr>
          <w:p w:rsidRPr="00F91EE4" w:rsidR="00644624" w:rsidP="00F91EE4" w:rsidRDefault="00644624" w14:paraId="55FF7D35" w14:textId="77777777">
            <w:pPr>
              <w:spacing w:before="80" w:line="240" w:lineRule="exact"/>
              <w:ind w:firstLine="0"/>
              <w:rPr>
                <w:sz w:val="20"/>
                <w:szCs w:val="20"/>
              </w:rPr>
            </w:pPr>
            <w:r w:rsidRPr="00F91EE4">
              <w:rPr>
                <w:sz w:val="20"/>
                <w:szCs w:val="20"/>
              </w:rPr>
              <w:t>Kalmar</w:t>
            </w:r>
          </w:p>
        </w:tc>
        <w:tc>
          <w:tcPr>
            <w:tcW w:w="4247" w:type="dxa"/>
          </w:tcPr>
          <w:p w:rsidRPr="00F91EE4" w:rsidR="00644624" w:rsidP="00F91EE4" w:rsidRDefault="0079649C" w14:paraId="45734BEC" w14:textId="1A8031DA">
            <w:pPr>
              <w:spacing w:before="80" w:line="240" w:lineRule="exact"/>
              <w:ind w:firstLine="0"/>
              <w:jc w:val="right"/>
              <w:rPr>
                <w:sz w:val="20"/>
                <w:szCs w:val="20"/>
              </w:rPr>
            </w:pPr>
            <w:r w:rsidRPr="00F91EE4">
              <w:rPr>
                <w:sz w:val="20"/>
                <w:szCs w:val="20"/>
              </w:rPr>
              <w:t>6,8</w:t>
            </w:r>
            <w:r w:rsidRPr="00F91EE4" w:rsidR="00C35324">
              <w:rPr>
                <w:sz w:val="20"/>
                <w:szCs w:val="20"/>
              </w:rPr>
              <w:t> </w:t>
            </w:r>
            <w:r w:rsidRPr="00F91EE4" w:rsidR="00644624">
              <w:rPr>
                <w:sz w:val="20"/>
                <w:szCs w:val="20"/>
              </w:rPr>
              <w:t>%</w:t>
            </w:r>
          </w:p>
        </w:tc>
      </w:tr>
      <w:tr w:rsidRPr="009438AF" w:rsidR="00644624" w:rsidTr="00D107A5" w14:paraId="3825E581" w14:textId="77777777">
        <w:tc>
          <w:tcPr>
            <w:tcW w:w="4247" w:type="dxa"/>
          </w:tcPr>
          <w:p w:rsidRPr="00F91EE4" w:rsidR="00644624" w:rsidP="00F91EE4" w:rsidRDefault="00644624" w14:paraId="3C1DB4F3" w14:textId="77777777">
            <w:pPr>
              <w:spacing w:before="80" w:line="240" w:lineRule="exact"/>
              <w:ind w:firstLine="0"/>
              <w:rPr>
                <w:sz w:val="20"/>
                <w:szCs w:val="20"/>
              </w:rPr>
            </w:pPr>
            <w:r w:rsidRPr="00F91EE4">
              <w:rPr>
                <w:sz w:val="20"/>
                <w:szCs w:val="20"/>
              </w:rPr>
              <w:t>Västerbotten</w:t>
            </w:r>
          </w:p>
        </w:tc>
        <w:tc>
          <w:tcPr>
            <w:tcW w:w="4247" w:type="dxa"/>
          </w:tcPr>
          <w:p w:rsidRPr="00F91EE4" w:rsidR="00644624" w:rsidP="00F91EE4" w:rsidRDefault="0079649C" w14:paraId="5AB3A09F" w14:textId="430535C9">
            <w:pPr>
              <w:spacing w:before="80" w:line="240" w:lineRule="exact"/>
              <w:ind w:firstLine="0"/>
              <w:jc w:val="right"/>
              <w:rPr>
                <w:sz w:val="20"/>
                <w:szCs w:val="20"/>
              </w:rPr>
            </w:pPr>
            <w:r w:rsidRPr="00F91EE4">
              <w:rPr>
                <w:sz w:val="20"/>
                <w:szCs w:val="20"/>
              </w:rPr>
              <w:t>6,4</w:t>
            </w:r>
            <w:r w:rsidRPr="00F91EE4" w:rsidR="00C35324">
              <w:rPr>
                <w:sz w:val="20"/>
                <w:szCs w:val="20"/>
              </w:rPr>
              <w:t> </w:t>
            </w:r>
            <w:r w:rsidRPr="00F91EE4" w:rsidR="00644624">
              <w:rPr>
                <w:sz w:val="20"/>
                <w:szCs w:val="20"/>
              </w:rPr>
              <w:t>%</w:t>
            </w:r>
          </w:p>
        </w:tc>
      </w:tr>
      <w:tr w:rsidRPr="009438AF" w:rsidR="00644624" w:rsidTr="00D107A5" w14:paraId="4190804A" w14:textId="77777777">
        <w:tc>
          <w:tcPr>
            <w:tcW w:w="4247" w:type="dxa"/>
          </w:tcPr>
          <w:p w:rsidRPr="00F91EE4" w:rsidR="00644624" w:rsidP="00F91EE4" w:rsidRDefault="00644624" w14:paraId="20E2555D" w14:textId="77777777">
            <w:pPr>
              <w:spacing w:before="80" w:line="240" w:lineRule="exact"/>
              <w:ind w:firstLine="0"/>
              <w:rPr>
                <w:sz w:val="20"/>
                <w:szCs w:val="20"/>
              </w:rPr>
            </w:pPr>
            <w:r w:rsidRPr="00F91EE4">
              <w:rPr>
                <w:sz w:val="20"/>
                <w:szCs w:val="20"/>
              </w:rPr>
              <w:t>Jämtland Härjedalen</w:t>
            </w:r>
          </w:p>
        </w:tc>
        <w:tc>
          <w:tcPr>
            <w:tcW w:w="4247" w:type="dxa"/>
          </w:tcPr>
          <w:p w:rsidRPr="00F91EE4" w:rsidR="00644624" w:rsidP="00F91EE4" w:rsidRDefault="00644624" w14:paraId="25F19FE9" w14:textId="39ED45B3">
            <w:pPr>
              <w:spacing w:before="80" w:line="240" w:lineRule="exact"/>
              <w:ind w:firstLine="0"/>
              <w:jc w:val="right"/>
              <w:rPr>
                <w:sz w:val="20"/>
                <w:szCs w:val="20"/>
              </w:rPr>
            </w:pPr>
            <w:r w:rsidRPr="00F91EE4">
              <w:rPr>
                <w:sz w:val="20"/>
                <w:szCs w:val="20"/>
              </w:rPr>
              <w:t>6,2</w:t>
            </w:r>
            <w:r w:rsidRPr="00F91EE4" w:rsidR="00C35324">
              <w:rPr>
                <w:sz w:val="20"/>
                <w:szCs w:val="20"/>
              </w:rPr>
              <w:t> </w:t>
            </w:r>
            <w:r w:rsidRPr="00F91EE4">
              <w:rPr>
                <w:sz w:val="20"/>
                <w:szCs w:val="20"/>
              </w:rPr>
              <w:t>%</w:t>
            </w:r>
          </w:p>
        </w:tc>
      </w:tr>
      <w:tr w:rsidRPr="009438AF" w:rsidR="00644624" w:rsidTr="00D107A5" w14:paraId="466EAD8E" w14:textId="77777777">
        <w:tc>
          <w:tcPr>
            <w:tcW w:w="4247" w:type="dxa"/>
          </w:tcPr>
          <w:p w:rsidRPr="00F91EE4" w:rsidR="00644624" w:rsidP="00F91EE4" w:rsidRDefault="00644624" w14:paraId="5F967E22" w14:textId="77777777">
            <w:pPr>
              <w:spacing w:before="80" w:line="240" w:lineRule="exact"/>
              <w:ind w:firstLine="0"/>
              <w:rPr>
                <w:sz w:val="20"/>
                <w:szCs w:val="20"/>
              </w:rPr>
            </w:pPr>
            <w:r w:rsidRPr="00F91EE4">
              <w:rPr>
                <w:sz w:val="20"/>
                <w:szCs w:val="20"/>
              </w:rPr>
              <w:t>Gotland</w:t>
            </w:r>
          </w:p>
        </w:tc>
        <w:tc>
          <w:tcPr>
            <w:tcW w:w="4247" w:type="dxa"/>
          </w:tcPr>
          <w:p w:rsidRPr="00F91EE4" w:rsidR="00644624" w:rsidP="00F91EE4" w:rsidRDefault="0079649C" w14:paraId="2B71C3BB" w14:textId="5E97AA29">
            <w:pPr>
              <w:spacing w:before="80" w:line="240" w:lineRule="exact"/>
              <w:ind w:firstLine="0"/>
              <w:jc w:val="right"/>
              <w:rPr>
                <w:sz w:val="20"/>
                <w:szCs w:val="20"/>
              </w:rPr>
            </w:pPr>
            <w:r w:rsidRPr="00F91EE4">
              <w:rPr>
                <w:sz w:val="20"/>
                <w:szCs w:val="20"/>
              </w:rPr>
              <w:t>6,2</w:t>
            </w:r>
            <w:r w:rsidRPr="00F91EE4" w:rsidR="00C35324">
              <w:rPr>
                <w:sz w:val="20"/>
                <w:szCs w:val="20"/>
              </w:rPr>
              <w:t> </w:t>
            </w:r>
            <w:r w:rsidRPr="00F91EE4" w:rsidR="00644624">
              <w:rPr>
                <w:sz w:val="20"/>
                <w:szCs w:val="20"/>
              </w:rPr>
              <w:t>%</w:t>
            </w:r>
          </w:p>
        </w:tc>
      </w:tr>
      <w:tr w:rsidRPr="009438AF" w:rsidR="00644624" w:rsidTr="00D107A5" w14:paraId="0CA8F488" w14:textId="77777777">
        <w:tc>
          <w:tcPr>
            <w:tcW w:w="4247" w:type="dxa"/>
          </w:tcPr>
          <w:p w:rsidRPr="00F91EE4" w:rsidR="00644624" w:rsidP="00F91EE4" w:rsidRDefault="00644624" w14:paraId="1F050B83" w14:textId="77777777">
            <w:pPr>
              <w:spacing w:before="80" w:line="240" w:lineRule="exact"/>
              <w:ind w:firstLine="0"/>
              <w:rPr>
                <w:sz w:val="20"/>
                <w:szCs w:val="20"/>
              </w:rPr>
            </w:pPr>
            <w:r w:rsidRPr="00F91EE4">
              <w:rPr>
                <w:sz w:val="20"/>
                <w:szCs w:val="20"/>
              </w:rPr>
              <w:t>Skåne</w:t>
            </w:r>
          </w:p>
        </w:tc>
        <w:tc>
          <w:tcPr>
            <w:tcW w:w="4247" w:type="dxa"/>
          </w:tcPr>
          <w:p w:rsidRPr="00F91EE4" w:rsidR="00644624" w:rsidP="00F91EE4" w:rsidRDefault="00644624" w14:paraId="1F975BC9" w14:textId="7B67C154">
            <w:pPr>
              <w:spacing w:before="80" w:line="240" w:lineRule="exact"/>
              <w:ind w:firstLine="0"/>
              <w:jc w:val="right"/>
              <w:rPr>
                <w:sz w:val="20"/>
                <w:szCs w:val="20"/>
              </w:rPr>
            </w:pPr>
            <w:r w:rsidRPr="00F91EE4">
              <w:rPr>
                <w:sz w:val="20"/>
                <w:szCs w:val="20"/>
              </w:rPr>
              <w:t>6</w:t>
            </w:r>
            <w:r w:rsidRPr="00F91EE4" w:rsidR="0079649C">
              <w:rPr>
                <w:sz w:val="20"/>
                <w:szCs w:val="20"/>
              </w:rPr>
              <w:t>,1</w:t>
            </w:r>
            <w:r w:rsidRPr="00F91EE4" w:rsidR="00C35324">
              <w:rPr>
                <w:sz w:val="20"/>
                <w:szCs w:val="20"/>
              </w:rPr>
              <w:t> </w:t>
            </w:r>
            <w:r w:rsidRPr="00F91EE4">
              <w:rPr>
                <w:sz w:val="20"/>
                <w:szCs w:val="20"/>
              </w:rPr>
              <w:t>%</w:t>
            </w:r>
          </w:p>
        </w:tc>
      </w:tr>
      <w:tr w:rsidRPr="009438AF" w:rsidR="00644624" w:rsidTr="00D107A5" w14:paraId="1B096E96" w14:textId="77777777">
        <w:tc>
          <w:tcPr>
            <w:tcW w:w="4247" w:type="dxa"/>
          </w:tcPr>
          <w:p w:rsidRPr="00F91EE4" w:rsidR="00644624" w:rsidP="00F91EE4" w:rsidRDefault="00644624" w14:paraId="48B9B5F6" w14:textId="77777777">
            <w:pPr>
              <w:spacing w:before="80" w:line="240" w:lineRule="exact"/>
              <w:ind w:firstLine="0"/>
              <w:rPr>
                <w:sz w:val="20"/>
                <w:szCs w:val="20"/>
              </w:rPr>
            </w:pPr>
            <w:r w:rsidRPr="00F91EE4">
              <w:rPr>
                <w:sz w:val="20"/>
                <w:szCs w:val="20"/>
              </w:rPr>
              <w:t>Dalarna</w:t>
            </w:r>
          </w:p>
        </w:tc>
        <w:tc>
          <w:tcPr>
            <w:tcW w:w="4247" w:type="dxa"/>
          </w:tcPr>
          <w:p w:rsidRPr="00F91EE4" w:rsidR="00644624" w:rsidP="00F91EE4" w:rsidRDefault="0079649C" w14:paraId="17866CD2" w14:textId="5D214A94">
            <w:pPr>
              <w:spacing w:before="80" w:line="240" w:lineRule="exact"/>
              <w:ind w:firstLine="0"/>
              <w:jc w:val="right"/>
              <w:rPr>
                <w:sz w:val="20"/>
                <w:szCs w:val="20"/>
              </w:rPr>
            </w:pPr>
            <w:r w:rsidRPr="00F91EE4">
              <w:rPr>
                <w:sz w:val="20"/>
                <w:szCs w:val="20"/>
              </w:rPr>
              <w:t>6</w:t>
            </w:r>
            <w:r w:rsidRPr="00F91EE4" w:rsidR="00C35324">
              <w:rPr>
                <w:sz w:val="20"/>
                <w:szCs w:val="20"/>
              </w:rPr>
              <w:t> </w:t>
            </w:r>
            <w:r w:rsidRPr="00F91EE4" w:rsidR="00644624">
              <w:rPr>
                <w:sz w:val="20"/>
                <w:szCs w:val="20"/>
              </w:rPr>
              <w:t>%</w:t>
            </w:r>
          </w:p>
        </w:tc>
      </w:tr>
      <w:tr w:rsidRPr="009438AF" w:rsidR="00644624" w:rsidTr="00D107A5" w14:paraId="1919E4E2" w14:textId="77777777">
        <w:tc>
          <w:tcPr>
            <w:tcW w:w="4247" w:type="dxa"/>
          </w:tcPr>
          <w:p w:rsidRPr="00F91EE4" w:rsidR="00644624" w:rsidP="00F91EE4" w:rsidRDefault="00644624" w14:paraId="53E4301B" w14:textId="77777777">
            <w:pPr>
              <w:spacing w:before="80" w:line="240" w:lineRule="exact"/>
              <w:ind w:firstLine="0"/>
              <w:rPr>
                <w:sz w:val="20"/>
                <w:szCs w:val="20"/>
              </w:rPr>
            </w:pPr>
            <w:r w:rsidRPr="00F91EE4">
              <w:rPr>
                <w:sz w:val="20"/>
                <w:szCs w:val="20"/>
              </w:rPr>
              <w:t>Sörmland</w:t>
            </w:r>
          </w:p>
        </w:tc>
        <w:tc>
          <w:tcPr>
            <w:tcW w:w="4247" w:type="dxa"/>
          </w:tcPr>
          <w:p w:rsidRPr="00F91EE4" w:rsidR="00644624" w:rsidP="00F91EE4" w:rsidRDefault="0079649C" w14:paraId="74165DD0" w14:textId="6136EE06">
            <w:pPr>
              <w:spacing w:before="80" w:line="240" w:lineRule="exact"/>
              <w:ind w:firstLine="0"/>
              <w:jc w:val="right"/>
              <w:rPr>
                <w:sz w:val="20"/>
                <w:szCs w:val="20"/>
              </w:rPr>
            </w:pPr>
            <w:r w:rsidRPr="00F91EE4">
              <w:rPr>
                <w:sz w:val="20"/>
                <w:szCs w:val="20"/>
              </w:rPr>
              <w:t>5,8</w:t>
            </w:r>
            <w:r w:rsidRPr="00F91EE4" w:rsidR="00C35324">
              <w:rPr>
                <w:sz w:val="20"/>
                <w:szCs w:val="20"/>
              </w:rPr>
              <w:t> </w:t>
            </w:r>
            <w:r w:rsidRPr="00F91EE4" w:rsidR="00644624">
              <w:rPr>
                <w:sz w:val="20"/>
                <w:szCs w:val="20"/>
              </w:rPr>
              <w:t>%</w:t>
            </w:r>
          </w:p>
        </w:tc>
      </w:tr>
      <w:tr w:rsidRPr="009438AF" w:rsidR="00644624" w:rsidTr="00D107A5" w14:paraId="3B882255" w14:textId="77777777">
        <w:tc>
          <w:tcPr>
            <w:tcW w:w="4247" w:type="dxa"/>
          </w:tcPr>
          <w:p w:rsidRPr="00F91EE4" w:rsidR="00644624" w:rsidP="00F91EE4" w:rsidRDefault="00644624" w14:paraId="116E705F" w14:textId="77777777">
            <w:pPr>
              <w:spacing w:before="80" w:line="240" w:lineRule="exact"/>
              <w:ind w:firstLine="0"/>
              <w:rPr>
                <w:sz w:val="20"/>
                <w:szCs w:val="20"/>
              </w:rPr>
            </w:pPr>
            <w:r w:rsidRPr="00F91EE4">
              <w:rPr>
                <w:sz w:val="20"/>
                <w:szCs w:val="20"/>
              </w:rPr>
              <w:t>Gävleborg</w:t>
            </w:r>
          </w:p>
        </w:tc>
        <w:tc>
          <w:tcPr>
            <w:tcW w:w="4247" w:type="dxa"/>
          </w:tcPr>
          <w:p w:rsidRPr="00F91EE4" w:rsidR="00644624" w:rsidP="00F91EE4" w:rsidRDefault="00644624" w14:paraId="54D99DD0" w14:textId="1356495A">
            <w:pPr>
              <w:spacing w:before="80" w:line="240" w:lineRule="exact"/>
              <w:ind w:firstLine="0"/>
              <w:jc w:val="right"/>
              <w:rPr>
                <w:sz w:val="20"/>
                <w:szCs w:val="20"/>
              </w:rPr>
            </w:pPr>
            <w:r w:rsidRPr="00F91EE4">
              <w:rPr>
                <w:sz w:val="20"/>
                <w:szCs w:val="20"/>
              </w:rPr>
              <w:t>5,7</w:t>
            </w:r>
            <w:r w:rsidRPr="00F91EE4" w:rsidR="00C35324">
              <w:rPr>
                <w:sz w:val="20"/>
                <w:szCs w:val="20"/>
              </w:rPr>
              <w:t> </w:t>
            </w:r>
            <w:r w:rsidRPr="00F91EE4">
              <w:rPr>
                <w:sz w:val="20"/>
                <w:szCs w:val="20"/>
              </w:rPr>
              <w:t>%</w:t>
            </w:r>
          </w:p>
        </w:tc>
      </w:tr>
      <w:tr w:rsidRPr="009438AF" w:rsidR="00644624" w:rsidTr="00D107A5" w14:paraId="6B46519F" w14:textId="77777777">
        <w:tc>
          <w:tcPr>
            <w:tcW w:w="4247" w:type="dxa"/>
          </w:tcPr>
          <w:p w:rsidRPr="00F91EE4" w:rsidR="00644624" w:rsidP="00F91EE4" w:rsidRDefault="00644624" w14:paraId="7099F4B0" w14:textId="77777777">
            <w:pPr>
              <w:spacing w:before="80" w:line="240" w:lineRule="exact"/>
              <w:ind w:firstLine="0"/>
              <w:rPr>
                <w:sz w:val="20"/>
                <w:szCs w:val="20"/>
              </w:rPr>
            </w:pPr>
            <w:r w:rsidRPr="00F91EE4">
              <w:rPr>
                <w:sz w:val="20"/>
                <w:szCs w:val="20"/>
              </w:rPr>
              <w:t>Uppsala</w:t>
            </w:r>
          </w:p>
        </w:tc>
        <w:tc>
          <w:tcPr>
            <w:tcW w:w="4247" w:type="dxa"/>
          </w:tcPr>
          <w:p w:rsidRPr="00F91EE4" w:rsidR="00644624" w:rsidP="00F91EE4" w:rsidRDefault="00644624" w14:paraId="5D4CEDA9" w14:textId="7048CE1F">
            <w:pPr>
              <w:spacing w:before="80" w:line="240" w:lineRule="exact"/>
              <w:ind w:firstLine="0"/>
              <w:jc w:val="right"/>
              <w:rPr>
                <w:sz w:val="20"/>
                <w:szCs w:val="20"/>
              </w:rPr>
            </w:pPr>
            <w:r w:rsidRPr="00F91EE4">
              <w:rPr>
                <w:sz w:val="20"/>
                <w:szCs w:val="20"/>
              </w:rPr>
              <w:t>5,6</w:t>
            </w:r>
            <w:r w:rsidRPr="00F91EE4" w:rsidR="00C35324">
              <w:rPr>
                <w:sz w:val="20"/>
                <w:szCs w:val="20"/>
              </w:rPr>
              <w:t> </w:t>
            </w:r>
            <w:r w:rsidRPr="00F91EE4">
              <w:rPr>
                <w:sz w:val="20"/>
                <w:szCs w:val="20"/>
              </w:rPr>
              <w:t>%</w:t>
            </w:r>
          </w:p>
        </w:tc>
      </w:tr>
      <w:tr w:rsidRPr="009438AF" w:rsidR="00644624" w:rsidTr="00D107A5" w14:paraId="7E34D955" w14:textId="77777777">
        <w:tc>
          <w:tcPr>
            <w:tcW w:w="4247" w:type="dxa"/>
          </w:tcPr>
          <w:p w:rsidRPr="00F91EE4" w:rsidR="00644624" w:rsidP="00F91EE4" w:rsidRDefault="00644624" w14:paraId="03B629D1" w14:textId="77777777">
            <w:pPr>
              <w:spacing w:before="80" w:line="240" w:lineRule="exact"/>
              <w:ind w:firstLine="0"/>
              <w:rPr>
                <w:sz w:val="20"/>
                <w:szCs w:val="20"/>
              </w:rPr>
            </w:pPr>
            <w:r w:rsidRPr="00F91EE4">
              <w:rPr>
                <w:sz w:val="20"/>
                <w:szCs w:val="20"/>
              </w:rPr>
              <w:t>Östergötland</w:t>
            </w:r>
          </w:p>
        </w:tc>
        <w:tc>
          <w:tcPr>
            <w:tcW w:w="4247" w:type="dxa"/>
          </w:tcPr>
          <w:p w:rsidRPr="00F91EE4" w:rsidR="00644624" w:rsidP="00F91EE4" w:rsidRDefault="00644624" w14:paraId="7E6EDD83" w14:textId="34185F97">
            <w:pPr>
              <w:spacing w:before="80" w:line="240" w:lineRule="exact"/>
              <w:ind w:firstLine="0"/>
              <w:jc w:val="right"/>
              <w:rPr>
                <w:sz w:val="20"/>
                <w:szCs w:val="20"/>
              </w:rPr>
            </w:pPr>
            <w:r w:rsidRPr="00F91EE4">
              <w:rPr>
                <w:sz w:val="20"/>
                <w:szCs w:val="20"/>
              </w:rPr>
              <w:t>5,4</w:t>
            </w:r>
            <w:r w:rsidRPr="00F91EE4" w:rsidR="00C35324">
              <w:rPr>
                <w:sz w:val="20"/>
                <w:szCs w:val="20"/>
              </w:rPr>
              <w:t> </w:t>
            </w:r>
            <w:r w:rsidRPr="00F91EE4">
              <w:rPr>
                <w:sz w:val="20"/>
                <w:szCs w:val="20"/>
              </w:rPr>
              <w:t>%</w:t>
            </w:r>
          </w:p>
        </w:tc>
      </w:tr>
      <w:tr w:rsidRPr="009438AF" w:rsidR="00644624" w:rsidTr="00D107A5" w14:paraId="0A101DFA" w14:textId="77777777">
        <w:tc>
          <w:tcPr>
            <w:tcW w:w="4247" w:type="dxa"/>
          </w:tcPr>
          <w:p w:rsidRPr="00F91EE4" w:rsidR="00644624" w:rsidP="00F91EE4" w:rsidRDefault="00644624" w14:paraId="4C827DB3" w14:textId="77777777">
            <w:pPr>
              <w:spacing w:before="80" w:line="240" w:lineRule="exact"/>
              <w:ind w:firstLine="0"/>
              <w:rPr>
                <w:sz w:val="20"/>
                <w:szCs w:val="20"/>
              </w:rPr>
            </w:pPr>
            <w:r w:rsidRPr="00F91EE4">
              <w:rPr>
                <w:sz w:val="20"/>
                <w:szCs w:val="20"/>
              </w:rPr>
              <w:t>Västmanland</w:t>
            </w:r>
          </w:p>
        </w:tc>
        <w:tc>
          <w:tcPr>
            <w:tcW w:w="4247" w:type="dxa"/>
          </w:tcPr>
          <w:p w:rsidRPr="00F91EE4" w:rsidR="00644624" w:rsidP="00F91EE4" w:rsidRDefault="00644624" w14:paraId="451D248D" w14:textId="26180617">
            <w:pPr>
              <w:spacing w:before="80" w:line="240" w:lineRule="exact"/>
              <w:ind w:firstLine="0"/>
              <w:jc w:val="right"/>
              <w:rPr>
                <w:sz w:val="20"/>
                <w:szCs w:val="20"/>
              </w:rPr>
            </w:pPr>
            <w:r w:rsidRPr="00F91EE4">
              <w:rPr>
                <w:sz w:val="20"/>
                <w:szCs w:val="20"/>
              </w:rPr>
              <w:t>5,4</w:t>
            </w:r>
            <w:r w:rsidRPr="00F91EE4" w:rsidR="00C35324">
              <w:rPr>
                <w:sz w:val="20"/>
                <w:szCs w:val="20"/>
              </w:rPr>
              <w:t> </w:t>
            </w:r>
            <w:r w:rsidRPr="00F91EE4">
              <w:rPr>
                <w:sz w:val="20"/>
                <w:szCs w:val="20"/>
              </w:rPr>
              <w:t>%</w:t>
            </w:r>
          </w:p>
        </w:tc>
      </w:tr>
      <w:tr w:rsidRPr="009438AF" w:rsidR="00644624" w:rsidTr="00D107A5" w14:paraId="4EC45F43" w14:textId="77777777">
        <w:tc>
          <w:tcPr>
            <w:tcW w:w="4247" w:type="dxa"/>
          </w:tcPr>
          <w:p w:rsidRPr="00F91EE4" w:rsidR="00644624" w:rsidP="00F91EE4" w:rsidRDefault="00644624" w14:paraId="275AB0C0" w14:textId="77777777">
            <w:pPr>
              <w:spacing w:before="80" w:line="240" w:lineRule="exact"/>
              <w:ind w:firstLine="0"/>
              <w:rPr>
                <w:sz w:val="20"/>
                <w:szCs w:val="20"/>
              </w:rPr>
            </w:pPr>
            <w:r w:rsidRPr="00F91EE4">
              <w:rPr>
                <w:sz w:val="20"/>
                <w:szCs w:val="20"/>
              </w:rPr>
              <w:t>Örebro</w:t>
            </w:r>
          </w:p>
        </w:tc>
        <w:tc>
          <w:tcPr>
            <w:tcW w:w="4247" w:type="dxa"/>
          </w:tcPr>
          <w:p w:rsidRPr="00F91EE4" w:rsidR="00644624" w:rsidP="00F91EE4" w:rsidRDefault="00644624" w14:paraId="5D3B80AD" w14:textId="02AE58DB">
            <w:pPr>
              <w:spacing w:before="80" w:line="240" w:lineRule="exact"/>
              <w:ind w:firstLine="0"/>
              <w:jc w:val="right"/>
              <w:rPr>
                <w:sz w:val="20"/>
                <w:szCs w:val="20"/>
              </w:rPr>
            </w:pPr>
            <w:r w:rsidRPr="00F91EE4">
              <w:rPr>
                <w:sz w:val="20"/>
                <w:szCs w:val="20"/>
              </w:rPr>
              <w:t>5,3</w:t>
            </w:r>
            <w:r w:rsidRPr="00F91EE4" w:rsidR="00C35324">
              <w:rPr>
                <w:sz w:val="20"/>
                <w:szCs w:val="20"/>
              </w:rPr>
              <w:t> </w:t>
            </w:r>
            <w:r w:rsidRPr="00F91EE4">
              <w:rPr>
                <w:sz w:val="20"/>
                <w:szCs w:val="20"/>
              </w:rPr>
              <w:t>%</w:t>
            </w:r>
          </w:p>
        </w:tc>
      </w:tr>
      <w:tr w:rsidRPr="009438AF" w:rsidR="00644624" w:rsidTr="00D107A5" w14:paraId="7412DF8B" w14:textId="77777777">
        <w:tc>
          <w:tcPr>
            <w:tcW w:w="4247" w:type="dxa"/>
          </w:tcPr>
          <w:p w:rsidRPr="00F91EE4" w:rsidR="00644624" w:rsidP="00F91EE4" w:rsidRDefault="00644624" w14:paraId="5E877530" w14:textId="77777777">
            <w:pPr>
              <w:spacing w:before="80" w:line="240" w:lineRule="exact"/>
              <w:ind w:firstLine="0"/>
              <w:rPr>
                <w:sz w:val="20"/>
                <w:szCs w:val="20"/>
              </w:rPr>
            </w:pPr>
            <w:r w:rsidRPr="00F91EE4">
              <w:rPr>
                <w:sz w:val="20"/>
                <w:szCs w:val="20"/>
              </w:rPr>
              <w:t>Västernorrland</w:t>
            </w:r>
          </w:p>
        </w:tc>
        <w:tc>
          <w:tcPr>
            <w:tcW w:w="4247" w:type="dxa"/>
          </w:tcPr>
          <w:p w:rsidRPr="00F91EE4" w:rsidR="00644624" w:rsidP="00F91EE4" w:rsidRDefault="00644624" w14:paraId="0DA7A934" w14:textId="75937B62">
            <w:pPr>
              <w:spacing w:before="80" w:line="240" w:lineRule="exact"/>
              <w:ind w:firstLine="0"/>
              <w:jc w:val="right"/>
              <w:rPr>
                <w:sz w:val="20"/>
                <w:szCs w:val="20"/>
              </w:rPr>
            </w:pPr>
            <w:r w:rsidRPr="00F91EE4">
              <w:rPr>
                <w:sz w:val="20"/>
                <w:szCs w:val="20"/>
              </w:rPr>
              <w:t>5,3</w:t>
            </w:r>
            <w:r w:rsidRPr="00F91EE4" w:rsidR="00C35324">
              <w:rPr>
                <w:sz w:val="20"/>
                <w:szCs w:val="20"/>
              </w:rPr>
              <w:t> </w:t>
            </w:r>
            <w:r w:rsidRPr="00F91EE4">
              <w:rPr>
                <w:sz w:val="20"/>
                <w:szCs w:val="20"/>
              </w:rPr>
              <w:t>%</w:t>
            </w:r>
          </w:p>
        </w:tc>
      </w:tr>
      <w:tr w:rsidRPr="009438AF" w:rsidR="00644624" w:rsidTr="00D107A5" w14:paraId="027601F8" w14:textId="77777777">
        <w:tc>
          <w:tcPr>
            <w:tcW w:w="4247" w:type="dxa"/>
          </w:tcPr>
          <w:p w:rsidRPr="00F91EE4" w:rsidR="00644624" w:rsidP="00F91EE4" w:rsidRDefault="00644624" w14:paraId="1316C56B" w14:textId="77777777">
            <w:pPr>
              <w:spacing w:before="80" w:line="240" w:lineRule="exact"/>
              <w:ind w:firstLine="0"/>
              <w:rPr>
                <w:sz w:val="20"/>
                <w:szCs w:val="20"/>
              </w:rPr>
            </w:pPr>
            <w:r w:rsidRPr="00F91EE4">
              <w:rPr>
                <w:sz w:val="20"/>
                <w:szCs w:val="20"/>
              </w:rPr>
              <w:t>Kronoberg</w:t>
            </w:r>
          </w:p>
        </w:tc>
        <w:tc>
          <w:tcPr>
            <w:tcW w:w="4247" w:type="dxa"/>
          </w:tcPr>
          <w:p w:rsidRPr="00F91EE4" w:rsidR="00644624" w:rsidP="00F91EE4" w:rsidRDefault="00644624" w14:paraId="6BA05F54" w14:textId="35F156CA">
            <w:pPr>
              <w:spacing w:before="80" w:line="240" w:lineRule="exact"/>
              <w:ind w:firstLine="0"/>
              <w:jc w:val="right"/>
              <w:rPr>
                <w:sz w:val="20"/>
                <w:szCs w:val="20"/>
              </w:rPr>
            </w:pPr>
            <w:r w:rsidRPr="00F91EE4">
              <w:rPr>
                <w:sz w:val="20"/>
                <w:szCs w:val="20"/>
              </w:rPr>
              <w:t>5,2</w:t>
            </w:r>
            <w:r w:rsidRPr="00F91EE4" w:rsidR="00C35324">
              <w:rPr>
                <w:sz w:val="20"/>
                <w:szCs w:val="20"/>
              </w:rPr>
              <w:t> </w:t>
            </w:r>
            <w:r w:rsidRPr="00F91EE4">
              <w:rPr>
                <w:sz w:val="20"/>
                <w:szCs w:val="20"/>
              </w:rPr>
              <w:t>%</w:t>
            </w:r>
          </w:p>
        </w:tc>
      </w:tr>
      <w:tr w:rsidRPr="009438AF" w:rsidR="00644624" w:rsidTr="00D107A5" w14:paraId="404916B1" w14:textId="77777777">
        <w:tc>
          <w:tcPr>
            <w:tcW w:w="4247" w:type="dxa"/>
          </w:tcPr>
          <w:p w:rsidRPr="00F91EE4" w:rsidR="00644624" w:rsidP="00F91EE4" w:rsidRDefault="00644624" w14:paraId="043642AA" w14:textId="77777777">
            <w:pPr>
              <w:spacing w:before="80" w:line="240" w:lineRule="exact"/>
              <w:ind w:firstLine="0"/>
              <w:rPr>
                <w:sz w:val="20"/>
                <w:szCs w:val="20"/>
              </w:rPr>
            </w:pPr>
            <w:r w:rsidRPr="00F91EE4">
              <w:rPr>
                <w:sz w:val="20"/>
                <w:szCs w:val="20"/>
              </w:rPr>
              <w:t>Jönköping</w:t>
            </w:r>
          </w:p>
        </w:tc>
        <w:tc>
          <w:tcPr>
            <w:tcW w:w="4247" w:type="dxa"/>
          </w:tcPr>
          <w:p w:rsidRPr="00F91EE4" w:rsidR="00644624" w:rsidP="00F91EE4" w:rsidRDefault="00644624" w14:paraId="30A836BF" w14:textId="069B5B6D">
            <w:pPr>
              <w:spacing w:before="80" w:line="240" w:lineRule="exact"/>
              <w:ind w:firstLine="0"/>
              <w:jc w:val="right"/>
              <w:rPr>
                <w:sz w:val="20"/>
                <w:szCs w:val="20"/>
              </w:rPr>
            </w:pPr>
            <w:r w:rsidRPr="00F91EE4">
              <w:rPr>
                <w:sz w:val="20"/>
                <w:szCs w:val="20"/>
              </w:rPr>
              <w:t>4,9</w:t>
            </w:r>
            <w:r w:rsidRPr="00F91EE4" w:rsidR="00C35324">
              <w:rPr>
                <w:sz w:val="20"/>
                <w:szCs w:val="20"/>
              </w:rPr>
              <w:t> </w:t>
            </w:r>
            <w:r w:rsidRPr="00F91EE4">
              <w:rPr>
                <w:sz w:val="20"/>
                <w:szCs w:val="20"/>
              </w:rPr>
              <w:t>%</w:t>
            </w:r>
          </w:p>
        </w:tc>
      </w:tr>
      <w:tr w:rsidRPr="009438AF" w:rsidR="00644624" w:rsidTr="00D107A5" w14:paraId="34D5A197" w14:textId="77777777">
        <w:tc>
          <w:tcPr>
            <w:tcW w:w="4247" w:type="dxa"/>
          </w:tcPr>
          <w:p w:rsidRPr="00F91EE4" w:rsidR="00644624" w:rsidP="00F91EE4" w:rsidRDefault="00644624" w14:paraId="4EF862AC" w14:textId="77777777">
            <w:pPr>
              <w:spacing w:before="80" w:line="240" w:lineRule="exact"/>
              <w:ind w:firstLine="0"/>
              <w:rPr>
                <w:sz w:val="20"/>
                <w:szCs w:val="20"/>
              </w:rPr>
            </w:pPr>
            <w:r w:rsidRPr="00F91EE4">
              <w:rPr>
                <w:sz w:val="20"/>
                <w:szCs w:val="20"/>
              </w:rPr>
              <w:t>Blekinge</w:t>
            </w:r>
          </w:p>
        </w:tc>
        <w:tc>
          <w:tcPr>
            <w:tcW w:w="4247" w:type="dxa"/>
          </w:tcPr>
          <w:p w:rsidRPr="00F91EE4" w:rsidR="00644624" w:rsidP="00F91EE4" w:rsidRDefault="00644624" w14:paraId="29EE44E4" w14:textId="110F287C">
            <w:pPr>
              <w:spacing w:before="80" w:line="240" w:lineRule="exact"/>
              <w:ind w:firstLine="0"/>
              <w:jc w:val="right"/>
              <w:rPr>
                <w:sz w:val="20"/>
                <w:szCs w:val="20"/>
              </w:rPr>
            </w:pPr>
            <w:r w:rsidRPr="00F91EE4">
              <w:rPr>
                <w:sz w:val="20"/>
                <w:szCs w:val="20"/>
              </w:rPr>
              <w:t>4,9</w:t>
            </w:r>
            <w:r w:rsidRPr="00F91EE4" w:rsidR="00C35324">
              <w:rPr>
                <w:sz w:val="20"/>
                <w:szCs w:val="20"/>
              </w:rPr>
              <w:t> </w:t>
            </w:r>
            <w:r w:rsidRPr="00F91EE4">
              <w:rPr>
                <w:sz w:val="20"/>
                <w:szCs w:val="20"/>
              </w:rPr>
              <w:t>%</w:t>
            </w:r>
          </w:p>
        </w:tc>
      </w:tr>
      <w:tr w:rsidRPr="009438AF" w:rsidR="00644624" w:rsidTr="00D107A5" w14:paraId="17BFF07E" w14:textId="77777777">
        <w:tc>
          <w:tcPr>
            <w:tcW w:w="4247" w:type="dxa"/>
          </w:tcPr>
          <w:p w:rsidRPr="00F91EE4" w:rsidR="00644624" w:rsidP="00F91EE4" w:rsidRDefault="00644624" w14:paraId="02A4F1A1" w14:textId="77777777">
            <w:pPr>
              <w:spacing w:before="80" w:line="240" w:lineRule="exact"/>
              <w:ind w:firstLine="0"/>
              <w:rPr>
                <w:sz w:val="20"/>
                <w:szCs w:val="20"/>
              </w:rPr>
            </w:pPr>
            <w:r w:rsidRPr="00F91EE4">
              <w:rPr>
                <w:sz w:val="20"/>
                <w:szCs w:val="20"/>
              </w:rPr>
              <w:t>Västra Götaland</w:t>
            </w:r>
          </w:p>
        </w:tc>
        <w:tc>
          <w:tcPr>
            <w:tcW w:w="4247" w:type="dxa"/>
          </w:tcPr>
          <w:p w:rsidRPr="00F91EE4" w:rsidR="00644624" w:rsidP="00F91EE4" w:rsidRDefault="00644624" w14:paraId="0CD663D1" w14:textId="0D90E641">
            <w:pPr>
              <w:spacing w:before="80" w:line="240" w:lineRule="exact"/>
              <w:ind w:firstLine="0"/>
              <w:jc w:val="right"/>
              <w:rPr>
                <w:sz w:val="20"/>
                <w:szCs w:val="20"/>
              </w:rPr>
            </w:pPr>
            <w:r w:rsidRPr="00F91EE4">
              <w:rPr>
                <w:sz w:val="20"/>
                <w:szCs w:val="20"/>
              </w:rPr>
              <w:t>4,3</w:t>
            </w:r>
            <w:r w:rsidRPr="00F91EE4" w:rsidR="00C35324">
              <w:rPr>
                <w:sz w:val="20"/>
                <w:szCs w:val="20"/>
              </w:rPr>
              <w:t> </w:t>
            </w:r>
            <w:r w:rsidRPr="00F91EE4">
              <w:rPr>
                <w:sz w:val="20"/>
                <w:szCs w:val="20"/>
              </w:rPr>
              <w:t>%</w:t>
            </w:r>
          </w:p>
        </w:tc>
      </w:tr>
      <w:tr w:rsidRPr="009438AF" w:rsidR="00644624" w:rsidTr="00D107A5" w14:paraId="4B455C84" w14:textId="77777777">
        <w:tc>
          <w:tcPr>
            <w:tcW w:w="4247" w:type="dxa"/>
          </w:tcPr>
          <w:p w:rsidRPr="00F91EE4" w:rsidR="00644624" w:rsidP="00F91EE4" w:rsidRDefault="00644624" w14:paraId="3979D8A6" w14:textId="77777777">
            <w:pPr>
              <w:spacing w:before="80" w:line="240" w:lineRule="exact"/>
              <w:ind w:firstLine="0"/>
              <w:rPr>
                <w:sz w:val="20"/>
                <w:szCs w:val="20"/>
              </w:rPr>
            </w:pPr>
            <w:r w:rsidRPr="00F91EE4">
              <w:rPr>
                <w:sz w:val="20"/>
                <w:szCs w:val="20"/>
              </w:rPr>
              <w:t>Norrbotten</w:t>
            </w:r>
          </w:p>
        </w:tc>
        <w:tc>
          <w:tcPr>
            <w:tcW w:w="4247" w:type="dxa"/>
          </w:tcPr>
          <w:p w:rsidRPr="00F91EE4" w:rsidR="00644624" w:rsidP="00F91EE4" w:rsidRDefault="00644624" w14:paraId="12791C74" w14:textId="0ADE10DA">
            <w:pPr>
              <w:spacing w:before="80" w:line="240" w:lineRule="exact"/>
              <w:ind w:firstLine="0"/>
              <w:jc w:val="right"/>
              <w:rPr>
                <w:sz w:val="20"/>
                <w:szCs w:val="20"/>
              </w:rPr>
            </w:pPr>
            <w:r w:rsidRPr="00F91EE4">
              <w:rPr>
                <w:sz w:val="20"/>
                <w:szCs w:val="20"/>
              </w:rPr>
              <w:t>4,1</w:t>
            </w:r>
            <w:r w:rsidRPr="00F91EE4" w:rsidR="00C35324">
              <w:rPr>
                <w:sz w:val="20"/>
                <w:szCs w:val="20"/>
              </w:rPr>
              <w:t> </w:t>
            </w:r>
            <w:r w:rsidRPr="00F91EE4">
              <w:rPr>
                <w:sz w:val="20"/>
                <w:szCs w:val="20"/>
              </w:rPr>
              <w:t>%</w:t>
            </w:r>
          </w:p>
        </w:tc>
      </w:tr>
      <w:tr w:rsidRPr="009438AF" w:rsidR="00644624" w:rsidTr="00D107A5" w14:paraId="07096C7C" w14:textId="77777777">
        <w:tc>
          <w:tcPr>
            <w:tcW w:w="4247" w:type="dxa"/>
          </w:tcPr>
          <w:p w:rsidRPr="00F91EE4" w:rsidR="00644624" w:rsidP="00F91EE4" w:rsidRDefault="00644624" w14:paraId="3EFB0DA5" w14:textId="77777777">
            <w:pPr>
              <w:spacing w:before="80" w:line="240" w:lineRule="exact"/>
              <w:ind w:firstLine="0"/>
              <w:rPr>
                <w:sz w:val="20"/>
                <w:szCs w:val="20"/>
              </w:rPr>
            </w:pPr>
            <w:r w:rsidRPr="00F91EE4">
              <w:rPr>
                <w:sz w:val="20"/>
                <w:szCs w:val="20"/>
              </w:rPr>
              <w:t>Värmland</w:t>
            </w:r>
          </w:p>
        </w:tc>
        <w:tc>
          <w:tcPr>
            <w:tcW w:w="4247" w:type="dxa"/>
          </w:tcPr>
          <w:p w:rsidRPr="00F91EE4" w:rsidR="00644624" w:rsidP="00F91EE4" w:rsidRDefault="00644624" w14:paraId="404736AD" w14:textId="04392862">
            <w:pPr>
              <w:spacing w:before="80" w:line="240" w:lineRule="exact"/>
              <w:ind w:firstLine="0"/>
              <w:jc w:val="right"/>
              <w:rPr>
                <w:sz w:val="20"/>
                <w:szCs w:val="20"/>
              </w:rPr>
            </w:pPr>
            <w:r w:rsidRPr="00F91EE4">
              <w:rPr>
                <w:sz w:val="20"/>
                <w:szCs w:val="20"/>
              </w:rPr>
              <w:t>4</w:t>
            </w:r>
            <w:r w:rsidRPr="00F91EE4" w:rsidR="00C35324">
              <w:rPr>
                <w:sz w:val="20"/>
                <w:szCs w:val="20"/>
              </w:rPr>
              <w:t> </w:t>
            </w:r>
            <w:r w:rsidRPr="00F91EE4">
              <w:rPr>
                <w:sz w:val="20"/>
                <w:szCs w:val="20"/>
              </w:rPr>
              <w:t>%</w:t>
            </w:r>
          </w:p>
        </w:tc>
      </w:tr>
      <w:tr w:rsidRPr="009438AF" w:rsidR="00644624" w:rsidTr="00D107A5" w14:paraId="64164820" w14:textId="77777777">
        <w:tc>
          <w:tcPr>
            <w:tcW w:w="4247" w:type="dxa"/>
            <w:tcBorders>
              <w:bottom w:val="single" w:color="auto" w:sz="4" w:space="0"/>
            </w:tcBorders>
          </w:tcPr>
          <w:p w:rsidRPr="00F91EE4" w:rsidR="00644624" w:rsidP="00F91EE4" w:rsidRDefault="00644624" w14:paraId="0F93782A" w14:textId="77777777">
            <w:pPr>
              <w:spacing w:before="80" w:line="240" w:lineRule="exact"/>
              <w:ind w:firstLine="0"/>
              <w:rPr>
                <w:sz w:val="20"/>
                <w:szCs w:val="20"/>
              </w:rPr>
            </w:pPr>
            <w:r w:rsidRPr="00F91EE4">
              <w:rPr>
                <w:sz w:val="20"/>
                <w:szCs w:val="20"/>
              </w:rPr>
              <w:t>Halland</w:t>
            </w:r>
          </w:p>
        </w:tc>
        <w:tc>
          <w:tcPr>
            <w:tcW w:w="4247" w:type="dxa"/>
            <w:tcBorders>
              <w:bottom w:val="single" w:color="auto" w:sz="4" w:space="0"/>
            </w:tcBorders>
          </w:tcPr>
          <w:p w:rsidRPr="00F91EE4" w:rsidR="00644624" w:rsidP="00F91EE4" w:rsidRDefault="00644624" w14:paraId="27758FB1" w14:textId="1FCED906">
            <w:pPr>
              <w:spacing w:before="80" w:line="240" w:lineRule="exact"/>
              <w:ind w:firstLine="0"/>
              <w:jc w:val="right"/>
              <w:rPr>
                <w:sz w:val="20"/>
                <w:szCs w:val="20"/>
              </w:rPr>
            </w:pPr>
            <w:r w:rsidRPr="00F91EE4">
              <w:rPr>
                <w:sz w:val="20"/>
                <w:szCs w:val="20"/>
              </w:rPr>
              <w:t>3,6</w:t>
            </w:r>
            <w:r w:rsidRPr="00F91EE4" w:rsidR="00C35324">
              <w:rPr>
                <w:sz w:val="20"/>
                <w:szCs w:val="20"/>
              </w:rPr>
              <w:t> </w:t>
            </w:r>
            <w:r w:rsidRPr="00F91EE4">
              <w:rPr>
                <w:sz w:val="20"/>
                <w:szCs w:val="20"/>
              </w:rPr>
              <w:t>%</w:t>
            </w:r>
          </w:p>
        </w:tc>
      </w:tr>
    </w:tbl>
    <w:p w:rsidR="00636679" w:rsidP="00D160A5" w:rsidRDefault="00636679" w14:paraId="34E0228E" w14:textId="77777777">
      <w:pPr>
        <w:pStyle w:val="Tabellrubrik"/>
        <w:spacing w:after="120"/>
      </w:pPr>
    </w:p>
    <w:p w:rsidR="00636679" w:rsidRDefault="00636679" w14:paraId="6158A37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D160A5" w:rsidR="006B2397" w:rsidP="00D160A5" w:rsidRDefault="005A4D85" w14:paraId="502A9A36" w14:textId="5E06ABB8">
      <w:pPr>
        <w:pStyle w:val="Tabellrubrik"/>
        <w:spacing w:after="120"/>
      </w:pPr>
      <w:r w:rsidRPr="00D160A5">
        <w:lastRenderedPageBreak/>
        <w:t xml:space="preserve">Tabell över andel kvinnor </w:t>
      </w:r>
      <w:r w:rsidRPr="00D160A5" w:rsidR="003042F3">
        <w:t xml:space="preserve">totalt </w:t>
      </w:r>
      <w:r w:rsidRPr="00D160A5">
        <w:t xml:space="preserve">som fått tredje eller fjärde gradens </w:t>
      </w:r>
      <w:r w:rsidR="00D107A5">
        <w:br/>
      </w:r>
      <w:r w:rsidRPr="00D160A5">
        <w:t>bristning vid vaginal icke instrumentell förlossning</w:t>
      </w:r>
      <w:r w:rsidRPr="00D160A5" w:rsidR="0069201F">
        <w:t xml:space="preserve"> (år 2016</w:t>
      </w:r>
      <w:r w:rsidRPr="00D160A5" w:rsidR="00C35324">
        <w:t>–</w:t>
      </w:r>
      <w:r w:rsidRPr="00D160A5" w:rsidR="0069201F">
        <w:t>2019)</w:t>
      </w:r>
      <w:r w:rsidR="00D107A5">
        <w:br/>
      </w:r>
      <w:r w:rsidRPr="00D160A5" w:rsidR="00C35324">
        <w:t xml:space="preserve"> –</w:t>
      </w:r>
      <w:r w:rsidRPr="00D160A5">
        <w:t xml:space="preserve"> </w:t>
      </w:r>
      <w:r w:rsidRPr="00D160A5" w:rsidR="00C35324">
        <w:t>r</w:t>
      </w:r>
      <w:r w:rsidRPr="00D160A5">
        <w:t xml:space="preserve">ikssnittet ligger </w:t>
      </w:r>
      <w:bookmarkStart w:name="_GoBack" w:id="1"/>
      <w:bookmarkEnd w:id="1"/>
      <w:r w:rsidRPr="00D160A5">
        <w:t>på 1,9 procent</w:t>
      </w:r>
    </w:p>
    <w:tbl>
      <w:tblPr>
        <w:tblStyle w:val="Tabellrutnt"/>
        <w:tblW w:w="6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3388"/>
        <w:gridCol w:w="2849"/>
      </w:tblGrid>
      <w:tr w:rsidRPr="009438AF" w:rsidR="00F91EE4" w:rsidTr="00D107A5" w14:paraId="7ED4F215" w14:textId="7C6D9DE4">
        <w:tc>
          <w:tcPr>
            <w:tcW w:w="3259" w:type="dxa"/>
            <w:tcBorders>
              <w:top w:val="single" w:color="auto" w:sz="4" w:space="0"/>
              <w:bottom w:val="single" w:color="auto" w:sz="4" w:space="0"/>
            </w:tcBorders>
          </w:tcPr>
          <w:p w:rsidRPr="0076051A" w:rsidR="00F91EE4" w:rsidP="0076051A" w:rsidRDefault="00F91EE4" w14:paraId="0D6AED80" w14:textId="77777777">
            <w:pPr>
              <w:spacing w:before="80" w:line="240" w:lineRule="exact"/>
              <w:ind w:firstLine="0"/>
              <w:rPr>
                <w:b/>
                <w:sz w:val="20"/>
                <w:szCs w:val="20"/>
              </w:rPr>
            </w:pPr>
            <w:r w:rsidRPr="0076051A">
              <w:rPr>
                <w:b/>
                <w:sz w:val="20"/>
                <w:szCs w:val="20"/>
              </w:rPr>
              <w:t>Landsting/region</w:t>
            </w:r>
          </w:p>
        </w:tc>
        <w:tc>
          <w:tcPr>
            <w:tcW w:w="2740" w:type="dxa"/>
            <w:tcBorders>
              <w:top w:val="single" w:color="auto" w:sz="4" w:space="0"/>
              <w:bottom w:val="single" w:color="auto" w:sz="4" w:space="0"/>
            </w:tcBorders>
          </w:tcPr>
          <w:p w:rsidRPr="0076051A" w:rsidR="00F91EE4" w:rsidP="00636679" w:rsidRDefault="00F91EE4" w14:paraId="5A25FFD8" w14:textId="77777777">
            <w:pPr>
              <w:spacing w:before="80" w:line="240" w:lineRule="exact"/>
              <w:ind w:firstLine="0"/>
              <w:jc w:val="right"/>
              <w:rPr>
                <w:b/>
                <w:sz w:val="20"/>
                <w:szCs w:val="20"/>
              </w:rPr>
            </w:pPr>
          </w:p>
        </w:tc>
      </w:tr>
      <w:tr w:rsidRPr="009438AF" w:rsidR="00F91EE4" w:rsidTr="00D107A5" w14:paraId="7C6D3986" w14:textId="3BD6FC50">
        <w:tc>
          <w:tcPr>
            <w:tcW w:w="3259" w:type="dxa"/>
            <w:tcBorders>
              <w:top w:val="single" w:color="auto" w:sz="4" w:space="0"/>
            </w:tcBorders>
          </w:tcPr>
          <w:p w:rsidRPr="0076051A" w:rsidR="00F91EE4" w:rsidP="0076051A" w:rsidRDefault="00F91EE4" w14:paraId="4A58100E" w14:textId="77777777">
            <w:pPr>
              <w:spacing w:before="80" w:line="240" w:lineRule="exact"/>
              <w:ind w:firstLine="0"/>
              <w:rPr>
                <w:sz w:val="20"/>
                <w:szCs w:val="20"/>
              </w:rPr>
            </w:pPr>
            <w:r w:rsidRPr="0076051A">
              <w:rPr>
                <w:sz w:val="20"/>
                <w:szCs w:val="20"/>
              </w:rPr>
              <w:t>Stockholm</w:t>
            </w:r>
          </w:p>
        </w:tc>
        <w:tc>
          <w:tcPr>
            <w:tcW w:w="2740" w:type="dxa"/>
            <w:tcBorders>
              <w:top w:val="single" w:color="auto" w:sz="4" w:space="0"/>
            </w:tcBorders>
          </w:tcPr>
          <w:p w:rsidRPr="0076051A" w:rsidR="00F91EE4" w:rsidP="00636679" w:rsidRDefault="00F91EE4" w14:paraId="2F6CCFD0" w14:textId="5D686F1B">
            <w:pPr>
              <w:spacing w:before="80" w:line="240" w:lineRule="exact"/>
              <w:ind w:firstLine="0"/>
              <w:jc w:val="right"/>
              <w:rPr>
                <w:sz w:val="20"/>
                <w:szCs w:val="20"/>
              </w:rPr>
            </w:pPr>
            <w:r w:rsidRPr="0076051A">
              <w:rPr>
                <w:sz w:val="20"/>
                <w:szCs w:val="20"/>
              </w:rPr>
              <w:t>2,4 %</w:t>
            </w:r>
          </w:p>
        </w:tc>
      </w:tr>
      <w:tr w:rsidRPr="009438AF" w:rsidR="00F91EE4" w:rsidTr="00D107A5" w14:paraId="1AC06087" w14:textId="57EE4AD3">
        <w:tc>
          <w:tcPr>
            <w:tcW w:w="3259" w:type="dxa"/>
          </w:tcPr>
          <w:p w:rsidRPr="0076051A" w:rsidR="00F91EE4" w:rsidP="0076051A" w:rsidRDefault="00F91EE4" w14:paraId="0544B727" w14:textId="77777777">
            <w:pPr>
              <w:spacing w:before="80" w:line="240" w:lineRule="exact"/>
              <w:ind w:firstLine="0"/>
              <w:rPr>
                <w:sz w:val="20"/>
                <w:szCs w:val="20"/>
              </w:rPr>
            </w:pPr>
            <w:r w:rsidRPr="0076051A">
              <w:rPr>
                <w:sz w:val="20"/>
                <w:szCs w:val="20"/>
              </w:rPr>
              <w:t>Östergötland</w:t>
            </w:r>
          </w:p>
        </w:tc>
        <w:tc>
          <w:tcPr>
            <w:tcW w:w="2740" w:type="dxa"/>
          </w:tcPr>
          <w:p w:rsidRPr="0076051A" w:rsidR="00F91EE4" w:rsidP="00636679" w:rsidRDefault="00F91EE4" w14:paraId="3833152E" w14:textId="0A7B33EE">
            <w:pPr>
              <w:spacing w:before="80" w:line="240" w:lineRule="exact"/>
              <w:ind w:firstLine="0"/>
              <w:jc w:val="right"/>
              <w:rPr>
                <w:sz w:val="20"/>
                <w:szCs w:val="20"/>
              </w:rPr>
            </w:pPr>
            <w:r w:rsidRPr="0076051A">
              <w:rPr>
                <w:sz w:val="20"/>
                <w:szCs w:val="20"/>
              </w:rPr>
              <w:t>2,3 %</w:t>
            </w:r>
          </w:p>
        </w:tc>
      </w:tr>
      <w:tr w:rsidRPr="009438AF" w:rsidR="00F91EE4" w:rsidTr="00D107A5" w14:paraId="2EAC53FE" w14:textId="443E1E00">
        <w:tc>
          <w:tcPr>
            <w:tcW w:w="3259" w:type="dxa"/>
          </w:tcPr>
          <w:p w:rsidRPr="0076051A" w:rsidR="00F91EE4" w:rsidP="0076051A" w:rsidRDefault="00F91EE4" w14:paraId="6143D436" w14:textId="77777777">
            <w:pPr>
              <w:spacing w:before="80" w:line="240" w:lineRule="exact"/>
              <w:ind w:firstLine="0"/>
              <w:rPr>
                <w:sz w:val="20"/>
                <w:szCs w:val="20"/>
              </w:rPr>
            </w:pPr>
            <w:r w:rsidRPr="0076051A">
              <w:rPr>
                <w:sz w:val="20"/>
                <w:szCs w:val="20"/>
              </w:rPr>
              <w:t>Västerbotten</w:t>
            </w:r>
          </w:p>
        </w:tc>
        <w:tc>
          <w:tcPr>
            <w:tcW w:w="2740" w:type="dxa"/>
          </w:tcPr>
          <w:p w:rsidRPr="0076051A" w:rsidR="00F91EE4" w:rsidP="00636679" w:rsidRDefault="00F91EE4" w14:paraId="02310C2A" w14:textId="3383F220">
            <w:pPr>
              <w:spacing w:before="80" w:line="240" w:lineRule="exact"/>
              <w:ind w:firstLine="0"/>
              <w:jc w:val="right"/>
              <w:rPr>
                <w:sz w:val="20"/>
                <w:szCs w:val="20"/>
              </w:rPr>
            </w:pPr>
            <w:r w:rsidRPr="0076051A">
              <w:rPr>
                <w:sz w:val="20"/>
                <w:szCs w:val="20"/>
              </w:rPr>
              <w:t>2,3 %</w:t>
            </w:r>
          </w:p>
        </w:tc>
      </w:tr>
      <w:tr w:rsidRPr="009438AF" w:rsidR="00F91EE4" w:rsidTr="00D107A5" w14:paraId="5A002752" w14:textId="2B46DDC7">
        <w:tc>
          <w:tcPr>
            <w:tcW w:w="3259" w:type="dxa"/>
          </w:tcPr>
          <w:p w:rsidRPr="0076051A" w:rsidR="00F91EE4" w:rsidP="0076051A" w:rsidRDefault="00F91EE4" w14:paraId="241EFB9D" w14:textId="77777777">
            <w:pPr>
              <w:spacing w:before="80" w:line="240" w:lineRule="exact"/>
              <w:ind w:firstLine="0"/>
              <w:rPr>
                <w:sz w:val="20"/>
                <w:szCs w:val="20"/>
              </w:rPr>
            </w:pPr>
            <w:r w:rsidRPr="0076051A">
              <w:rPr>
                <w:sz w:val="20"/>
                <w:szCs w:val="20"/>
              </w:rPr>
              <w:t>Gotland</w:t>
            </w:r>
          </w:p>
        </w:tc>
        <w:tc>
          <w:tcPr>
            <w:tcW w:w="2740" w:type="dxa"/>
          </w:tcPr>
          <w:p w:rsidRPr="0076051A" w:rsidR="00F91EE4" w:rsidP="00636679" w:rsidRDefault="00F91EE4" w14:paraId="53A77353" w14:textId="67EC8619">
            <w:pPr>
              <w:spacing w:before="80" w:line="240" w:lineRule="exact"/>
              <w:ind w:firstLine="0"/>
              <w:jc w:val="right"/>
              <w:rPr>
                <w:sz w:val="20"/>
                <w:szCs w:val="20"/>
              </w:rPr>
            </w:pPr>
            <w:r w:rsidRPr="0076051A">
              <w:rPr>
                <w:sz w:val="20"/>
                <w:szCs w:val="20"/>
              </w:rPr>
              <w:t>2,1 %</w:t>
            </w:r>
          </w:p>
        </w:tc>
      </w:tr>
      <w:tr w:rsidRPr="009438AF" w:rsidR="00F91EE4" w:rsidTr="00D107A5" w14:paraId="65A35CFC" w14:textId="7B2F4A51">
        <w:tc>
          <w:tcPr>
            <w:tcW w:w="3259" w:type="dxa"/>
          </w:tcPr>
          <w:p w:rsidRPr="0076051A" w:rsidR="00F91EE4" w:rsidP="0076051A" w:rsidRDefault="00F91EE4" w14:paraId="52F14B68" w14:textId="77777777">
            <w:pPr>
              <w:spacing w:before="80" w:line="240" w:lineRule="exact"/>
              <w:ind w:firstLine="0"/>
              <w:rPr>
                <w:sz w:val="20"/>
                <w:szCs w:val="20"/>
              </w:rPr>
            </w:pPr>
            <w:r w:rsidRPr="0076051A">
              <w:rPr>
                <w:sz w:val="20"/>
                <w:szCs w:val="20"/>
              </w:rPr>
              <w:t>Jämtland Härjedalen</w:t>
            </w:r>
          </w:p>
        </w:tc>
        <w:tc>
          <w:tcPr>
            <w:tcW w:w="2740" w:type="dxa"/>
          </w:tcPr>
          <w:p w:rsidRPr="0076051A" w:rsidR="00F91EE4" w:rsidP="00636679" w:rsidRDefault="00F91EE4" w14:paraId="0DE6ADB9" w14:textId="77E14A11">
            <w:pPr>
              <w:spacing w:before="80" w:line="240" w:lineRule="exact"/>
              <w:ind w:firstLine="0"/>
              <w:jc w:val="right"/>
              <w:rPr>
                <w:sz w:val="20"/>
                <w:szCs w:val="20"/>
              </w:rPr>
            </w:pPr>
            <w:r w:rsidRPr="0076051A">
              <w:rPr>
                <w:sz w:val="20"/>
                <w:szCs w:val="20"/>
              </w:rPr>
              <w:t>2,1 %</w:t>
            </w:r>
          </w:p>
        </w:tc>
      </w:tr>
      <w:tr w:rsidRPr="009438AF" w:rsidR="00F91EE4" w:rsidTr="00D107A5" w14:paraId="05C0BF15" w14:textId="0624C446">
        <w:tc>
          <w:tcPr>
            <w:tcW w:w="3259" w:type="dxa"/>
          </w:tcPr>
          <w:p w:rsidRPr="0076051A" w:rsidR="00F91EE4" w:rsidP="0076051A" w:rsidRDefault="00F91EE4" w14:paraId="47331407" w14:textId="77777777">
            <w:pPr>
              <w:spacing w:before="80" w:line="240" w:lineRule="exact"/>
              <w:ind w:firstLine="0"/>
              <w:rPr>
                <w:sz w:val="20"/>
                <w:szCs w:val="20"/>
              </w:rPr>
            </w:pPr>
            <w:r w:rsidRPr="0076051A">
              <w:rPr>
                <w:sz w:val="20"/>
                <w:szCs w:val="20"/>
              </w:rPr>
              <w:t>Sörmland</w:t>
            </w:r>
          </w:p>
        </w:tc>
        <w:tc>
          <w:tcPr>
            <w:tcW w:w="2740" w:type="dxa"/>
          </w:tcPr>
          <w:p w:rsidRPr="0076051A" w:rsidR="00F91EE4" w:rsidP="00636679" w:rsidRDefault="00F91EE4" w14:paraId="0D941A47" w14:textId="18E357FA">
            <w:pPr>
              <w:spacing w:before="80" w:line="240" w:lineRule="exact"/>
              <w:ind w:firstLine="0"/>
              <w:jc w:val="right"/>
              <w:rPr>
                <w:sz w:val="20"/>
                <w:szCs w:val="20"/>
              </w:rPr>
            </w:pPr>
            <w:r w:rsidRPr="0076051A">
              <w:rPr>
                <w:sz w:val="20"/>
                <w:szCs w:val="20"/>
              </w:rPr>
              <w:t>1,9 %</w:t>
            </w:r>
          </w:p>
        </w:tc>
      </w:tr>
      <w:tr w:rsidRPr="009438AF" w:rsidR="00F91EE4" w:rsidTr="00D107A5" w14:paraId="6F83765E" w14:textId="17790804">
        <w:tc>
          <w:tcPr>
            <w:tcW w:w="3259" w:type="dxa"/>
          </w:tcPr>
          <w:p w:rsidRPr="0076051A" w:rsidR="00F91EE4" w:rsidP="0076051A" w:rsidRDefault="00F91EE4" w14:paraId="4E6F3F53" w14:textId="77777777">
            <w:pPr>
              <w:spacing w:before="80" w:line="240" w:lineRule="exact"/>
              <w:ind w:firstLine="0"/>
              <w:rPr>
                <w:sz w:val="20"/>
                <w:szCs w:val="20"/>
              </w:rPr>
            </w:pPr>
            <w:r w:rsidRPr="0076051A">
              <w:rPr>
                <w:sz w:val="20"/>
                <w:szCs w:val="20"/>
              </w:rPr>
              <w:t>Kalmar</w:t>
            </w:r>
          </w:p>
        </w:tc>
        <w:tc>
          <w:tcPr>
            <w:tcW w:w="2740" w:type="dxa"/>
          </w:tcPr>
          <w:p w:rsidRPr="0076051A" w:rsidR="00F91EE4" w:rsidP="00636679" w:rsidRDefault="00F91EE4" w14:paraId="1CDD43EC" w14:textId="64B2D794">
            <w:pPr>
              <w:spacing w:before="80" w:line="240" w:lineRule="exact"/>
              <w:ind w:firstLine="0"/>
              <w:jc w:val="right"/>
              <w:rPr>
                <w:sz w:val="20"/>
                <w:szCs w:val="20"/>
              </w:rPr>
            </w:pPr>
            <w:r w:rsidRPr="0076051A">
              <w:rPr>
                <w:sz w:val="20"/>
                <w:szCs w:val="20"/>
              </w:rPr>
              <w:t>1,9 %</w:t>
            </w:r>
          </w:p>
        </w:tc>
      </w:tr>
      <w:tr w:rsidRPr="009438AF" w:rsidR="00F91EE4" w:rsidTr="00D107A5" w14:paraId="09048ADA" w14:textId="2B67272D">
        <w:tc>
          <w:tcPr>
            <w:tcW w:w="3259" w:type="dxa"/>
          </w:tcPr>
          <w:p w:rsidRPr="0076051A" w:rsidR="00F91EE4" w:rsidP="0076051A" w:rsidRDefault="00F91EE4" w14:paraId="2160F8D9" w14:textId="77777777">
            <w:pPr>
              <w:spacing w:before="80" w:line="240" w:lineRule="exact"/>
              <w:ind w:firstLine="0"/>
              <w:rPr>
                <w:sz w:val="20"/>
                <w:szCs w:val="20"/>
              </w:rPr>
            </w:pPr>
            <w:r w:rsidRPr="0076051A">
              <w:rPr>
                <w:sz w:val="20"/>
                <w:szCs w:val="20"/>
              </w:rPr>
              <w:t>Dalarna</w:t>
            </w:r>
          </w:p>
        </w:tc>
        <w:tc>
          <w:tcPr>
            <w:tcW w:w="2740" w:type="dxa"/>
          </w:tcPr>
          <w:p w:rsidRPr="0076051A" w:rsidR="00F91EE4" w:rsidP="00636679" w:rsidRDefault="00F91EE4" w14:paraId="20376AAF" w14:textId="3C0526BA">
            <w:pPr>
              <w:spacing w:before="80" w:line="240" w:lineRule="exact"/>
              <w:ind w:firstLine="0"/>
              <w:jc w:val="right"/>
              <w:rPr>
                <w:sz w:val="20"/>
                <w:szCs w:val="20"/>
              </w:rPr>
            </w:pPr>
            <w:r w:rsidRPr="0076051A">
              <w:rPr>
                <w:sz w:val="20"/>
                <w:szCs w:val="20"/>
              </w:rPr>
              <w:t>1,9 %</w:t>
            </w:r>
          </w:p>
        </w:tc>
      </w:tr>
      <w:tr w:rsidRPr="009438AF" w:rsidR="00F91EE4" w:rsidTr="00D107A5" w14:paraId="6554CA14" w14:textId="2A43AB62">
        <w:tc>
          <w:tcPr>
            <w:tcW w:w="3259" w:type="dxa"/>
          </w:tcPr>
          <w:p w:rsidRPr="0076051A" w:rsidR="00F91EE4" w:rsidP="0076051A" w:rsidRDefault="00F91EE4" w14:paraId="0E4F876B" w14:textId="77777777">
            <w:pPr>
              <w:spacing w:before="80" w:line="240" w:lineRule="exact"/>
              <w:ind w:firstLine="0"/>
              <w:rPr>
                <w:sz w:val="20"/>
                <w:szCs w:val="20"/>
              </w:rPr>
            </w:pPr>
            <w:r w:rsidRPr="0076051A">
              <w:rPr>
                <w:sz w:val="20"/>
                <w:szCs w:val="20"/>
              </w:rPr>
              <w:t>Västra Götaland</w:t>
            </w:r>
          </w:p>
        </w:tc>
        <w:tc>
          <w:tcPr>
            <w:tcW w:w="2740" w:type="dxa"/>
          </w:tcPr>
          <w:p w:rsidRPr="0076051A" w:rsidR="00F91EE4" w:rsidP="00636679" w:rsidRDefault="00F91EE4" w14:paraId="1C0ACC85" w14:textId="2CAB7EDE">
            <w:pPr>
              <w:spacing w:before="80" w:line="240" w:lineRule="exact"/>
              <w:ind w:firstLine="0"/>
              <w:jc w:val="right"/>
              <w:rPr>
                <w:sz w:val="20"/>
                <w:szCs w:val="20"/>
              </w:rPr>
            </w:pPr>
            <w:r w:rsidRPr="0076051A">
              <w:rPr>
                <w:sz w:val="20"/>
                <w:szCs w:val="20"/>
              </w:rPr>
              <w:t>1,8 %</w:t>
            </w:r>
          </w:p>
        </w:tc>
      </w:tr>
      <w:tr w:rsidRPr="009438AF" w:rsidR="00F91EE4" w:rsidTr="00D107A5" w14:paraId="144FE9D3" w14:textId="43592E49">
        <w:tc>
          <w:tcPr>
            <w:tcW w:w="3259" w:type="dxa"/>
          </w:tcPr>
          <w:p w:rsidRPr="0076051A" w:rsidR="00F91EE4" w:rsidP="0076051A" w:rsidRDefault="00F91EE4" w14:paraId="00D95136" w14:textId="77777777">
            <w:pPr>
              <w:spacing w:before="80" w:line="240" w:lineRule="exact"/>
              <w:ind w:firstLine="0"/>
              <w:rPr>
                <w:sz w:val="20"/>
                <w:szCs w:val="20"/>
              </w:rPr>
            </w:pPr>
            <w:r w:rsidRPr="0076051A">
              <w:rPr>
                <w:sz w:val="20"/>
                <w:szCs w:val="20"/>
              </w:rPr>
              <w:t>Örebro</w:t>
            </w:r>
          </w:p>
        </w:tc>
        <w:tc>
          <w:tcPr>
            <w:tcW w:w="2740" w:type="dxa"/>
          </w:tcPr>
          <w:p w:rsidRPr="0076051A" w:rsidR="00F91EE4" w:rsidP="00636679" w:rsidRDefault="00F91EE4" w14:paraId="2C0D4655" w14:textId="4A2EE78F">
            <w:pPr>
              <w:spacing w:before="80" w:line="240" w:lineRule="exact"/>
              <w:ind w:firstLine="0"/>
              <w:jc w:val="right"/>
              <w:rPr>
                <w:sz w:val="20"/>
                <w:szCs w:val="20"/>
              </w:rPr>
            </w:pPr>
            <w:r w:rsidRPr="0076051A">
              <w:rPr>
                <w:sz w:val="20"/>
                <w:szCs w:val="20"/>
              </w:rPr>
              <w:t>1,7 %</w:t>
            </w:r>
          </w:p>
        </w:tc>
      </w:tr>
      <w:tr w:rsidRPr="009438AF" w:rsidR="00F91EE4" w:rsidTr="00D107A5" w14:paraId="42491895" w14:textId="0274608E">
        <w:tc>
          <w:tcPr>
            <w:tcW w:w="3259" w:type="dxa"/>
          </w:tcPr>
          <w:p w:rsidRPr="0076051A" w:rsidR="00F91EE4" w:rsidP="0076051A" w:rsidRDefault="00F91EE4" w14:paraId="58C9F272" w14:textId="77777777">
            <w:pPr>
              <w:spacing w:before="80" w:line="240" w:lineRule="exact"/>
              <w:ind w:firstLine="0"/>
              <w:rPr>
                <w:sz w:val="20"/>
                <w:szCs w:val="20"/>
              </w:rPr>
            </w:pPr>
            <w:r w:rsidRPr="0076051A">
              <w:rPr>
                <w:sz w:val="20"/>
                <w:szCs w:val="20"/>
              </w:rPr>
              <w:t>Västmanland</w:t>
            </w:r>
          </w:p>
        </w:tc>
        <w:tc>
          <w:tcPr>
            <w:tcW w:w="2740" w:type="dxa"/>
          </w:tcPr>
          <w:p w:rsidRPr="0076051A" w:rsidR="00F91EE4" w:rsidP="00636679" w:rsidRDefault="00F91EE4" w14:paraId="5666D6BE" w14:textId="04763BC9">
            <w:pPr>
              <w:spacing w:before="80" w:line="240" w:lineRule="exact"/>
              <w:ind w:firstLine="0"/>
              <w:jc w:val="right"/>
              <w:rPr>
                <w:sz w:val="20"/>
                <w:szCs w:val="20"/>
              </w:rPr>
            </w:pPr>
            <w:r w:rsidRPr="0076051A">
              <w:rPr>
                <w:sz w:val="20"/>
                <w:szCs w:val="20"/>
              </w:rPr>
              <w:t>1,7 %</w:t>
            </w:r>
          </w:p>
        </w:tc>
      </w:tr>
      <w:tr w:rsidRPr="009438AF" w:rsidR="00F91EE4" w:rsidTr="00D107A5" w14:paraId="4CA27CCD" w14:textId="7C0AEDE9">
        <w:tc>
          <w:tcPr>
            <w:tcW w:w="3259" w:type="dxa"/>
          </w:tcPr>
          <w:p w:rsidRPr="0076051A" w:rsidR="00F91EE4" w:rsidP="0076051A" w:rsidRDefault="00F91EE4" w14:paraId="0940D2A4" w14:textId="77777777">
            <w:pPr>
              <w:spacing w:before="80" w:line="240" w:lineRule="exact"/>
              <w:ind w:firstLine="0"/>
              <w:rPr>
                <w:sz w:val="20"/>
                <w:szCs w:val="20"/>
              </w:rPr>
            </w:pPr>
            <w:r w:rsidRPr="0076051A">
              <w:rPr>
                <w:sz w:val="20"/>
                <w:szCs w:val="20"/>
              </w:rPr>
              <w:t>Gävleborg</w:t>
            </w:r>
          </w:p>
        </w:tc>
        <w:tc>
          <w:tcPr>
            <w:tcW w:w="2740" w:type="dxa"/>
          </w:tcPr>
          <w:p w:rsidRPr="0076051A" w:rsidR="00F91EE4" w:rsidP="00636679" w:rsidRDefault="00F91EE4" w14:paraId="16DD8E22" w14:textId="46E03189">
            <w:pPr>
              <w:spacing w:before="80" w:line="240" w:lineRule="exact"/>
              <w:ind w:firstLine="0"/>
              <w:jc w:val="right"/>
              <w:rPr>
                <w:sz w:val="20"/>
                <w:szCs w:val="20"/>
              </w:rPr>
            </w:pPr>
            <w:r w:rsidRPr="0076051A">
              <w:rPr>
                <w:sz w:val="20"/>
                <w:szCs w:val="20"/>
              </w:rPr>
              <w:t>1,7 %</w:t>
            </w:r>
          </w:p>
        </w:tc>
      </w:tr>
      <w:tr w:rsidRPr="009438AF" w:rsidR="00F91EE4" w:rsidTr="00D107A5" w14:paraId="66D38DBC" w14:textId="61E401E2">
        <w:tc>
          <w:tcPr>
            <w:tcW w:w="3259" w:type="dxa"/>
          </w:tcPr>
          <w:p w:rsidRPr="0076051A" w:rsidR="00F91EE4" w:rsidP="0076051A" w:rsidRDefault="00F91EE4" w14:paraId="109AA522" w14:textId="77777777">
            <w:pPr>
              <w:spacing w:before="80" w:line="240" w:lineRule="exact"/>
              <w:ind w:firstLine="0"/>
              <w:rPr>
                <w:sz w:val="20"/>
                <w:szCs w:val="20"/>
              </w:rPr>
            </w:pPr>
            <w:r w:rsidRPr="0076051A">
              <w:rPr>
                <w:sz w:val="20"/>
                <w:szCs w:val="20"/>
              </w:rPr>
              <w:t>Västernorrland</w:t>
            </w:r>
          </w:p>
        </w:tc>
        <w:tc>
          <w:tcPr>
            <w:tcW w:w="2740" w:type="dxa"/>
          </w:tcPr>
          <w:p w:rsidRPr="0076051A" w:rsidR="00F91EE4" w:rsidP="00636679" w:rsidRDefault="00F91EE4" w14:paraId="17BDC8F8" w14:textId="21D9325B">
            <w:pPr>
              <w:spacing w:before="80" w:line="240" w:lineRule="exact"/>
              <w:ind w:firstLine="0"/>
              <w:jc w:val="right"/>
              <w:rPr>
                <w:sz w:val="20"/>
                <w:szCs w:val="20"/>
              </w:rPr>
            </w:pPr>
            <w:r w:rsidRPr="0076051A">
              <w:rPr>
                <w:sz w:val="20"/>
                <w:szCs w:val="20"/>
              </w:rPr>
              <w:t>1,6 %</w:t>
            </w:r>
          </w:p>
        </w:tc>
      </w:tr>
      <w:tr w:rsidRPr="009438AF" w:rsidR="00F91EE4" w:rsidTr="00D107A5" w14:paraId="6F7D0D8D" w14:textId="5D652D12">
        <w:tc>
          <w:tcPr>
            <w:tcW w:w="3259" w:type="dxa"/>
          </w:tcPr>
          <w:p w:rsidRPr="0076051A" w:rsidR="00F91EE4" w:rsidP="0076051A" w:rsidRDefault="00F91EE4" w14:paraId="5CF1559D" w14:textId="77777777">
            <w:pPr>
              <w:spacing w:before="80" w:line="240" w:lineRule="exact"/>
              <w:ind w:firstLine="0"/>
              <w:rPr>
                <w:sz w:val="20"/>
                <w:szCs w:val="20"/>
              </w:rPr>
            </w:pPr>
            <w:r w:rsidRPr="0076051A">
              <w:rPr>
                <w:sz w:val="20"/>
                <w:szCs w:val="20"/>
              </w:rPr>
              <w:t>Skåne</w:t>
            </w:r>
          </w:p>
        </w:tc>
        <w:tc>
          <w:tcPr>
            <w:tcW w:w="2740" w:type="dxa"/>
          </w:tcPr>
          <w:p w:rsidRPr="0076051A" w:rsidR="00F91EE4" w:rsidP="00636679" w:rsidRDefault="00F91EE4" w14:paraId="316E4C97" w14:textId="246DA1E1">
            <w:pPr>
              <w:spacing w:before="80" w:line="240" w:lineRule="exact"/>
              <w:ind w:firstLine="0"/>
              <w:jc w:val="right"/>
              <w:rPr>
                <w:sz w:val="20"/>
                <w:szCs w:val="20"/>
              </w:rPr>
            </w:pPr>
            <w:r w:rsidRPr="0076051A">
              <w:rPr>
                <w:sz w:val="20"/>
                <w:szCs w:val="20"/>
              </w:rPr>
              <w:t>1,4 %</w:t>
            </w:r>
          </w:p>
        </w:tc>
      </w:tr>
      <w:tr w:rsidRPr="009438AF" w:rsidR="00F91EE4" w:rsidTr="00D107A5" w14:paraId="37B18457" w14:textId="59EA6F20">
        <w:tc>
          <w:tcPr>
            <w:tcW w:w="3259" w:type="dxa"/>
          </w:tcPr>
          <w:p w:rsidRPr="0076051A" w:rsidR="00F91EE4" w:rsidP="0076051A" w:rsidRDefault="00F91EE4" w14:paraId="2B7DCC1E" w14:textId="77777777">
            <w:pPr>
              <w:spacing w:before="80" w:line="240" w:lineRule="exact"/>
              <w:ind w:firstLine="0"/>
              <w:rPr>
                <w:sz w:val="20"/>
                <w:szCs w:val="20"/>
              </w:rPr>
            </w:pPr>
            <w:r w:rsidRPr="0076051A">
              <w:rPr>
                <w:sz w:val="20"/>
                <w:szCs w:val="20"/>
              </w:rPr>
              <w:t>Halland</w:t>
            </w:r>
          </w:p>
        </w:tc>
        <w:tc>
          <w:tcPr>
            <w:tcW w:w="2740" w:type="dxa"/>
          </w:tcPr>
          <w:p w:rsidRPr="0076051A" w:rsidR="00F91EE4" w:rsidP="00636679" w:rsidRDefault="00F91EE4" w14:paraId="140C51F9" w14:textId="1CE7FFE5">
            <w:pPr>
              <w:spacing w:before="80" w:line="240" w:lineRule="exact"/>
              <w:ind w:firstLine="0"/>
              <w:jc w:val="right"/>
              <w:rPr>
                <w:sz w:val="20"/>
                <w:szCs w:val="20"/>
              </w:rPr>
            </w:pPr>
            <w:r w:rsidRPr="0076051A">
              <w:rPr>
                <w:sz w:val="20"/>
                <w:szCs w:val="20"/>
              </w:rPr>
              <w:t>1,4 %</w:t>
            </w:r>
          </w:p>
        </w:tc>
      </w:tr>
      <w:tr w:rsidRPr="009438AF" w:rsidR="00F91EE4" w:rsidTr="00D107A5" w14:paraId="2C114CC9" w14:textId="0EDB69F4">
        <w:tc>
          <w:tcPr>
            <w:tcW w:w="3259" w:type="dxa"/>
          </w:tcPr>
          <w:p w:rsidRPr="0076051A" w:rsidR="00F91EE4" w:rsidP="0076051A" w:rsidRDefault="00F91EE4" w14:paraId="302ED100" w14:textId="77777777">
            <w:pPr>
              <w:spacing w:before="80" w:line="240" w:lineRule="exact"/>
              <w:ind w:firstLine="0"/>
              <w:rPr>
                <w:sz w:val="20"/>
                <w:szCs w:val="20"/>
              </w:rPr>
            </w:pPr>
            <w:r w:rsidRPr="0076051A">
              <w:rPr>
                <w:sz w:val="20"/>
                <w:szCs w:val="20"/>
              </w:rPr>
              <w:t>Blekinge</w:t>
            </w:r>
          </w:p>
        </w:tc>
        <w:tc>
          <w:tcPr>
            <w:tcW w:w="2740" w:type="dxa"/>
          </w:tcPr>
          <w:p w:rsidRPr="0076051A" w:rsidR="00F91EE4" w:rsidP="00636679" w:rsidRDefault="00F91EE4" w14:paraId="0F14CD36" w14:textId="0B50AECA">
            <w:pPr>
              <w:spacing w:before="80" w:line="240" w:lineRule="exact"/>
              <w:ind w:firstLine="0"/>
              <w:jc w:val="right"/>
              <w:rPr>
                <w:sz w:val="20"/>
                <w:szCs w:val="20"/>
              </w:rPr>
            </w:pPr>
            <w:r w:rsidRPr="0076051A">
              <w:rPr>
                <w:sz w:val="20"/>
                <w:szCs w:val="20"/>
              </w:rPr>
              <w:t>1,2 %</w:t>
            </w:r>
          </w:p>
        </w:tc>
      </w:tr>
      <w:tr w:rsidRPr="009438AF" w:rsidR="00F91EE4" w:rsidTr="00D107A5" w14:paraId="6E12A796" w14:textId="4D37CEC6">
        <w:tc>
          <w:tcPr>
            <w:tcW w:w="3259" w:type="dxa"/>
            <w:tcBorders>
              <w:bottom w:val="single" w:color="auto" w:sz="4" w:space="0"/>
            </w:tcBorders>
          </w:tcPr>
          <w:p w:rsidRPr="0076051A" w:rsidR="00F91EE4" w:rsidP="0076051A" w:rsidRDefault="00F91EE4" w14:paraId="2EBB8F64" w14:textId="77777777">
            <w:pPr>
              <w:spacing w:before="80" w:line="240" w:lineRule="exact"/>
              <w:ind w:firstLine="0"/>
              <w:rPr>
                <w:sz w:val="20"/>
                <w:szCs w:val="20"/>
              </w:rPr>
            </w:pPr>
            <w:r w:rsidRPr="0076051A">
              <w:rPr>
                <w:sz w:val="20"/>
                <w:szCs w:val="20"/>
              </w:rPr>
              <w:t>Jönköping</w:t>
            </w:r>
          </w:p>
        </w:tc>
        <w:tc>
          <w:tcPr>
            <w:tcW w:w="2740" w:type="dxa"/>
            <w:tcBorders>
              <w:bottom w:val="single" w:color="auto" w:sz="4" w:space="0"/>
            </w:tcBorders>
          </w:tcPr>
          <w:p w:rsidRPr="0076051A" w:rsidR="00F91EE4" w:rsidP="00636679" w:rsidRDefault="00F91EE4" w14:paraId="6C78B708" w14:textId="314E3082">
            <w:pPr>
              <w:spacing w:before="80" w:line="240" w:lineRule="exact"/>
              <w:ind w:firstLine="0"/>
              <w:jc w:val="right"/>
              <w:rPr>
                <w:sz w:val="20"/>
                <w:szCs w:val="20"/>
              </w:rPr>
            </w:pPr>
            <w:r w:rsidRPr="0076051A">
              <w:rPr>
                <w:sz w:val="20"/>
                <w:szCs w:val="20"/>
              </w:rPr>
              <w:t>0,8 %</w:t>
            </w:r>
          </w:p>
        </w:tc>
      </w:tr>
    </w:tbl>
    <w:p w:rsidRPr="009438AF" w:rsidR="00AB166D" w:rsidP="0076051A" w:rsidRDefault="0069201F" w14:paraId="05FFF073" w14:textId="0100DD35">
      <w:pPr>
        <w:spacing w:before="240"/>
        <w:ind w:firstLine="0"/>
      </w:pPr>
      <w:r w:rsidRPr="009438AF">
        <w:t>Varför andelen bristningar skiljer sig så mycket beroende på region eller landsting kan ha med flera saker att gör</w:t>
      </w:r>
      <w:r w:rsidRPr="009438AF" w:rsidR="008F090E">
        <w:t xml:space="preserve">a, men olika bedömare har pekat på skillnader i personalens kompetens, förmåga att upptäcka skador samt vilken patientsammansättning som finns i olika landsting eller regioner. </w:t>
      </w:r>
      <w:r w:rsidRPr="009438AF" w:rsidR="005647BB">
        <w:t>Det finns en tydlig koppli</w:t>
      </w:r>
      <w:r w:rsidRPr="009438AF" w:rsidR="000E54E3">
        <w:t>ng mellan hög patientbelastning samt</w:t>
      </w:r>
      <w:r w:rsidRPr="009438AF" w:rsidR="005647BB">
        <w:t xml:space="preserve"> personalbrist och ö</w:t>
      </w:r>
      <w:r w:rsidRPr="009438AF" w:rsidR="000E54E3">
        <w:t xml:space="preserve">kad risk för förlossningsskador, vilket </w:t>
      </w:r>
      <w:r w:rsidRPr="009438AF" w:rsidR="00BD7D85">
        <w:t xml:space="preserve">landstinget i </w:t>
      </w:r>
      <w:r w:rsidRPr="009438AF" w:rsidR="000E54E3">
        <w:t>Stockholm kon</w:t>
      </w:r>
      <w:r w:rsidRPr="009438AF" w:rsidR="005A1881">
        <w:t>tra Västra Götaland</w:t>
      </w:r>
      <w:r w:rsidRPr="009438AF" w:rsidR="000E54E3">
        <w:t xml:space="preserve"> kan ses som tydliga exempel på. </w:t>
      </w:r>
      <w:r w:rsidRPr="009438AF" w:rsidR="00FA69CE">
        <w:t>Den norska principen</w:t>
      </w:r>
      <w:r w:rsidRPr="009438AF" w:rsidR="00D16308">
        <w:t xml:space="preserve"> (en </w:t>
      </w:r>
      <w:proofErr w:type="spellStart"/>
      <w:r w:rsidRPr="009438AF" w:rsidR="00D16308">
        <w:t>jordmor</w:t>
      </w:r>
      <w:proofErr w:type="spellEnd"/>
      <w:r w:rsidRPr="009438AF" w:rsidR="00D16308">
        <w:t xml:space="preserve">/barnmorska skall hjälpa endast en kvinna i aktiv födsel åt gången) </w:t>
      </w:r>
      <w:r w:rsidRPr="009438AF" w:rsidR="00FA69CE">
        <w:t xml:space="preserve">visar </w:t>
      </w:r>
      <w:r w:rsidRPr="009438AF" w:rsidR="00D16308">
        <w:t>på vikten av en hög personaltäthet. Alla kliniker i Norge åläggs därför att kontrollera att dom har kapacitet och följer den nämnda principen som sedan 2010 blivit ett krav.</w:t>
      </w:r>
    </w:p>
    <w:p w:rsidRPr="0076051A" w:rsidR="008F090E" w:rsidP="0076051A" w:rsidRDefault="00165D1F" w14:paraId="46B82060" w14:textId="5B78B21E">
      <w:r w:rsidRPr="0076051A">
        <w:t xml:space="preserve">Det </w:t>
      </w:r>
      <w:r w:rsidRPr="0076051A" w:rsidR="00AB166D">
        <w:t xml:space="preserve">finns </w:t>
      </w:r>
      <w:r w:rsidRPr="0076051A" w:rsidR="00603747">
        <w:t>mycket att</w:t>
      </w:r>
      <w:r w:rsidRPr="0076051A" w:rsidR="00AB166D">
        <w:t xml:space="preserve"> arbeta med</w:t>
      </w:r>
      <w:r w:rsidRPr="0076051A">
        <w:t xml:space="preserve"> då vi ser en tydlig statistisk skillnad beroende på var </w:t>
      </w:r>
      <w:r w:rsidRPr="0076051A" w:rsidR="000E54E3">
        <w:t xml:space="preserve">i landet en förlossning </w:t>
      </w:r>
      <w:r w:rsidRPr="0076051A">
        <w:t>sker</w:t>
      </w:r>
      <w:r w:rsidRPr="0076051A" w:rsidR="000E54E3">
        <w:t xml:space="preserve">. Genom </w:t>
      </w:r>
      <w:r w:rsidRPr="0076051A" w:rsidR="00EC47AE">
        <w:t xml:space="preserve">att ta </w:t>
      </w:r>
      <w:r w:rsidRPr="0076051A" w:rsidR="000E54E3">
        <w:t>lärdom av de som lyckats bättre kan livet för många kvinnor förbättras avsevärt. M</w:t>
      </w:r>
      <w:r w:rsidRPr="0076051A">
        <w:t xml:space="preserve">ot bakgrund av den dåliga statistiken för Sverige rent generellt har vi även mycket att lära från andra länder </w:t>
      </w:r>
      <w:r w:rsidRPr="0076051A" w:rsidR="000E54E3">
        <w:t>som tr</w:t>
      </w:r>
      <w:r w:rsidRPr="0076051A">
        <w:t xml:space="preserve">ots liknande förutsättningar har lyckats </w:t>
      </w:r>
      <w:r w:rsidRPr="0076051A" w:rsidR="000E54E3">
        <w:t xml:space="preserve">betydligt </w:t>
      </w:r>
      <w:r w:rsidRPr="0076051A">
        <w:t xml:space="preserve">bättre. </w:t>
      </w:r>
      <w:r w:rsidRPr="0076051A" w:rsidR="008F4F8B">
        <w:t xml:space="preserve">Bristningar är en vårdskada som ingen vill drabbas av, och det finns enligt expertisen mycket man kan göra under förlossningen för att skadan ska undvikas. </w:t>
      </w:r>
      <w:r w:rsidRPr="0076051A">
        <w:t xml:space="preserve">Riksdagen bör </w:t>
      </w:r>
      <w:r w:rsidRPr="0076051A" w:rsidR="008F4F8B">
        <w:t xml:space="preserve">därför </w:t>
      </w:r>
      <w:r w:rsidRPr="0076051A">
        <w:t>ge regeringen i uppgift att tillsätta en kommitt</w:t>
      </w:r>
      <w:r w:rsidRPr="0076051A" w:rsidR="00C35324">
        <w:t>é</w:t>
      </w:r>
      <w:r w:rsidRPr="0076051A">
        <w:t>, gärna bestående av kunniga inom professionen, i syfte att finna lösningar på hur antalet förlossningsskador i Sverige</w:t>
      </w:r>
      <w:r w:rsidRPr="0076051A" w:rsidR="004772D7">
        <w:t xml:space="preserve"> kan minska</w:t>
      </w:r>
      <w:r w:rsidRPr="0076051A">
        <w:t>.</w:t>
      </w:r>
    </w:p>
    <w:p w:rsidRPr="0076051A" w:rsidR="0069201F" w:rsidP="0076051A" w:rsidRDefault="006028C7" w14:paraId="58174845" w14:textId="2446E145">
      <w:r w:rsidRPr="0076051A">
        <w:t xml:space="preserve">Trots att </w:t>
      </w:r>
      <w:r w:rsidRPr="0076051A" w:rsidR="000D3E6C">
        <w:t xml:space="preserve">viss </w:t>
      </w:r>
      <w:r w:rsidRPr="0076051A">
        <w:t>statistik finns kring förlossningsskador finns mycket kvar att göra för att få en helhetsbild av hur det faktiskt ser ut idag då inte alla skador registreras. I för</w:t>
      </w:r>
      <w:r w:rsidR="0076051A">
        <w:softHyphen/>
      </w:r>
      <w:r w:rsidRPr="0076051A">
        <w:t xml:space="preserve">lossningsskaderegistret hos Socialstyrelsen, det som kallas medicinska </w:t>
      </w:r>
      <w:r w:rsidRPr="0076051A" w:rsidR="008C150F">
        <w:t>födelseregistret</w:t>
      </w:r>
      <w:r w:rsidRPr="0076051A">
        <w:t>, finns enbart de svåraste bristningarna</w:t>
      </w:r>
      <w:r w:rsidRPr="0076051A" w:rsidR="003E419D">
        <w:t xml:space="preserve"> (analsfinkterskador, alltså bristningar av grad</w:t>
      </w:r>
      <w:r w:rsidRPr="0076051A" w:rsidR="00C35324">
        <w:t> </w:t>
      </w:r>
      <w:r w:rsidRPr="0076051A" w:rsidR="003E419D">
        <w:t>3 och</w:t>
      </w:r>
      <w:r w:rsidRPr="0076051A" w:rsidR="00C35324">
        <w:t> </w:t>
      </w:r>
      <w:r w:rsidRPr="0076051A" w:rsidR="003E419D">
        <w:t>4)</w:t>
      </w:r>
      <w:r w:rsidRPr="0076051A">
        <w:t xml:space="preserve">. </w:t>
      </w:r>
      <w:r w:rsidRPr="0076051A" w:rsidR="003E419D">
        <w:t>Dessa drabbar cirka</w:t>
      </w:r>
      <w:r w:rsidRPr="0076051A" w:rsidR="00C35324">
        <w:t xml:space="preserve"> </w:t>
      </w:r>
      <w:r w:rsidRPr="0076051A" w:rsidR="003E419D">
        <w:t>5</w:t>
      </w:r>
      <w:r w:rsidRPr="0076051A" w:rsidR="00C35324">
        <w:t> </w:t>
      </w:r>
      <w:r w:rsidRPr="0076051A" w:rsidR="003E419D">
        <w:t>procent av alla födande men till följd av den bristande statistiken</w:t>
      </w:r>
      <w:r w:rsidRPr="0076051A">
        <w:t xml:space="preserve"> vet man </w:t>
      </w:r>
      <w:r w:rsidRPr="0076051A" w:rsidR="003E419D">
        <w:t xml:space="preserve">alltså </w:t>
      </w:r>
      <w:r w:rsidRPr="0076051A">
        <w:t xml:space="preserve">inte helt säkert hur många som drabbas av förlossningsskador </w:t>
      </w:r>
      <w:r w:rsidRPr="0076051A">
        <w:lastRenderedPageBreak/>
        <w:t>totalt sett.</w:t>
      </w:r>
      <w:r w:rsidRPr="0076051A" w:rsidR="00165D1F">
        <w:t xml:space="preserve"> </w:t>
      </w:r>
      <w:r w:rsidRPr="0076051A" w:rsidR="00C35324">
        <w:t>E</w:t>
      </w:r>
      <w:r w:rsidRPr="0076051A" w:rsidR="003E419D">
        <w:t>n tämligen ovanlig studie från Danderyds sjukhus och BB Stockholm visade dock att ungefär 78 procent av de födande kvinnorna drabbades av en grad</w:t>
      </w:r>
      <w:r w:rsidRPr="0076051A" w:rsidR="00C35324">
        <w:t> </w:t>
      </w:r>
      <w:r w:rsidRPr="0076051A" w:rsidR="003E419D">
        <w:t>2</w:t>
      </w:r>
      <w:r w:rsidRPr="0076051A" w:rsidR="00C35324">
        <w:noBreakHyphen/>
      </w:r>
      <w:r w:rsidRPr="0076051A" w:rsidR="003E419D">
        <w:t>bristning. Sorgligt nog innebär även en grad</w:t>
      </w:r>
      <w:r w:rsidRPr="0076051A" w:rsidR="00FC5FE1">
        <w:t> </w:t>
      </w:r>
      <w:r w:rsidRPr="0076051A" w:rsidR="003E419D">
        <w:t>2</w:t>
      </w:r>
      <w:r w:rsidRPr="0076051A" w:rsidR="00FC5FE1">
        <w:noBreakHyphen/>
      </w:r>
      <w:r w:rsidRPr="0076051A" w:rsidR="003E419D">
        <w:t>bristning, som generellt anses som lindrig, att en drabbad får besvär om det inte sys korrekt. Utöver smärta kan det handla om urin</w:t>
      </w:r>
      <w:r w:rsidR="0076051A">
        <w:softHyphen/>
      </w:r>
      <w:r w:rsidRPr="0076051A" w:rsidR="003E419D">
        <w:t xml:space="preserve">inkontinens och svårigheter att tömma tarmen. </w:t>
      </w:r>
      <w:r w:rsidRPr="0076051A" w:rsidR="00165D1F">
        <w:t>Regeringen bör undersöka möjligheten att utöka insamlingen av statistik rörande samtliga förlossnings</w:t>
      </w:r>
      <w:r w:rsidRPr="0076051A" w:rsidR="00A464C3">
        <w:softHyphen/>
      </w:r>
      <w:r w:rsidRPr="0076051A" w:rsidR="00165D1F">
        <w:t>skador i våra regioner och landsting.</w:t>
      </w:r>
    </w:p>
    <w:p w:rsidRPr="00D160A5" w:rsidR="006A69F5" w:rsidP="00D160A5" w:rsidRDefault="006A69F5" w14:paraId="7545984C" w14:textId="77777777">
      <w:pPr>
        <w:pStyle w:val="Rubrik1"/>
      </w:pPr>
      <w:r w:rsidRPr="00D160A5">
        <w:t>Nationellt kompetenscentrum för förlossningsvård</w:t>
      </w:r>
      <w:r w:rsidRPr="00D160A5" w:rsidR="002014E5">
        <w:t xml:space="preserve">, kunskapsstöd till förlossningsvården </w:t>
      </w:r>
      <w:r w:rsidRPr="00D160A5" w:rsidR="00505C90">
        <w:t>och</w:t>
      </w:r>
      <w:r w:rsidRPr="00D160A5" w:rsidR="00520708">
        <w:t xml:space="preserve"> n</w:t>
      </w:r>
      <w:r w:rsidRPr="00D160A5">
        <w:t>ationella riktlinjer</w:t>
      </w:r>
    </w:p>
    <w:p w:rsidRPr="009438AF" w:rsidR="008563F2" w:rsidP="008E0FE2" w:rsidRDefault="00076A69" w14:paraId="09F08BC8" w14:textId="4FD37AAA">
      <w:pPr>
        <w:pStyle w:val="Normalutanindragellerluft"/>
      </w:pPr>
      <w:r w:rsidRPr="009438AF">
        <w:t>Förlossningen, det som borde vara en av de absolut lyckligaste stunderna i en förälders liv</w:t>
      </w:r>
      <w:r w:rsidR="00FC5FE1">
        <w:t>,</w:t>
      </w:r>
      <w:r w:rsidRPr="009438AF">
        <w:t xml:space="preserve"> kan </w:t>
      </w:r>
      <w:r w:rsidRPr="009438AF" w:rsidR="00A93186">
        <w:t>plötsligt</w:t>
      </w:r>
      <w:r w:rsidRPr="009438AF">
        <w:t xml:space="preserve"> vändas till en personlig tragedi. För de allra flesta går förlossningen bra, men många kvinnor drabbas ändå av så svåra förlossningsskador att de fortfarande flera år senare är sjukskrivna samtidigt som eftervården kan betraktas som obefintlig. </w:t>
      </w:r>
      <w:r w:rsidRPr="009438AF" w:rsidR="00A93186">
        <w:t>Det bedrivs likaså för lite forskning inom området och Sverige ligger, som bekant</w:t>
      </w:r>
      <w:r w:rsidR="00FC5FE1">
        <w:t>,</w:t>
      </w:r>
      <w:r w:rsidRPr="009438AF" w:rsidR="00A93186">
        <w:t xml:space="preserve"> långt efter jämförbara länder avseende förlossningsskador. Av den anledningen bör reger</w:t>
      </w:r>
      <w:r w:rsidR="0076051A">
        <w:softHyphen/>
      </w:r>
      <w:r w:rsidRPr="009438AF" w:rsidR="00A93186">
        <w:t xml:space="preserve">ingen se till att det skapas ett nationellt kompetenscentrum och samtidigt uppdra till exempelvis Socialstyrelsen att införa nationella riktlinjer för förlossningsvården. Dessa riktlinjer </w:t>
      </w:r>
      <w:r w:rsidRPr="009438AF" w:rsidR="00505C90">
        <w:t>är extra viktiga då vi idag har 21 regioner som arbetar var för sig med förloss</w:t>
      </w:r>
      <w:r w:rsidR="0076051A">
        <w:softHyphen/>
      </w:r>
      <w:r w:rsidRPr="009438AF" w:rsidR="00505C90">
        <w:t>ningsvården. Riktlinjerna kan därför</w:t>
      </w:r>
      <w:r w:rsidRPr="009438AF" w:rsidR="00A93186">
        <w:t xml:space="preserve"> underlätta för samstämmighet samt sätta </w:t>
      </w:r>
      <w:r w:rsidRPr="009438AF" w:rsidR="00505C90">
        <w:t xml:space="preserve">en </w:t>
      </w:r>
      <w:r w:rsidRPr="009438AF" w:rsidR="00A93186">
        <w:t>mini</w:t>
      </w:r>
      <w:r w:rsidR="0076051A">
        <w:softHyphen/>
      </w:r>
      <w:r w:rsidR="00FC5FE1">
        <w:t>mi</w:t>
      </w:r>
      <w:r w:rsidRPr="009438AF" w:rsidR="00A93186">
        <w:t xml:space="preserve">standard för hur förlossningsvården ska organiseras. De ska även kunna visa vad vården ska medföra beträffande såväl grundläggande service som rimligt avstånd till en förlossningsklinik. </w:t>
      </w:r>
      <w:r w:rsidRPr="009438AF" w:rsidR="002014E5">
        <w:t>Mot bakgrund av de skillnader som finns i olika regioner krävs också kunskapsstöd för förlossningsvården för att motverka dessa skillnader och på så sätt minska risken att spädbarn dör i onödan. Regeringen bör därför inrätta ett särskilt kunskapsstöd för förlossningsvården för att motverka regionala skillnader.</w:t>
      </w:r>
    </w:p>
    <w:p w:rsidRPr="00D160A5" w:rsidR="006F2226" w:rsidP="00D160A5" w:rsidRDefault="006F2226" w14:paraId="681DCE74" w14:textId="77777777">
      <w:pPr>
        <w:pStyle w:val="Rubrik1"/>
      </w:pPr>
      <w:r w:rsidRPr="00D160A5">
        <w:t>Garanterad uppföljning efter förlossningen</w:t>
      </w:r>
      <w:r w:rsidRPr="00D160A5" w:rsidR="00F20BAD">
        <w:t>, stöd till rehabilitering för kvinnor med fysiska eller psykiska besvär och fler specialistcenter för eftervård</w:t>
      </w:r>
    </w:p>
    <w:p w:rsidRPr="00D160A5" w:rsidR="00107883" w:rsidP="00D160A5" w:rsidRDefault="006F2226" w14:paraId="5A862529" w14:textId="5F7173DD">
      <w:pPr>
        <w:pStyle w:val="Normalutanindragellerluft"/>
      </w:pPr>
      <w:r w:rsidRPr="00D160A5">
        <w:t xml:space="preserve">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w:t>
      </w:r>
      <w:r w:rsidRPr="00D160A5" w:rsidR="00107883">
        <w:t>Levatorskador är exempelvis en förlossningsskada som först på senare tid har börjat uppmärksammas. Det handlar om skador på den muskel som håller uppe hela bäckenbotten och i utländska studier kan man se att mellan 10 och 12 procent av kvin</w:t>
      </w:r>
      <w:r w:rsidR="0076051A">
        <w:softHyphen/>
      </w:r>
      <w:r w:rsidRPr="00D160A5" w:rsidR="00107883">
        <w:t>norna har fått en levatorskada i samband med sin första förlossning. Tyvärr finns det dock inte mycket officiell statistik i Sverige över antalet drabbade att ta del av, just för att denna vårdskada länge har negligerats. Det finns därför väldigt lite forskning om levatorskador</w:t>
      </w:r>
      <w:r w:rsidRPr="00D160A5" w:rsidR="00A309C8">
        <w:t xml:space="preserve"> trots att mycket tyder på att de till och med är vanligare än </w:t>
      </w:r>
      <w:r w:rsidRPr="00D160A5" w:rsidR="00107883">
        <w:t>sfinkterskador.</w:t>
      </w:r>
    </w:p>
    <w:p w:rsidRPr="009438AF" w:rsidR="00994613" w:rsidP="00F20BAD" w:rsidRDefault="00272ECC" w14:paraId="674C7ABF" w14:textId="16608B24">
      <w:r w:rsidRPr="009438AF">
        <w:lastRenderedPageBreak/>
        <w:t xml:space="preserve">Trots att födseln är en naturlig del av livet har inte kvinnor det skydd man kan förväntas få i ett välfärdsland med allmän sjukvård. </w:t>
      </w:r>
      <w:r w:rsidRPr="009438AF" w:rsidR="00194374">
        <w:t xml:space="preserve">Många kvinnor tvingas nämligen att leva med långvariga komplikationer efter en förlossning och de allra flesta skadorna upptäcks för sent eller inte alls. Regeringen bör därför säkerställa att mödravården får ett tydligare ansvar </w:t>
      </w:r>
      <w:r w:rsidR="00FC5FE1">
        <w:t xml:space="preserve">för </w:t>
      </w:r>
      <w:r w:rsidRPr="009438AF" w:rsidR="00194374">
        <w:t xml:space="preserve">att följa upp såväl den psykiska som </w:t>
      </w:r>
      <w:r w:rsidR="00FC5FE1">
        <w:t xml:space="preserve">den </w:t>
      </w:r>
      <w:r w:rsidRPr="009438AF" w:rsidR="00194374">
        <w:t xml:space="preserve">fysiska situationen för de kvinnor som genomgått en förlossning senast några veckor efter födseln. </w:t>
      </w:r>
      <w:r w:rsidRPr="009438AF" w:rsidR="00A309C8">
        <w:t>Vidare bör ett statligt bidrag för förlossningsrelaterad rehab införas.</w:t>
      </w:r>
    </w:p>
    <w:p w:rsidRPr="009438AF" w:rsidR="00DA4746" w:rsidP="00DA4746" w:rsidRDefault="004772D7" w14:paraId="7C0DDDF4" w14:textId="100D0B26">
      <w:r w:rsidRPr="009438AF">
        <w:t xml:space="preserve">I Sverige finns det idag </w:t>
      </w:r>
      <w:r w:rsidRPr="009438AF" w:rsidR="000D7215">
        <w:t xml:space="preserve">bara </w:t>
      </w:r>
      <w:r w:rsidRPr="009438AF">
        <w:t xml:space="preserve">två centrum för de </w:t>
      </w:r>
      <w:r w:rsidRPr="009438AF" w:rsidR="00DC1E83">
        <w:t xml:space="preserve">allra </w:t>
      </w:r>
      <w:r w:rsidRPr="009438AF">
        <w:t xml:space="preserve">svåraste förlossningsskadorna, Huddinge sjukhus samt </w:t>
      </w:r>
      <w:r w:rsidR="00FC5FE1">
        <w:t>K</w:t>
      </w:r>
      <w:r w:rsidRPr="009438AF">
        <w:t xml:space="preserve">vinnokliniken i Linköping. </w:t>
      </w:r>
      <w:r w:rsidRPr="009438AF" w:rsidR="000D7215">
        <w:t xml:space="preserve">Dessvärre är det </w:t>
      </w:r>
      <w:r w:rsidRPr="009438AF">
        <w:t xml:space="preserve">långa köer och </w:t>
      </w:r>
      <w:r w:rsidRPr="009438AF" w:rsidR="000D7215">
        <w:t xml:space="preserve">mycket </w:t>
      </w:r>
      <w:r w:rsidRPr="009438AF">
        <w:t>svårt för kvinnor att nå fram</w:t>
      </w:r>
      <w:r w:rsidRPr="009438AF" w:rsidR="000D7215">
        <w:t xml:space="preserve"> till båda dessa ställen</w:t>
      </w:r>
      <w:r w:rsidRPr="009438AF">
        <w:t>.</w:t>
      </w:r>
      <w:r w:rsidRPr="009438AF" w:rsidR="000D7215">
        <w:t xml:space="preserve"> Det faller dessutom på sin egen orimlighet att en svårt skadad kvinna från </w:t>
      </w:r>
      <w:r w:rsidRPr="009438AF" w:rsidR="00E10FA4">
        <w:t xml:space="preserve">exempelvis </w:t>
      </w:r>
      <w:r w:rsidRPr="009438AF" w:rsidR="000D7215">
        <w:t>de nordligaste delarna av Sverige ska tvingas färdas hundratals mil efter sin förlossning. Riksdagen bör ge reger</w:t>
      </w:r>
      <w:r w:rsidR="0076051A">
        <w:softHyphen/>
      </w:r>
      <w:r w:rsidRPr="009438AF" w:rsidR="000D7215">
        <w:t>ingen i uppgift att se över möjligheten till fler specialistcenter för eftervård</w:t>
      </w:r>
      <w:r w:rsidRPr="009438AF" w:rsidR="002014E5">
        <w:t xml:space="preserve"> och regeringen bör införa en nationell garanti till alla kvinnor att få operation efter att ha drabbats av förlossningsskador</w:t>
      </w:r>
      <w:r w:rsidRPr="009438AF" w:rsidR="000D7215">
        <w:t>.</w:t>
      </w:r>
    </w:p>
    <w:sdt>
      <w:sdtPr>
        <w:rPr>
          <w:i/>
          <w:noProof/>
        </w:rPr>
        <w:alias w:val="CC_Underskrifter"/>
        <w:tag w:val="CC_Underskrifter"/>
        <w:id w:val="583496634"/>
        <w:lock w:val="sdtContentLocked"/>
        <w:placeholder>
          <w:docPart w:val="51D232F0D5454E52972B154DD47CB0BA"/>
        </w:placeholder>
      </w:sdtPr>
      <w:sdtEndPr>
        <w:rPr>
          <w:i w:val="0"/>
          <w:noProof w:val="0"/>
        </w:rPr>
      </w:sdtEndPr>
      <w:sdtContent>
        <w:p w:rsidR="00B2578F" w:rsidP="009438AF" w:rsidRDefault="00B2578F" w14:paraId="3B08E169" w14:textId="77777777"/>
        <w:p w:rsidRPr="008E0FE2" w:rsidR="004801AC" w:rsidP="009438AF" w:rsidRDefault="00D107A5" w14:paraId="5EBC58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C56D1F" w:rsidRDefault="00C56D1F" w14:paraId="7DB38764" w14:textId="77777777"/>
    <w:sectPr w:rsidR="00C56D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443E" w14:textId="77777777" w:rsidR="00C2404C" w:rsidRDefault="00C2404C" w:rsidP="000C1CAD">
      <w:pPr>
        <w:spacing w:line="240" w:lineRule="auto"/>
      </w:pPr>
      <w:r>
        <w:separator/>
      </w:r>
    </w:p>
  </w:endnote>
  <w:endnote w:type="continuationSeparator" w:id="0">
    <w:p w14:paraId="5E0C8A36" w14:textId="77777777" w:rsidR="00C2404C" w:rsidRDefault="00C24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8B27"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5D6F"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D5DC" w14:textId="77777777" w:rsidR="00AF1400" w:rsidRPr="009438AF" w:rsidRDefault="00AF1400" w:rsidP="00943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83EFA" w14:textId="77777777" w:rsidR="00C2404C" w:rsidRDefault="00C2404C" w:rsidP="000C1CAD">
      <w:pPr>
        <w:spacing w:line="240" w:lineRule="auto"/>
      </w:pPr>
      <w:r>
        <w:separator/>
      </w:r>
    </w:p>
  </w:footnote>
  <w:footnote w:type="continuationSeparator" w:id="0">
    <w:p w14:paraId="031A021C" w14:textId="77777777" w:rsidR="00C2404C" w:rsidRDefault="00C24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776B74" w:rsidRDefault="00AF1400" w14:paraId="200600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24B9F" wp14:anchorId="67F7B9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F1400" w:rsidP="008103B5" w:rsidRDefault="00D107A5" w14:paraId="354C9FC1"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7B9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1400" w:rsidP="008103B5" w:rsidRDefault="00D107A5" w14:paraId="354C9FC1"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rsidRPr="00293C4F" w:rsidR="00AF1400" w:rsidP="00776B74" w:rsidRDefault="00AF1400" w14:paraId="216033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8563AC" w:rsidRDefault="00AF1400" w14:paraId="1018BF1A" w14:textId="77777777">
    <w:pPr>
      <w:jc w:val="right"/>
    </w:pPr>
  </w:p>
  <w:p w:rsidR="00AF1400" w:rsidP="00776B74" w:rsidRDefault="00AF1400" w14:paraId="2067F8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8563AC" w:rsidRDefault="00D107A5" w14:paraId="16B75648" w14:textId="77777777">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editId="3A4CF480" wp14:anchorId="5E3BE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F1400" w:rsidP="00A314CF" w:rsidRDefault="00D107A5" w14:paraId="1275CE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placeholder>
          <w:docPart w:val="B031F364647542FF9964BC852384A8F0"/>
        </w:placeholder>
        <w:showingPlcHdr/>
        <w:text/>
      </w:sdtPr>
      <w:sdtEndPr/>
      <w:sdtContent>
        <w:r w:rsidR="00AF1400">
          <w:t xml:space="preserve"> </w:t>
        </w:r>
      </w:sdtContent>
    </w:sdt>
  </w:p>
  <w:p w:rsidRPr="008227B3" w:rsidR="00AF1400" w:rsidP="008227B3" w:rsidRDefault="00D107A5" w14:paraId="4C91A628" w14:textId="77777777">
    <w:pPr>
      <w:pStyle w:val="MotionTIllRiksdagen"/>
    </w:pPr>
    <w:sdt>
      <w:sdtPr>
        <w:alias w:val="CC_Boilerplate_1"/>
        <w:tag w:val="CC_Boilerplate_1"/>
        <w:id w:val="2134750458"/>
        <w:lock w:val="sdtContentLocked"/>
        <w15:appearance w15:val="hidden"/>
        <w:text/>
      </w:sdtPr>
      <w:sdtEndPr/>
      <w:sdtContent>
        <w:r w:rsidRPr="008227B3" w:rsidR="00AF1400">
          <w:t>Motion till riksdagen </w:t>
        </w:r>
      </w:sdtContent>
    </w:sdt>
  </w:p>
  <w:p w:rsidRPr="008227B3" w:rsidR="00AF1400" w:rsidP="00B37A37" w:rsidRDefault="00D107A5" w14:paraId="0AA03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96A766F0EF24AB58E3530FBF5D5F4D4"/>
        </w:placeholder>
        <w:showingPlcHdr/>
        <w15:appearance w15:val="hidden"/>
        <w:text/>
      </w:sdtPr>
      <w:sdtEndPr>
        <w:rPr>
          <w:rStyle w:val="Rubrik1Char"/>
          <w:rFonts w:asciiTheme="majorHAnsi" w:hAnsiTheme="majorHAnsi"/>
          <w:sz w:val="38"/>
        </w:rPr>
      </w:sdtEndPr>
      <w:sdtContent>
        <w:r>
          <w:t>:3393</w:t>
        </w:r>
      </w:sdtContent>
    </w:sdt>
  </w:p>
  <w:p w:rsidR="00AF1400" w:rsidP="00E03A3D" w:rsidRDefault="00D107A5" w14:paraId="3E7F4A14"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AF1400" w:rsidP="00283E0F" w:rsidRDefault="00AF1400" w14:paraId="3449B928" w14:textId="77777777">
        <w:pPr>
          <w:pStyle w:val="FSHRub2"/>
        </w:pPr>
        <w:r>
          <w:t>En utvecklad förlossnings- och mödravård</w:t>
        </w:r>
      </w:p>
    </w:sdtContent>
  </w:sdt>
  <w:sdt>
    <w:sdtPr>
      <w:alias w:val="CC_Boilerplate_3"/>
      <w:tag w:val="CC_Boilerplate_3"/>
      <w:id w:val="1606463544"/>
      <w:lock w:val="sdtContentLocked"/>
      <w15:appearance w15:val="hidden"/>
      <w:text w:multiLine="1"/>
    </w:sdtPr>
    <w:sdtEndPr/>
    <w:sdtContent>
      <w:p w:rsidR="00AF1400" w:rsidP="00283E0F" w:rsidRDefault="00AF1400" w14:paraId="0B510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6271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AC2F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F01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58D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C41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A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E1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C48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99D"/>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030"/>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679"/>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1A"/>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42"/>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9E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C3"/>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32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6D1F"/>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CCA"/>
    <w:rsid w:val="00C8635A"/>
    <w:rsid w:val="00C86FB6"/>
    <w:rsid w:val="00C871DB"/>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7A5"/>
    <w:rsid w:val="00D10C57"/>
    <w:rsid w:val="00D12A28"/>
    <w:rsid w:val="00D12A78"/>
    <w:rsid w:val="00D12B31"/>
    <w:rsid w:val="00D131C0"/>
    <w:rsid w:val="00D15504"/>
    <w:rsid w:val="00D15950"/>
    <w:rsid w:val="00D160A5"/>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2C"/>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E4"/>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E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16ACBD"/>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014E5"/>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415CE7">
          <w:pPr>
            <w:pStyle w:val="F0DD3C90D7E8472DBCEC56DEA6143D9F"/>
          </w:pPr>
          <w:r>
            <w:t xml:space="preserve"> </w:t>
          </w:r>
        </w:p>
      </w:docPartBody>
    </w:docPart>
    <w:docPart>
      <w:docPartPr>
        <w:name w:val="51D232F0D5454E52972B154DD47CB0BA"/>
        <w:category>
          <w:name w:val="Allmänt"/>
          <w:gallery w:val="placeholder"/>
        </w:category>
        <w:types>
          <w:type w:val="bbPlcHdr"/>
        </w:types>
        <w:behaviors>
          <w:behavior w:val="content"/>
        </w:behaviors>
        <w:guid w:val="{068C7E6B-7903-40A7-B736-9578DBA8C279}"/>
      </w:docPartPr>
      <w:docPartBody>
        <w:p w:rsidR="005E7F03" w:rsidRDefault="005E7F03"/>
      </w:docPartBody>
    </w:docPart>
    <w:docPart>
      <w:docPartPr>
        <w:name w:val="B031F364647542FF9964BC852384A8F0"/>
        <w:category>
          <w:name w:val="Allmänt"/>
          <w:gallery w:val="placeholder"/>
        </w:category>
        <w:types>
          <w:type w:val="bbPlcHdr"/>
        </w:types>
        <w:behaviors>
          <w:behavior w:val="content"/>
        </w:behaviors>
        <w:guid w:val="{E23AC260-C009-4B2E-B7E9-E62A7798381F}"/>
      </w:docPartPr>
      <w:docPartBody>
        <w:p w:rsidR="001F67B7" w:rsidRDefault="00415CE7">
          <w:r>
            <w:t xml:space="preserve"> </w:t>
          </w:r>
        </w:p>
      </w:docPartBody>
    </w:docPart>
    <w:docPart>
      <w:docPartPr>
        <w:name w:val="C96A766F0EF24AB58E3530FBF5D5F4D4"/>
        <w:category>
          <w:name w:val="Allmänt"/>
          <w:gallery w:val="placeholder"/>
        </w:category>
        <w:types>
          <w:type w:val="bbPlcHdr"/>
        </w:types>
        <w:behaviors>
          <w:behavior w:val="content"/>
        </w:behaviors>
        <w:guid w:val="{06A1BBDE-0B34-4DF1-A13C-2FC39879980E}"/>
      </w:docPartPr>
      <w:docPartBody>
        <w:p w:rsidR="001F67B7" w:rsidRDefault="00415CE7">
          <w:r>
            <w:t>:3393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F67B7"/>
    <w:rsid w:val="00415CE7"/>
    <w:rsid w:val="005E7F03"/>
    <w:rsid w:val="00B316F6"/>
    <w:rsid w:val="00C44E08"/>
    <w:rsid w:val="00F05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CE7"/>
    <w:rPr>
      <w:color w:val="F4B083" w:themeColor="accent2" w:themeTint="99"/>
    </w:rPr>
  </w:style>
  <w:style w:type="paragraph" w:customStyle="1" w:styleId="1E961BFFCD054A5CAA0402F89B8E527D">
    <w:name w:val="1E961BFFCD054A5CAA0402F89B8E527D"/>
  </w:style>
  <w:style w:type="paragraph" w:customStyle="1" w:styleId="37F87E50D74144E7BC0997241617D01F">
    <w:name w:val="37F87E50D74144E7BC0997241617D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9050F9FBF4DDA9E7C819C8B8D08AB">
    <w:name w:val="F9E9050F9FBF4DDA9E7C819C8B8D08AB"/>
  </w:style>
  <w:style w:type="paragraph" w:customStyle="1" w:styleId="736F287709B9477595A319FE9354AD33">
    <w:name w:val="736F287709B9477595A319FE9354AD33"/>
  </w:style>
  <w:style w:type="paragraph" w:customStyle="1" w:styleId="9DBE57EA02B140CA95E591E2870B7626">
    <w:name w:val="9DBE57EA02B140CA95E591E2870B7626"/>
  </w:style>
  <w:style w:type="paragraph" w:customStyle="1" w:styleId="DE354781296B4166A99277175FE89D9B">
    <w:name w:val="DE354781296B4166A99277175FE89D9B"/>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BAF30-6C5F-42AE-9610-F13C0636C0DA}"/>
</file>

<file path=customXml/itemProps2.xml><?xml version="1.0" encoding="utf-8"?>
<ds:datastoreItem xmlns:ds="http://schemas.openxmlformats.org/officeDocument/2006/customXml" ds:itemID="{3BEA4732-6167-4813-9675-6042BA8C0314}"/>
</file>

<file path=customXml/itemProps3.xml><?xml version="1.0" encoding="utf-8"?>
<ds:datastoreItem xmlns:ds="http://schemas.openxmlformats.org/officeDocument/2006/customXml" ds:itemID="{9C9C2790-9A88-4C11-85E9-4FA4A15B65B1}"/>
</file>

<file path=docProps/app.xml><?xml version="1.0" encoding="utf-8"?>
<Properties xmlns="http://schemas.openxmlformats.org/officeDocument/2006/extended-properties" xmlns:vt="http://schemas.openxmlformats.org/officeDocument/2006/docPropsVTypes">
  <Template>Normal</Template>
  <TotalTime>56</TotalTime>
  <Pages>6</Pages>
  <Words>2068</Words>
  <Characters>11463</Characters>
  <Application>Microsoft Office Word</Application>
  <DocSecurity>0</DocSecurity>
  <Lines>254</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utvecklad förlossnings  och mödravård</vt:lpstr>
      <vt:lpstr>
      </vt:lpstr>
    </vt:vector>
  </TitlesOfParts>
  <Company>Sveriges riksdag</Company>
  <LinksUpToDate>false</LinksUpToDate>
  <CharactersWithSpaces>13398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