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D16A8">
        <w:tblPrEx>
          <w:tblCellMar>
            <w:top w:w="0" w:type="dxa"/>
            <w:bottom w:w="0" w:type="dxa"/>
          </w:tblCellMar>
        </w:tblPrEx>
        <w:trPr>
          <w:cantSplit/>
          <w:trHeight w:val="1720"/>
        </w:trPr>
        <w:tc>
          <w:tcPr>
            <w:tcW w:w="6024" w:type="dxa"/>
            <w:gridSpan w:val="2"/>
          </w:tcPr>
          <w:p w:rsidR="003D7BB7" w:rsidRPr="00AD16A8" w:rsidRDefault="003D7BB7">
            <w:pPr>
              <w:pStyle w:val="Rubrik1"/>
              <w:spacing w:after="0"/>
              <w:rPr>
                <w:noProof w:val="0"/>
              </w:rPr>
            </w:pPr>
            <w:r w:rsidRPr="00AD16A8">
              <w:rPr>
                <w:noProof w:val="0"/>
              </w:rPr>
              <w:t>Trafikutskottets yttrande</w:t>
            </w:r>
            <w:bookmarkStart w:id="0" w:name="BetänkandeNr"/>
            <w:bookmarkEnd w:id="0"/>
            <w:r w:rsidRPr="00AD16A8">
              <w:rPr>
                <w:noProof w:val="0"/>
              </w:rPr>
              <w:t xml:space="preserve"> 2001/02:TU1y</w:t>
            </w:r>
          </w:p>
        </w:tc>
        <w:tc>
          <w:tcPr>
            <w:tcW w:w="1418" w:type="dxa"/>
            <w:tcBorders>
              <w:bottom w:val="nil"/>
            </w:tcBorders>
          </w:tcPr>
          <w:p w:rsidR="003D7BB7" w:rsidRPr="00AD16A8" w:rsidRDefault="00AD16A8">
            <w:pPr>
              <w:spacing w:line="230" w:lineRule="auto"/>
              <w:jc w:val="center"/>
            </w:pPr>
            <w:r w:rsidRPr="00AD16A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D7BB7" w:rsidRPr="00AD16A8" w:rsidRDefault="003D7BB7">
            <w:pPr>
              <w:pStyle w:val="Normaltindrag"/>
              <w:jc w:val="center"/>
            </w:pPr>
          </w:p>
          <w:p w:rsidR="003D7BB7" w:rsidRPr="00AD16A8" w:rsidRDefault="003D7BB7">
            <w:pPr>
              <w:pStyle w:val="StatusSida1"/>
            </w:pPr>
          </w:p>
          <w:p w:rsidR="003D7BB7" w:rsidRPr="00AD16A8" w:rsidRDefault="003D7BB7">
            <w:pPr>
              <w:pStyle w:val="UtskriftsdatumSida1"/>
              <w:framePr w:wrap="around"/>
            </w:pPr>
          </w:p>
        </w:tc>
      </w:tr>
      <w:tr w:rsidR="00000000" w:rsidRPr="00AD16A8">
        <w:tblPrEx>
          <w:tblCellMar>
            <w:top w:w="0" w:type="dxa"/>
            <w:bottom w:w="0" w:type="dxa"/>
          </w:tblCellMar>
        </w:tblPrEx>
        <w:trPr>
          <w:cantSplit/>
        </w:trPr>
        <w:tc>
          <w:tcPr>
            <w:tcW w:w="6024" w:type="dxa"/>
            <w:gridSpan w:val="2"/>
            <w:tcBorders>
              <w:bottom w:val="single" w:sz="4" w:space="0" w:color="auto"/>
            </w:tcBorders>
          </w:tcPr>
          <w:p w:rsidR="003D7BB7" w:rsidRPr="00AD16A8" w:rsidRDefault="003D7BB7">
            <w:pPr>
              <w:pStyle w:val="DokumentRubrik"/>
              <w:rPr>
                <w:noProof w:val="0"/>
              </w:rPr>
            </w:pPr>
            <w:bookmarkStart w:id="1" w:name="Huvudrubrik"/>
            <w:bookmarkEnd w:id="1"/>
            <w:r w:rsidRPr="00AD16A8">
              <w:rPr>
                <w:noProof w:val="0"/>
              </w:rPr>
              <w:t>Redogörelse för behandlingen av riksdagens skrivelser till regeringen</w:t>
            </w:r>
          </w:p>
        </w:tc>
        <w:tc>
          <w:tcPr>
            <w:tcW w:w="1418" w:type="dxa"/>
            <w:tcBorders>
              <w:bottom w:val="nil"/>
            </w:tcBorders>
          </w:tcPr>
          <w:p w:rsidR="003D7BB7" w:rsidRPr="00AD16A8" w:rsidRDefault="003D7BB7"/>
        </w:tc>
      </w:tr>
      <w:tr w:rsidR="00000000" w:rsidRPr="00AD16A8">
        <w:tblPrEx>
          <w:tblCellMar>
            <w:top w:w="0" w:type="dxa"/>
            <w:bottom w:w="0" w:type="dxa"/>
          </w:tblCellMar>
        </w:tblPrEx>
        <w:trPr>
          <w:cantSplit/>
          <w:trHeight w:hRule="exact" w:val="360"/>
        </w:trPr>
        <w:tc>
          <w:tcPr>
            <w:tcW w:w="3012" w:type="dxa"/>
          </w:tcPr>
          <w:p w:rsidR="003D7BB7" w:rsidRPr="00AD16A8" w:rsidRDefault="003D7BB7"/>
        </w:tc>
        <w:tc>
          <w:tcPr>
            <w:tcW w:w="3012" w:type="dxa"/>
          </w:tcPr>
          <w:p w:rsidR="003D7BB7" w:rsidRPr="00AD16A8" w:rsidRDefault="003D7BB7"/>
        </w:tc>
        <w:tc>
          <w:tcPr>
            <w:tcW w:w="1418" w:type="dxa"/>
          </w:tcPr>
          <w:p w:rsidR="003D7BB7" w:rsidRPr="00AD16A8" w:rsidRDefault="003D7BB7"/>
        </w:tc>
      </w:tr>
    </w:tbl>
    <w:p w:rsidR="003D7BB7" w:rsidRPr="00AD16A8" w:rsidRDefault="003D7BB7">
      <w:pPr>
        <w:pStyle w:val="R1"/>
        <w:spacing w:before="125" w:after="250"/>
      </w:pPr>
      <w:r w:rsidRPr="00AD16A8">
        <w:t>Till konstitutionsutskottet</w:t>
      </w:r>
    </w:p>
    <w:p w:rsidR="003D7BB7" w:rsidRPr="00AD16A8" w:rsidRDefault="003D7BB7">
      <w:pPr>
        <w:pStyle w:val="R3"/>
        <w:spacing w:before="235"/>
      </w:pPr>
      <w:bookmarkStart w:id="2" w:name="TextStart"/>
      <w:bookmarkEnd w:id="2"/>
      <w:r w:rsidRPr="00AD16A8">
        <w:t>Inledning</w:t>
      </w:r>
    </w:p>
    <w:p w:rsidR="003D7BB7" w:rsidRPr="00AD16A8" w:rsidRDefault="003D7BB7">
      <w:r w:rsidRPr="00AD16A8">
        <w:t xml:space="preserve">Konstitutionsutskottet har den 15 maj 2001 anmodat övriga utskott att yttra sig över regeringens skrivelse 2000/01:75 Redogörelse för behandlingen av riksdagens skrivelser till regeringen. </w:t>
      </w:r>
    </w:p>
    <w:p w:rsidR="003D7BB7" w:rsidRPr="00AD16A8" w:rsidRDefault="003D7BB7">
      <w:r w:rsidRPr="00AD16A8">
        <w:t>I skrivelsen redovisar regeringen vilka åtgärder som vidtagits med anledning av de riksdagsbeslut som meddelats i riksdagens skrivelser till regeringen. Redogörelsen omfattar samtliga riksdagsskrivelser från det senaste kalende</w:t>
      </w:r>
      <w:r w:rsidRPr="00AD16A8">
        <w:t>r</w:t>
      </w:r>
      <w:r w:rsidRPr="00AD16A8">
        <w:t>året som är ställda till regeringen samt äldre riksdagsskrivelser som inte tid</w:t>
      </w:r>
      <w:r w:rsidRPr="00AD16A8">
        <w:t>i</w:t>
      </w:r>
      <w:r w:rsidRPr="00AD16A8">
        <w:t>gare har rapporterats som slutbehandl</w:t>
      </w:r>
      <w:r w:rsidRPr="00AD16A8">
        <w:t>a</w:t>
      </w:r>
      <w:r w:rsidRPr="00AD16A8">
        <w:t xml:space="preserve">de. </w:t>
      </w:r>
    </w:p>
    <w:p w:rsidR="003D7BB7" w:rsidRPr="00AD16A8" w:rsidRDefault="003D7BB7">
      <w:r w:rsidRPr="00AD16A8">
        <w:t>I yttrandet  behandlas riksdagsskrivelser med anledning av betänkanden från trafikutsko</w:t>
      </w:r>
      <w:r w:rsidRPr="00AD16A8">
        <w:t>t</w:t>
      </w:r>
      <w:r w:rsidRPr="00AD16A8">
        <w:t xml:space="preserve">tet. </w:t>
      </w:r>
    </w:p>
    <w:p w:rsidR="003D7BB7" w:rsidRPr="00AD16A8" w:rsidRDefault="003D7BB7">
      <w:pPr>
        <w:pStyle w:val="R3"/>
      </w:pPr>
      <w:r w:rsidRPr="00AD16A8">
        <w:t>Överväganden</w:t>
      </w:r>
    </w:p>
    <w:p w:rsidR="003D7BB7" w:rsidRPr="00AD16A8" w:rsidRDefault="003D7BB7">
      <w:pPr>
        <w:pStyle w:val="R4"/>
        <w:spacing w:before="125"/>
      </w:pPr>
      <w:r w:rsidRPr="00AD16A8">
        <w:t>Redovisning av riksdagsskrivelser</w:t>
      </w:r>
    </w:p>
    <w:p w:rsidR="003D7BB7" w:rsidRPr="00AD16A8" w:rsidRDefault="003D7BB7">
      <w:r w:rsidRPr="00AD16A8">
        <w:t>I regeringens skrivelse redovisas sammanlagt 28 riksdagsskrivelser som avser frågor som behandlas i betänkanden från trafikutskottet. Som framgår av följande sammanställning redovisas 12 av dessa som slutbehan</w:t>
      </w:r>
      <w:r w:rsidRPr="00AD16A8">
        <w:t>d</w:t>
      </w:r>
      <w:r w:rsidRPr="00AD16A8">
        <w:t xml:space="preserve">lade. </w:t>
      </w:r>
    </w:p>
    <w:p w:rsidR="003D7BB7" w:rsidRPr="00AD16A8" w:rsidRDefault="003D7BB7">
      <w:pPr>
        <w:pStyle w:val="Normaltindrag"/>
      </w:pPr>
    </w:p>
    <w:tbl>
      <w:tblPr>
        <w:tblW w:w="0" w:type="auto"/>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306"/>
        <w:gridCol w:w="1418"/>
        <w:gridCol w:w="1417"/>
        <w:gridCol w:w="1701"/>
      </w:tblGrid>
      <w:tr w:rsidR="00000000" w:rsidRPr="00AD16A8">
        <w:tblPrEx>
          <w:tblCellMar>
            <w:top w:w="0" w:type="dxa"/>
            <w:bottom w:w="0" w:type="dxa"/>
          </w:tblCellMar>
        </w:tblPrEx>
        <w:trPr>
          <w:trHeight w:val="290"/>
        </w:trPr>
        <w:tc>
          <w:tcPr>
            <w:tcW w:w="1306" w:type="dxa"/>
            <w:tcBorders>
              <w:bottom w:val="single" w:sz="6" w:space="0" w:color="008000"/>
            </w:tcBorders>
          </w:tcPr>
          <w:p w:rsidR="003D7BB7" w:rsidRPr="00AD16A8" w:rsidRDefault="003D7BB7">
            <w:pPr>
              <w:rPr>
                <w:snapToGrid w:val="0"/>
                <w:sz w:val="18"/>
                <w:lang w:eastAsia="sv-SE"/>
              </w:rPr>
            </w:pPr>
            <w:r w:rsidRPr="00AD16A8">
              <w:rPr>
                <w:sz w:val="18"/>
              </w:rPr>
              <w:br w:type="page"/>
            </w:r>
            <w:r w:rsidRPr="00AD16A8">
              <w:rPr>
                <w:snapToGrid w:val="0"/>
                <w:sz w:val="18"/>
                <w:lang w:eastAsia="sv-SE"/>
              </w:rPr>
              <w:t>Riksmöte</w:t>
            </w:r>
          </w:p>
        </w:tc>
        <w:tc>
          <w:tcPr>
            <w:tcW w:w="1418" w:type="dxa"/>
            <w:tcBorders>
              <w:bottom w:val="single" w:sz="6" w:space="0" w:color="008000"/>
            </w:tcBorders>
          </w:tcPr>
          <w:p w:rsidR="003D7BB7" w:rsidRPr="00AD16A8" w:rsidRDefault="003D7BB7">
            <w:pPr>
              <w:jc w:val="center"/>
              <w:rPr>
                <w:snapToGrid w:val="0"/>
                <w:sz w:val="18"/>
                <w:lang w:eastAsia="sv-SE"/>
              </w:rPr>
            </w:pPr>
            <w:r w:rsidRPr="00AD16A8">
              <w:rPr>
                <w:snapToGrid w:val="0"/>
                <w:sz w:val="18"/>
                <w:lang w:eastAsia="sv-SE"/>
              </w:rPr>
              <w:t>Antal skrivelser</w:t>
            </w:r>
          </w:p>
        </w:tc>
        <w:tc>
          <w:tcPr>
            <w:tcW w:w="1417" w:type="dxa"/>
            <w:tcBorders>
              <w:bottom w:val="single" w:sz="6" w:space="0" w:color="008000"/>
            </w:tcBorders>
          </w:tcPr>
          <w:p w:rsidR="003D7BB7" w:rsidRPr="00AD16A8" w:rsidRDefault="003D7BB7">
            <w:pPr>
              <w:rPr>
                <w:snapToGrid w:val="0"/>
                <w:sz w:val="18"/>
                <w:lang w:eastAsia="sv-SE"/>
              </w:rPr>
            </w:pPr>
            <w:r w:rsidRPr="00AD16A8">
              <w:rPr>
                <w:snapToGrid w:val="0"/>
                <w:sz w:val="18"/>
                <w:lang w:eastAsia="sv-SE"/>
              </w:rPr>
              <w:t>Slutbehandl</w:t>
            </w:r>
            <w:r w:rsidRPr="00AD16A8">
              <w:rPr>
                <w:snapToGrid w:val="0"/>
                <w:sz w:val="18"/>
                <w:lang w:eastAsia="sv-SE"/>
              </w:rPr>
              <w:t>a</w:t>
            </w:r>
            <w:r w:rsidRPr="00AD16A8">
              <w:rPr>
                <w:snapToGrid w:val="0"/>
                <w:sz w:val="18"/>
                <w:lang w:eastAsia="sv-SE"/>
              </w:rPr>
              <w:t>de</w:t>
            </w:r>
          </w:p>
        </w:tc>
        <w:tc>
          <w:tcPr>
            <w:tcW w:w="1701" w:type="dxa"/>
            <w:tcBorders>
              <w:bottom w:val="single" w:sz="6" w:space="0" w:color="008000"/>
            </w:tcBorders>
          </w:tcPr>
          <w:p w:rsidR="003D7BB7" w:rsidRPr="00AD16A8" w:rsidRDefault="003D7BB7">
            <w:pPr>
              <w:rPr>
                <w:snapToGrid w:val="0"/>
                <w:sz w:val="18"/>
                <w:lang w:eastAsia="sv-SE"/>
              </w:rPr>
            </w:pPr>
            <w:r w:rsidRPr="00AD16A8">
              <w:rPr>
                <w:snapToGrid w:val="0"/>
                <w:sz w:val="18"/>
                <w:lang w:eastAsia="sv-SE"/>
              </w:rPr>
              <w:t>Inte slutbehandl</w:t>
            </w:r>
            <w:r w:rsidRPr="00AD16A8">
              <w:rPr>
                <w:snapToGrid w:val="0"/>
                <w:sz w:val="18"/>
                <w:lang w:eastAsia="sv-SE"/>
              </w:rPr>
              <w:t>a</w:t>
            </w:r>
            <w:r w:rsidRPr="00AD16A8">
              <w:rPr>
                <w:snapToGrid w:val="0"/>
                <w:sz w:val="18"/>
                <w:lang w:eastAsia="sv-SE"/>
              </w:rPr>
              <w:t>de</w:t>
            </w:r>
          </w:p>
        </w:tc>
      </w:tr>
      <w:tr w:rsidR="00000000" w:rsidRPr="00AD16A8">
        <w:tblPrEx>
          <w:tblCellMar>
            <w:top w:w="0" w:type="dxa"/>
            <w:bottom w:w="0" w:type="dxa"/>
          </w:tblCellMar>
        </w:tblPrEx>
        <w:trPr>
          <w:trHeight w:val="290"/>
        </w:trPr>
        <w:tc>
          <w:tcPr>
            <w:tcW w:w="1306" w:type="dxa"/>
            <w:tcBorders>
              <w:top w:val="nil"/>
            </w:tcBorders>
          </w:tcPr>
          <w:p w:rsidR="003D7BB7" w:rsidRPr="00AD16A8" w:rsidRDefault="003D7BB7">
            <w:pPr>
              <w:pStyle w:val="Tabelltext"/>
            </w:pPr>
            <w:r w:rsidRPr="00AD16A8">
              <w:t>1994/95</w:t>
            </w:r>
          </w:p>
        </w:tc>
        <w:tc>
          <w:tcPr>
            <w:tcW w:w="1418" w:type="dxa"/>
            <w:tcBorders>
              <w:top w:val="nil"/>
            </w:tcBorders>
          </w:tcPr>
          <w:p w:rsidR="003D7BB7" w:rsidRPr="00AD16A8" w:rsidRDefault="003D7BB7">
            <w:pPr>
              <w:pStyle w:val="Tabelltext"/>
              <w:jc w:val="center"/>
            </w:pPr>
            <w:r w:rsidRPr="00AD16A8">
              <w:t>1</w:t>
            </w:r>
          </w:p>
        </w:tc>
        <w:tc>
          <w:tcPr>
            <w:tcW w:w="1417" w:type="dxa"/>
            <w:tcBorders>
              <w:top w:val="nil"/>
            </w:tcBorders>
          </w:tcPr>
          <w:p w:rsidR="003D7BB7" w:rsidRPr="00AD16A8" w:rsidRDefault="003D7BB7">
            <w:pPr>
              <w:pStyle w:val="Tabelltext"/>
              <w:jc w:val="center"/>
            </w:pPr>
            <w:r w:rsidRPr="00AD16A8">
              <w:t>0</w:t>
            </w:r>
          </w:p>
        </w:tc>
        <w:tc>
          <w:tcPr>
            <w:tcW w:w="1701" w:type="dxa"/>
            <w:tcBorders>
              <w:top w:val="nil"/>
            </w:tcBorders>
          </w:tcPr>
          <w:p w:rsidR="003D7BB7" w:rsidRPr="00AD16A8" w:rsidRDefault="003D7BB7">
            <w:pPr>
              <w:pStyle w:val="Tabelltext"/>
              <w:jc w:val="center"/>
            </w:pPr>
            <w:r w:rsidRPr="00AD16A8">
              <w:t>1</w:t>
            </w:r>
          </w:p>
        </w:tc>
      </w:tr>
      <w:tr w:rsidR="00000000" w:rsidRPr="00AD16A8">
        <w:tblPrEx>
          <w:tblCellMar>
            <w:top w:w="0" w:type="dxa"/>
            <w:bottom w:w="0" w:type="dxa"/>
          </w:tblCellMar>
        </w:tblPrEx>
        <w:trPr>
          <w:trHeight w:val="290"/>
        </w:trPr>
        <w:tc>
          <w:tcPr>
            <w:tcW w:w="1306" w:type="dxa"/>
          </w:tcPr>
          <w:p w:rsidR="003D7BB7" w:rsidRPr="00AD16A8" w:rsidRDefault="003D7BB7">
            <w:pPr>
              <w:pStyle w:val="Tabelltext"/>
            </w:pPr>
            <w:r w:rsidRPr="00AD16A8">
              <w:t>1995/96</w:t>
            </w:r>
          </w:p>
        </w:tc>
        <w:tc>
          <w:tcPr>
            <w:tcW w:w="1418" w:type="dxa"/>
          </w:tcPr>
          <w:p w:rsidR="003D7BB7" w:rsidRPr="00AD16A8" w:rsidRDefault="003D7BB7">
            <w:pPr>
              <w:pStyle w:val="Tabelltext"/>
              <w:jc w:val="center"/>
            </w:pPr>
            <w:r w:rsidRPr="00AD16A8">
              <w:t>0</w:t>
            </w:r>
          </w:p>
        </w:tc>
        <w:tc>
          <w:tcPr>
            <w:tcW w:w="1417" w:type="dxa"/>
          </w:tcPr>
          <w:p w:rsidR="003D7BB7" w:rsidRPr="00AD16A8" w:rsidRDefault="003D7BB7">
            <w:pPr>
              <w:pStyle w:val="Tabelltext"/>
              <w:jc w:val="center"/>
            </w:pPr>
            <w:r w:rsidRPr="00AD16A8">
              <w:t>0</w:t>
            </w:r>
          </w:p>
        </w:tc>
        <w:tc>
          <w:tcPr>
            <w:tcW w:w="1701" w:type="dxa"/>
          </w:tcPr>
          <w:p w:rsidR="003D7BB7" w:rsidRPr="00AD16A8" w:rsidRDefault="003D7BB7">
            <w:pPr>
              <w:pStyle w:val="Tabelltext"/>
              <w:jc w:val="center"/>
            </w:pPr>
            <w:r w:rsidRPr="00AD16A8">
              <w:t>0</w:t>
            </w:r>
          </w:p>
        </w:tc>
      </w:tr>
      <w:tr w:rsidR="00000000" w:rsidRPr="00AD16A8">
        <w:tblPrEx>
          <w:tblCellMar>
            <w:top w:w="0" w:type="dxa"/>
            <w:bottom w:w="0" w:type="dxa"/>
          </w:tblCellMar>
        </w:tblPrEx>
        <w:trPr>
          <w:trHeight w:val="290"/>
        </w:trPr>
        <w:tc>
          <w:tcPr>
            <w:tcW w:w="1306" w:type="dxa"/>
          </w:tcPr>
          <w:p w:rsidR="003D7BB7" w:rsidRPr="00AD16A8" w:rsidRDefault="003D7BB7">
            <w:pPr>
              <w:pStyle w:val="Tabelltext"/>
            </w:pPr>
            <w:r w:rsidRPr="00AD16A8">
              <w:t>1996/97</w:t>
            </w:r>
          </w:p>
        </w:tc>
        <w:tc>
          <w:tcPr>
            <w:tcW w:w="1418" w:type="dxa"/>
          </w:tcPr>
          <w:p w:rsidR="003D7BB7" w:rsidRPr="00AD16A8" w:rsidRDefault="003D7BB7">
            <w:pPr>
              <w:pStyle w:val="Tabelltext"/>
              <w:jc w:val="center"/>
            </w:pPr>
            <w:r w:rsidRPr="00AD16A8">
              <w:t>1</w:t>
            </w:r>
          </w:p>
        </w:tc>
        <w:tc>
          <w:tcPr>
            <w:tcW w:w="1417" w:type="dxa"/>
          </w:tcPr>
          <w:p w:rsidR="003D7BB7" w:rsidRPr="00AD16A8" w:rsidRDefault="003D7BB7">
            <w:pPr>
              <w:pStyle w:val="Tabelltext"/>
              <w:jc w:val="center"/>
            </w:pPr>
            <w:r w:rsidRPr="00AD16A8">
              <w:t>0</w:t>
            </w:r>
          </w:p>
        </w:tc>
        <w:tc>
          <w:tcPr>
            <w:tcW w:w="1701" w:type="dxa"/>
          </w:tcPr>
          <w:p w:rsidR="003D7BB7" w:rsidRPr="00AD16A8" w:rsidRDefault="003D7BB7">
            <w:pPr>
              <w:pStyle w:val="Tabelltext"/>
              <w:jc w:val="center"/>
            </w:pPr>
            <w:r w:rsidRPr="00AD16A8">
              <w:t>1</w:t>
            </w:r>
          </w:p>
        </w:tc>
      </w:tr>
      <w:tr w:rsidR="00000000" w:rsidRPr="00AD16A8">
        <w:tblPrEx>
          <w:tblCellMar>
            <w:top w:w="0" w:type="dxa"/>
            <w:bottom w:w="0" w:type="dxa"/>
          </w:tblCellMar>
        </w:tblPrEx>
        <w:trPr>
          <w:trHeight w:val="290"/>
        </w:trPr>
        <w:tc>
          <w:tcPr>
            <w:tcW w:w="1306" w:type="dxa"/>
          </w:tcPr>
          <w:p w:rsidR="003D7BB7" w:rsidRPr="00AD16A8" w:rsidRDefault="003D7BB7">
            <w:pPr>
              <w:pStyle w:val="Tabelltext"/>
            </w:pPr>
            <w:r w:rsidRPr="00AD16A8">
              <w:t>1997/98</w:t>
            </w:r>
          </w:p>
        </w:tc>
        <w:tc>
          <w:tcPr>
            <w:tcW w:w="1418" w:type="dxa"/>
          </w:tcPr>
          <w:p w:rsidR="003D7BB7" w:rsidRPr="00AD16A8" w:rsidRDefault="003D7BB7">
            <w:pPr>
              <w:pStyle w:val="Tabelltext"/>
              <w:jc w:val="center"/>
            </w:pPr>
            <w:r w:rsidRPr="00AD16A8">
              <w:t>6</w:t>
            </w:r>
          </w:p>
        </w:tc>
        <w:tc>
          <w:tcPr>
            <w:tcW w:w="1417" w:type="dxa"/>
          </w:tcPr>
          <w:p w:rsidR="003D7BB7" w:rsidRPr="00AD16A8" w:rsidRDefault="003D7BB7">
            <w:pPr>
              <w:pStyle w:val="Tabelltext"/>
              <w:jc w:val="center"/>
            </w:pPr>
            <w:r w:rsidRPr="00AD16A8">
              <w:t>0</w:t>
            </w:r>
          </w:p>
        </w:tc>
        <w:tc>
          <w:tcPr>
            <w:tcW w:w="1701" w:type="dxa"/>
          </w:tcPr>
          <w:p w:rsidR="003D7BB7" w:rsidRPr="00AD16A8" w:rsidRDefault="003D7BB7">
            <w:pPr>
              <w:pStyle w:val="Tabelltext"/>
              <w:jc w:val="center"/>
            </w:pPr>
            <w:r w:rsidRPr="00AD16A8">
              <w:t>6</w:t>
            </w:r>
          </w:p>
        </w:tc>
      </w:tr>
      <w:tr w:rsidR="00000000" w:rsidRPr="00AD16A8">
        <w:tblPrEx>
          <w:tblCellMar>
            <w:top w:w="0" w:type="dxa"/>
            <w:bottom w:w="0" w:type="dxa"/>
          </w:tblCellMar>
        </w:tblPrEx>
        <w:trPr>
          <w:trHeight w:val="290"/>
        </w:trPr>
        <w:tc>
          <w:tcPr>
            <w:tcW w:w="1306" w:type="dxa"/>
          </w:tcPr>
          <w:p w:rsidR="003D7BB7" w:rsidRPr="00AD16A8" w:rsidRDefault="003D7BB7">
            <w:pPr>
              <w:pStyle w:val="Tabelltext"/>
            </w:pPr>
            <w:r w:rsidRPr="00AD16A8">
              <w:t>1998/99</w:t>
            </w:r>
          </w:p>
        </w:tc>
        <w:tc>
          <w:tcPr>
            <w:tcW w:w="1418" w:type="dxa"/>
          </w:tcPr>
          <w:p w:rsidR="003D7BB7" w:rsidRPr="00AD16A8" w:rsidRDefault="003D7BB7">
            <w:pPr>
              <w:pStyle w:val="Tabelltext"/>
              <w:jc w:val="center"/>
            </w:pPr>
            <w:r w:rsidRPr="00AD16A8">
              <w:t>2</w:t>
            </w:r>
          </w:p>
        </w:tc>
        <w:tc>
          <w:tcPr>
            <w:tcW w:w="1417" w:type="dxa"/>
          </w:tcPr>
          <w:p w:rsidR="003D7BB7" w:rsidRPr="00AD16A8" w:rsidRDefault="003D7BB7">
            <w:pPr>
              <w:pStyle w:val="Tabelltext"/>
              <w:jc w:val="center"/>
            </w:pPr>
            <w:r w:rsidRPr="00AD16A8">
              <w:t>1</w:t>
            </w:r>
          </w:p>
        </w:tc>
        <w:tc>
          <w:tcPr>
            <w:tcW w:w="1701" w:type="dxa"/>
          </w:tcPr>
          <w:p w:rsidR="003D7BB7" w:rsidRPr="00AD16A8" w:rsidRDefault="003D7BB7">
            <w:pPr>
              <w:pStyle w:val="Tabelltext"/>
              <w:jc w:val="center"/>
            </w:pPr>
            <w:r w:rsidRPr="00AD16A8">
              <w:t>1</w:t>
            </w:r>
          </w:p>
        </w:tc>
      </w:tr>
      <w:tr w:rsidR="00000000" w:rsidRPr="00AD16A8">
        <w:tblPrEx>
          <w:tblCellMar>
            <w:top w:w="0" w:type="dxa"/>
            <w:bottom w:w="0" w:type="dxa"/>
          </w:tblCellMar>
        </w:tblPrEx>
        <w:trPr>
          <w:trHeight w:val="290"/>
        </w:trPr>
        <w:tc>
          <w:tcPr>
            <w:tcW w:w="1306" w:type="dxa"/>
          </w:tcPr>
          <w:p w:rsidR="003D7BB7" w:rsidRPr="00AD16A8" w:rsidRDefault="003D7BB7">
            <w:pPr>
              <w:pStyle w:val="Tabelltext"/>
            </w:pPr>
            <w:r w:rsidRPr="00AD16A8">
              <w:lastRenderedPageBreak/>
              <w:t>1999/2000</w:t>
            </w:r>
          </w:p>
        </w:tc>
        <w:tc>
          <w:tcPr>
            <w:tcW w:w="1418" w:type="dxa"/>
          </w:tcPr>
          <w:p w:rsidR="003D7BB7" w:rsidRPr="00AD16A8" w:rsidRDefault="003D7BB7">
            <w:pPr>
              <w:pStyle w:val="Tabelltext"/>
              <w:jc w:val="center"/>
            </w:pPr>
            <w:r w:rsidRPr="00AD16A8">
              <w:t>10</w:t>
            </w:r>
          </w:p>
        </w:tc>
        <w:tc>
          <w:tcPr>
            <w:tcW w:w="1417" w:type="dxa"/>
          </w:tcPr>
          <w:p w:rsidR="003D7BB7" w:rsidRPr="00AD16A8" w:rsidRDefault="003D7BB7">
            <w:pPr>
              <w:pStyle w:val="Tabelltext"/>
              <w:jc w:val="center"/>
            </w:pPr>
            <w:r w:rsidRPr="00AD16A8">
              <w:t>4</w:t>
            </w:r>
          </w:p>
        </w:tc>
        <w:tc>
          <w:tcPr>
            <w:tcW w:w="1701" w:type="dxa"/>
          </w:tcPr>
          <w:p w:rsidR="003D7BB7" w:rsidRPr="00AD16A8" w:rsidRDefault="003D7BB7">
            <w:pPr>
              <w:pStyle w:val="Tabelltext"/>
              <w:jc w:val="center"/>
            </w:pPr>
            <w:r w:rsidRPr="00AD16A8">
              <w:t>6</w:t>
            </w:r>
          </w:p>
        </w:tc>
      </w:tr>
      <w:tr w:rsidR="00000000" w:rsidRPr="00AD16A8">
        <w:tblPrEx>
          <w:tblCellMar>
            <w:top w:w="0" w:type="dxa"/>
            <w:bottom w:w="0" w:type="dxa"/>
          </w:tblCellMar>
        </w:tblPrEx>
        <w:trPr>
          <w:trHeight w:val="290"/>
        </w:trPr>
        <w:tc>
          <w:tcPr>
            <w:tcW w:w="1306" w:type="dxa"/>
          </w:tcPr>
          <w:p w:rsidR="003D7BB7" w:rsidRPr="00AD16A8" w:rsidRDefault="003D7BB7">
            <w:pPr>
              <w:pStyle w:val="Tabelltext"/>
            </w:pPr>
            <w:r w:rsidRPr="00AD16A8">
              <w:t>2000/01</w:t>
            </w:r>
            <w:r w:rsidRPr="00AD16A8">
              <w:rPr>
                <w:rStyle w:val="Fotnotsreferens"/>
              </w:rPr>
              <w:footnoteReference w:id="1"/>
            </w:r>
          </w:p>
        </w:tc>
        <w:tc>
          <w:tcPr>
            <w:tcW w:w="1418" w:type="dxa"/>
          </w:tcPr>
          <w:p w:rsidR="003D7BB7" w:rsidRPr="00AD16A8" w:rsidRDefault="003D7BB7">
            <w:pPr>
              <w:pStyle w:val="Tabelltext"/>
              <w:jc w:val="center"/>
            </w:pPr>
            <w:r w:rsidRPr="00AD16A8">
              <w:t>8</w:t>
            </w:r>
          </w:p>
        </w:tc>
        <w:tc>
          <w:tcPr>
            <w:tcW w:w="1417" w:type="dxa"/>
          </w:tcPr>
          <w:p w:rsidR="003D7BB7" w:rsidRPr="00AD16A8" w:rsidRDefault="003D7BB7">
            <w:pPr>
              <w:pStyle w:val="Tabelltext"/>
              <w:jc w:val="center"/>
            </w:pPr>
            <w:r w:rsidRPr="00AD16A8">
              <w:t>7</w:t>
            </w:r>
          </w:p>
        </w:tc>
        <w:tc>
          <w:tcPr>
            <w:tcW w:w="1701" w:type="dxa"/>
          </w:tcPr>
          <w:p w:rsidR="003D7BB7" w:rsidRPr="00AD16A8" w:rsidRDefault="003D7BB7">
            <w:pPr>
              <w:pStyle w:val="Tabelltext"/>
              <w:jc w:val="center"/>
            </w:pPr>
            <w:r w:rsidRPr="00AD16A8">
              <w:t>1</w:t>
            </w:r>
          </w:p>
        </w:tc>
      </w:tr>
      <w:tr w:rsidR="00000000" w:rsidRPr="00AD16A8">
        <w:tblPrEx>
          <w:tblCellMar>
            <w:top w:w="0" w:type="dxa"/>
            <w:bottom w:w="0" w:type="dxa"/>
          </w:tblCellMar>
        </w:tblPrEx>
        <w:trPr>
          <w:trHeight w:val="290"/>
        </w:trPr>
        <w:tc>
          <w:tcPr>
            <w:tcW w:w="1306" w:type="dxa"/>
          </w:tcPr>
          <w:p w:rsidR="003D7BB7" w:rsidRPr="00AD16A8" w:rsidRDefault="003D7BB7">
            <w:pPr>
              <w:pStyle w:val="Tabelltext"/>
              <w:rPr>
                <w:b/>
              </w:rPr>
            </w:pPr>
            <w:r w:rsidRPr="00AD16A8">
              <w:rPr>
                <w:b/>
              </w:rPr>
              <w:t>Totalt</w:t>
            </w:r>
          </w:p>
        </w:tc>
        <w:tc>
          <w:tcPr>
            <w:tcW w:w="1418" w:type="dxa"/>
          </w:tcPr>
          <w:p w:rsidR="003D7BB7" w:rsidRPr="00AD16A8" w:rsidRDefault="003D7BB7">
            <w:pPr>
              <w:pStyle w:val="Tabelltext"/>
              <w:jc w:val="center"/>
              <w:rPr>
                <w:b/>
              </w:rPr>
            </w:pPr>
            <w:r w:rsidRPr="00AD16A8">
              <w:rPr>
                <w:b/>
              </w:rPr>
              <w:t>28</w:t>
            </w:r>
          </w:p>
        </w:tc>
        <w:tc>
          <w:tcPr>
            <w:tcW w:w="1417" w:type="dxa"/>
          </w:tcPr>
          <w:p w:rsidR="003D7BB7" w:rsidRPr="00AD16A8" w:rsidRDefault="003D7BB7">
            <w:pPr>
              <w:pStyle w:val="Tabelltext"/>
              <w:jc w:val="center"/>
              <w:rPr>
                <w:b/>
              </w:rPr>
            </w:pPr>
            <w:r w:rsidRPr="00AD16A8">
              <w:rPr>
                <w:b/>
              </w:rPr>
              <w:t>12</w:t>
            </w:r>
          </w:p>
        </w:tc>
        <w:tc>
          <w:tcPr>
            <w:tcW w:w="1701" w:type="dxa"/>
          </w:tcPr>
          <w:p w:rsidR="003D7BB7" w:rsidRPr="00AD16A8" w:rsidRDefault="003D7BB7">
            <w:pPr>
              <w:pStyle w:val="Tabelltext"/>
              <w:jc w:val="center"/>
              <w:rPr>
                <w:b/>
              </w:rPr>
            </w:pPr>
            <w:r w:rsidRPr="00AD16A8">
              <w:rPr>
                <w:b/>
              </w:rPr>
              <w:t>16</w:t>
            </w:r>
          </w:p>
        </w:tc>
      </w:tr>
    </w:tbl>
    <w:p w:rsidR="003D7BB7" w:rsidRPr="00AD16A8" w:rsidRDefault="003D7BB7">
      <w:pPr>
        <w:pStyle w:val="TabellNot"/>
      </w:pPr>
      <w:r w:rsidRPr="00AD16A8">
        <w:t>1 Avser  perioden den 19 september–31 december 2000</w:t>
      </w:r>
    </w:p>
    <w:p w:rsidR="003D7BB7" w:rsidRPr="00AD16A8" w:rsidRDefault="003D7BB7">
      <w:pPr>
        <w:spacing w:before="187"/>
      </w:pPr>
      <w:r w:rsidRPr="00AD16A8">
        <w:t>Trafikutskottet anser att regeringens skrivelse ger en god bild av de åtgärder som regeringen vidtagit och beredningsläget för de ärenden som inte är slu</w:t>
      </w:r>
      <w:r w:rsidRPr="00AD16A8">
        <w:t>t</w:t>
      </w:r>
      <w:r w:rsidRPr="00AD16A8">
        <w:t xml:space="preserve">behandlade. </w:t>
      </w:r>
    </w:p>
    <w:p w:rsidR="003D7BB7" w:rsidRPr="00AD16A8" w:rsidRDefault="003D7BB7">
      <w:pPr>
        <w:pStyle w:val="R4"/>
      </w:pPr>
      <w:r w:rsidRPr="00AD16A8">
        <w:t>Riksdagsskrivelser med tillkännagivanden</w:t>
      </w:r>
    </w:p>
    <w:p w:rsidR="003D7BB7" w:rsidRPr="00AD16A8" w:rsidRDefault="003D7BB7">
      <w:r w:rsidRPr="00AD16A8">
        <w:t>Trafikutskottet har särskilt granskat regeringens handläggning och de åtgärder som vidtagits med anledning av riksdagens tillkännagivanden till regeringen</w:t>
      </w:r>
      <w:r w:rsidRPr="00AD16A8">
        <w:rPr>
          <w:i/>
        </w:rPr>
        <w:t>.</w:t>
      </w:r>
      <w:r w:rsidRPr="00AD16A8">
        <w:t xml:space="preserve"> Utskottet har enligt redogörelsen gjort 16 tillkännagivanden till regeringen i 14 skrivelser, varav 1 tillkännagivande hanteras i två departement. Som fra</w:t>
      </w:r>
      <w:r w:rsidRPr="00AD16A8">
        <w:t>m</w:t>
      </w:r>
      <w:r w:rsidRPr="00AD16A8">
        <w:t>går av följande sammanställning är enligt regeringen 4 tillkännagivanden slutbehandl</w:t>
      </w:r>
      <w:r w:rsidRPr="00AD16A8">
        <w:t>a</w:t>
      </w:r>
      <w:r w:rsidRPr="00AD16A8">
        <w:t>de.</w:t>
      </w:r>
    </w:p>
    <w:p w:rsidR="003D7BB7" w:rsidRPr="00AD16A8" w:rsidRDefault="003D7BB7">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523"/>
        <w:gridCol w:w="2800"/>
        <w:gridCol w:w="1559"/>
      </w:tblGrid>
      <w:tr w:rsidR="00000000" w:rsidRPr="00AD16A8">
        <w:tblPrEx>
          <w:tblCellMar>
            <w:top w:w="0" w:type="dxa"/>
            <w:bottom w:w="0" w:type="dxa"/>
          </w:tblCellMar>
        </w:tblPrEx>
        <w:tc>
          <w:tcPr>
            <w:tcW w:w="1523" w:type="dxa"/>
            <w:tcBorders>
              <w:bottom w:val="single" w:sz="6" w:space="0" w:color="008000"/>
            </w:tcBorders>
          </w:tcPr>
          <w:p w:rsidR="003D7BB7" w:rsidRPr="00AD16A8" w:rsidRDefault="003D7BB7">
            <w:pPr>
              <w:rPr>
                <w:snapToGrid w:val="0"/>
                <w:sz w:val="18"/>
                <w:lang w:eastAsia="sv-SE"/>
              </w:rPr>
            </w:pPr>
            <w:r w:rsidRPr="00AD16A8">
              <w:rPr>
                <w:snapToGrid w:val="0"/>
                <w:sz w:val="18"/>
                <w:lang w:eastAsia="sv-SE"/>
              </w:rPr>
              <w:br w:type="page"/>
              <w:t>Riksdagsskrivelse</w:t>
            </w:r>
          </w:p>
        </w:tc>
        <w:tc>
          <w:tcPr>
            <w:tcW w:w="2800" w:type="dxa"/>
            <w:tcBorders>
              <w:bottom w:val="single" w:sz="6" w:space="0" w:color="008000"/>
            </w:tcBorders>
          </w:tcPr>
          <w:p w:rsidR="003D7BB7" w:rsidRPr="00AD16A8" w:rsidRDefault="003D7BB7">
            <w:pPr>
              <w:rPr>
                <w:snapToGrid w:val="0"/>
                <w:sz w:val="18"/>
                <w:lang w:eastAsia="sv-SE"/>
              </w:rPr>
            </w:pPr>
            <w:r w:rsidRPr="00AD16A8">
              <w:rPr>
                <w:snapToGrid w:val="0"/>
                <w:sz w:val="18"/>
                <w:lang w:eastAsia="sv-SE"/>
              </w:rPr>
              <w:t>Tillkännagivande</w:t>
            </w:r>
          </w:p>
        </w:tc>
        <w:tc>
          <w:tcPr>
            <w:tcW w:w="1559" w:type="dxa"/>
            <w:tcBorders>
              <w:bottom w:val="single" w:sz="6" w:space="0" w:color="008000"/>
            </w:tcBorders>
          </w:tcPr>
          <w:p w:rsidR="003D7BB7" w:rsidRPr="00AD16A8" w:rsidRDefault="003D7BB7">
            <w:pPr>
              <w:rPr>
                <w:snapToGrid w:val="0"/>
                <w:sz w:val="18"/>
                <w:lang w:eastAsia="sv-SE"/>
              </w:rPr>
            </w:pPr>
            <w:r w:rsidRPr="00AD16A8">
              <w:rPr>
                <w:snapToGrid w:val="0"/>
                <w:sz w:val="18"/>
                <w:lang w:eastAsia="sv-SE"/>
              </w:rPr>
              <w:t>Beslutsläge</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1994/95:232</w:t>
            </w:r>
          </w:p>
        </w:tc>
        <w:tc>
          <w:tcPr>
            <w:tcW w:w="2800" w:type="dxa"/>
          </w:tcPr>
          <w:p w:rsidR="003D7BB7" w:rsidRPr="00AD16A8" w:rsidRDefault="003D7BB7">
            <w:pPr>
              <w:pStyle w:val="Tabelltext"/>
            </w:pPr>
            <w:r w:rsidRPr="00AD16A8">
              <w:t>Återinförande av det statliga fritidsbåt</w:t>
            </w:r>
            <w:r w:rsidRPr="00AD16A8">
              <w:t>s</w:t>
            </w:r>
            <w:r w:rsidRPr="00AD16A8">
              <w:t>registret</w:t>
            </w:r>
          </w:p>
        </w:tc>
        <w:tc>
          <w:tcPr>
            <w:tcW w:w="1559" w:type="dxa"/>
          </w:tcPr>
          <w:p w:rsidR="003D7BB7" w:rsidRPr="00AD16A8" w:rsidRDefault="003D7BB7">
            <w:pPr>
              <w:pStyle w:val="Tabelltext"/>
            </w:pPr>
            <w:r w:rsidRPr="00AD16A8">
              <w:t>Inte 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1997/98:11</w:t>
            </w:r>
          </w:p>
        </w:tc>
        <w:tc>
          <w:tcPr>
            <w:tcW w:w="2800" w:type="dxa"/>
          </w:tcPr>
          <w:p w:rsidR="003D7BB7" w:rsidRPr="00AD16A8" w:rsidRDefault="003D7BB7">
            <w:pPr>
              <w:pStyle w:val="Tabelltext"/>
            </w:pPr>
            <w:r w:rsidRPr="00AD16A8">
              <w:t>Minskning av antalet mottagningsorter för förarprov</w:t>
            </w:r>
          </w:p>
        </w:tc>
        <w:tc>
          <w:tcPr>
            <w:tcW w:w="1559" w:type="dxa"/>
          </w:tcPr>
          <w:p w:rsidR="003D7BB7" w:rsidRPr="00AD16A8" w:rsidRDefault="003D7BB7">
            <w:pPr>
              <w:pStyle w:val="Tabelltext"/>
            </w:pPr>
            <w:r w:rsidRPr="00AD16A8">
              <w:t>Inte slutbehan</w:t>
            </w:r>
            <w:r w:rsidRPr="00AD16A8">
              <w:t>d</w:t>
            </w:r>
            <w:r w:rsidRPr="00AD16A8">
              <w:t>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1997/98:161</w:t>
            </w:r>
          </w:p>
        </w:tc>
        <w:tc>
          <w:tcPr>
            <w:tcW w:w="2800" w:type="dxa"/>
          </w:tcPr>
          <w:p w:rsidR="003D7BB7" w:rsidRPr="00AD16A8" w:rsidRDefault="003D7BB7">
            <w:pPr>
              <w:pStyle w:val="Tabelltext"/>
            </w:pPr>
            <w:r w:rsidRPr="00AD16A8">
              <w:t>Kontroll av lastsäkring</w:t>
            </w:r>
          </w:p>
        </w:tc>
        <w:tc>
          <w:tcPr>
            <w:tcW w:w="1559" w:type="dxa"/>
          </w:tcPr>
          <w:p w:rsidR="003D7BB7" w:rsidRPr="00AD16A8" w:rsidRDefault="003D7BB7">
            <w:pPr>
              <w:pStyle w:val="Tabelltext"/>
            </w:pPr>
            <w:r w:rsidRPr="00AD16A8">
              <w:t>Inte 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1997/98:192</w:t>
            </w:r>
          </w:p>
        </w:tc>
        <w:tc>
          <w:tcPr>
            <w:tcW w:w="2800" w:type="dxa"/>
          </w:tcPr>
          <w:p w:rsidR="003D7BB7" w:rsidRPr="00AD16A8" w:rsidRDefault="003D7BB7">
            <w:pPr>
              <w:pStyle w:val="Tabelltext"/>
            </w:pPr>
            <w:r w:rsidRPr="00AD16A8">
              <w:t>Medicinska krav för taxiför</w:t>
            </w:r>
            <w:r w:rsidRPr="00AD16A8">
              <w:t>a</w:t>
            </w:r>
            <w:r w:rsidRPr="00AD16A8">
              <w:t>re</w:t>
            </w:r>
          </w:p>
        </w:tc>
        <w:tc>
          <w:tcPr>
            <w:tcW w:w="1559" w:type="dxa"/>
          </w:tcPr>
          <w:p w:rsidR="003D7BB7" w:rsidRPr="00AD16A8" w:rsidRDefault="003D7BB7">
            <w:pPr>
              <w:pStyle w:val="Tabelltext"/>
            </w:pPr>
            <w:r w:rsidRPr="00AD16A8">
              <w:t>Inte 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1997/98:266</w:t>
            </w:r>
          </w:p>
        </w:tc>
        <w:tc>
          <w:tcPr>
            <w:tcW w:w="2800" w:type="dxa"/>
          </w:tcPr>
          <w:p w:rsidR="003D7BB7" w:rsidRPr="00AD16A8" w:rsidRDefault="003D7BB7">
            <w:pPr>
              <w:pStyle w:val="Tabelltext"/>
            </w:pPr>
            <w:r w:rsidRPr="00AD16A8">
              <w:t>Energi- och koldioxidskatt</w:t>
            </w:r>
          </w:p>
        </w:tc>
        <w:tc>
          <w:tcPr>
            <w:tcW w:w="1559" w:type="dxa"/>
          </w:tcPr>
          <w:p w:rsidR="003D7BB7" w:rsidRPr="00AD16A8" w:rsidRDefault="003D7BB7">
            <w:pPr>
              <w:pStyle w:val="Tabelltext"/>
            </w:pPr>
            <w:r w:rsidRPr="00AD16A8">
              <w:t>Inte 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1998/99:197</w:t>
            </w:r>
          </w:p>
        </w:tc>
        <w:tc>
          <w:tcPr>
            <w:tcW w:w="2800" w:type="dxa"/>
          </w:tcPr>
          <w:p w:rsidR="003D7BB7" w:rsidRPr="00AD16A8" w:rsidRDefault="003D7BB7">
            <w:pPr>
              <w:pStyle w:val="Tabelltext"/>
            </w:pPr>
            <w:r w:rsidRPr="00AD16A8">
              <w:t>Övergripande trafiksäkerhetsåtgärder (Inrättande av en vägtrafiki</w:t>
            </w:r>
            <w:r w:rsidRPr="00AD16A8">
              <w:t>n</w:t>
            </w:r>
            <w:r w:rsidRPr="00AD16A8">
              <w:t>spektion)</w:t>
            </w:r>
          </w:p>
        </w:tc>
        <w:tc>
          <w:tcPr>
            <w:tcW w:w="1559" w:type="dxa"/>
          </w:tcPr>
          <w:p w:rsidR="003D7BB7" w:rsidRPr="00AD16A8" w:rsidRDefault="003D7BB7">
            <w:pPr>
              <w:pStyle w:val="Tabelltext"/>
            </w:pPr>
            <w:r w:rsidRPr="00AD16A8">
              <w:t>Inte slutbehandlad</w:t>
            </w:r>
          </w:p>
          <w:p w:rsidR="003D7BB7" w:rsidRPr="00AD16A8" w:rsidRDefault="003D7BB7">
            <w:pPr>
              <w:pStyle w:val="Tabelltext"/>
            </w:pP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1998/99:237</w:t>
            </w:r>
          </w:p>
        </w:tc>
        <w:tc>
          <w:tcPr>
            <w:tcW w:w="2800" w:type="dxa"/>
          </w:tcPr>
          <w:p w:rsidR="003D7BB7" w:rsidRPr="00AD16A8" w:rsidRDefault="003D7BB7">
            <w:pPr>
              <w:pStyle w:val="Tabelltext"/>
            </w:pPr>
            <w:r w:rsidRPr="00AD16A8">
              <w:t>Adressändring</w:t>
            </w:r>
          </w:p>
          <w:p w:rsidR="003D7BB7" w:rsidRPr="00AD16A8" w:rsidRDefault="003D7BB7">
            <w:pPr>
              <w:pStyle w:val="Tabelltext"/>
            </w:pPr>
            <w:r w:rsidRPr="00AD16A8">
              <w:t>Definitionen i postlagen av begreppet postal infrastruktur</w:t>
            </w:r>
          </w:p>
        </w:tc>
        <w:tc>
          <w:tcPr>
            <w:tcW w:w="1559" w:type="dxa"/>
          </w:tcPr>
          <w:p w:rsidR="003D7BB7" w:rsidRPr="00AD16A8" w:rsidRDefault="003D7BB7">
            <w:pPr>
              <w:pStyle w:val="Tabelltext"/>
            </w:pPr>
            <w:r w:rsidRPr="00AD16A8">
              <w:t>Slutbehandlad</w:t>
            </w:r>
          </w:p>
          <w:p w:rsidR="003D7BB7" w:rsidRPr="00AD16A8" w:rsidRDefault="003D7BB7">
            <w:pPr>
              <w:pStyle w:val="Tabelltext"/>
            </w:pPr>
            <w:r w:rsidRPr="00AD16A8">
              <w:t>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1999/2000:147</w:t>
            </w:r>
          </w:p>
        </w:tc>
        <w:tc>
          <w:tcPr>
            <w:tcW w:w="2800" w:type="dxa"/>
          </w:tcPr>
          <w:p w:rsidR="003D7BB7" w:rsidRPr="00AD16A8" w:rsidRDefault="003D7BB7">
            <w:pPr>
              <w:pStyle w:val="Tabelltext"/>
            </w:pPr>
            <w:r w:rsidRPr="00AD16A8">
              <w:t>Planeringsprocessen för vägar och järnvägar (avser Näringsdepartementets ansvarsomr</w:t>
            </w:r>
            <w:r w:rsidRPr="00AD16A8">
              <w:t>å</w:t>
            </w:r>
            <w:r w:rsidRPr="00AD16A8">
              <w:t xml:space="preserve">de) </w:t>
            </w:r>
          </w:p>
        </w:tc>
        <w:tc>
          <w:tcPr>
            <w:tcW w:w="1559" w:type="dxa"/>
          </w:tcPr>
          <w:p w:rsidR="003D7BB7" w:rsidRPr="00AD16A8" w:rsidRDefault="003D7BB7">
            <w:pPr>
              <w:pStyle w:val="Tabelltext"/>
            </w:pPr>
            <w:r w:rsidRPr="00AD16A8">
              <w:t>Inte 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 xml:space="preserve">1999/2000:148 </w:t>
            </w:r>
          </w:p>
        </w:tc>
        <w:tc>
          <w:tcPr>
            <w:tcW w:w="2800" w:type="dxa"/>
          </w:tcPr>
          <w:p w:rsidR="003D7BB7" w:rsidRPr="00AD16A8" w:rsidRDefault="003D7BB7">
            <w:pPr>
              <w:pStyle w:val="Tabelltext"/>
            </w:pPr>
            <w:r w:rsidRPr="00AD16A8">
              <w:t>Planeringsprocessen för vägar och järnvägar (avser Miljödepartementets ansvarsområde)</w:t>
            </w:r>
          </w:p>
        </w:tc>
        <w:tc>
          <w:tcPr>
            <w:tcW w:w="1559" w:type="dxa"/>
          </w:tcPr>
          <w:p w:rsidR="003D7BB7" w:rsidRPr="00AD16A8" w:rsidRDefault="003D7BB7">
            <w:pPr>
              <w:pStyle w:val="Tabelltext"/>
            </w:pPr>
            <w:r w:rsidRPr="00AD16A8">
              <w:t>Inte 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1999/2000:166</w:t>
            </w:r>
          </w:p>
        </w:tc>
        <w:tc>
          <w:tcPr>
            <w:tcW w:w="2800" w:type="dxa"/>
          </w:tcPr>
          <w:p w:rsidR="003D7BB7" w:rsidRPr="00AD16A8" w:rsidRDefault="003D7BB7">
            <w:pPr>
              <w:pStyle w:val="Tabelltext"/>
            </w:pPr>
            <w:r w:rsidRPr="00AD16A8">
              <w:t xml:space="preserve">Inrättande av en trafikofferjour </w:t>
            </w:r>
          </w:p>
          <w:p w:rsidR="003D7BB7" w:rsidRPr="00AD16A8" w:rsidRDefault="003D7BB7">
            <w:pPr>
              <w:pStyle w:val="Tabelltext"/>
            </w:pPr>
            <w:r w:rsidRPr="00AD16A8">
              <w:t xml:space="preserve">Ansvaret för lastsäkring </w:t>
            </w:r>
          </w:p>
        </w:tc>
        <w:tc>
          <w:tcPr>
            <w:tcW w:w="1559" w:type="dxa"/>
          </w:tcPr>
          <w:p w:rsidR="003D7BB7" w:rsidRPr="00AD16A8" w:rsidRDefault="003D7BB7">
            <w:pPr>
              <w:pStyle w:val="Tabelltext"/>
            </w:pPr>
            <w:r w:rsidRPr="00AD16A8">
              <w:t>Inte slutbehandlad</w:t>
            </w:r>
          </w:p>
          <w:p w:rsidR="003D7BB7" w:rsidRPr="00AD16A8" w:rsidRDefault="003D7BB7">
            <w:pPr>
              <w:pStyle w:val="Tabelltext"/>
            </w:pPr>
            <w:r w:rsidRPr="00AD16A8">
              <w:t>Inte 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1999/2000:189</w:t>
            </w:r>
          </w:p>
        </w:tc>
        <w:tc>
          <w:tcPr>
            <w:tcW w:w="2800" w:type="dxa"/>
          </w:tcPr>
          <w:p w:rsidR="003D7BB7" w:rsidRPr="00AD16A8" w:rsidRDefault="003D7BB7">
            <w:pPr>
              <w:pStyle w:val="Tabelltext"/>
            </w:pPr>
            <w:r w:rsidRPr="00AD16A8">
              <w:t>Tillsynsmyndighetens roll på teleomr</w:t>
            </w:r>
            <w:r w:rsidRPr="00AD16A8">
              <w:t>å</w:t>
            </w:r>
            <w:r w:rsidRPr="00AD16A8">
              <w:t>det</w:t>
            </w:r>
          </w:p>
        </w:tc>
        <w:tc>
          <w:tcPr>
            <w:tcW w:w="1559" w:type="dxa"/>
          </w:tcPr>
          <w:p w:rsidR="003D7BB7" w:rsidRPr="00AD16A8" w:rsidRDefault="003D7BB7">
            <w:pPr>
              <w:pStyle w:val="Tabelltext"/>
            </w:pPr>
            <w:r w:rsidRPr="00AD16A8">
              <w:t>Inte 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1999/2000:238</w:t>
            </w:r>
          </w:p>
        </w:tc>
        <w:tc>
          <w:tcPr>
            <w:tcW w:w="2800" w:type="dxa"/>
          </w:tcPr>
          <w:p w:rsidR="003D7BB7" w:rsidRPr="00AD16A8" w:rsidRDefault="003D7BB7">
            <w:pPr>
              <w:pStyle w:val="Tabelltext"/>
            </w:pPr>
            <w:r w:rsidRPr="00AD16A8">
              <w:t>Påföljdssystem för utländska fordons-för</w:t>
            </w:r>
            <w:r w:rsidRPr="00AD16A8">
              <w:t>a</w:t>
            </w:r>
            <w:r w:rsidRPr="00AD16A8">
              <w:t>re</w:t>
            </w:r>
          </w:p>
        </w:tc>
        <w:tc>
          <w:tcPr>
            <w:tcW w:w="1559" w:type="dxa"/>
          </w:tcPr>
          <w:p w:rsidR="003D7BB7" w:rsidRPr="00AD16A8" w:rsidRDefault="003D7BB7">
            <w:pPr>
              <w:pStyle w:val="Tabelltext"/>
            </w:pPr>
            <w:r w:rsidRPr="00AD16A8">
              <w:t>Inte 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1999/2000:256</w:t>
            </w:r>
          </w:p>
        </w:tc>
        <w:tc>
          <w:tcPr>
            <w:tcW w:w="2800" w:type="dxa"/>
          </w:tcPr>
          <w:p w:rsidR="003D7BB7" w:rsidRPr="00AD16A8" w:rsidRDefault="003D7BB7">
            <w:pPr>
              <w:pStyle w:val="Tabelltext"/>
            </w:pPr>
            <w:r w:rsidRPr="00AD16A8">
              <w:t>Ökad konkurrens på accessnäten</w:t>
            </w:r>
          </w:p>
        </w:tc>
        <w:tc>
          <w:tcPr>
            <w:tcW w:w="1559" w:type="dxa"/>
          </w:tcPr>
          <w:p w:rsidR="003D7BB7" w:rsidRPr="00AD16A8" w:rsidRDefault="003D7BB7">
            <w:pPr>
              <w:pStyle w:val="Tabelltext"/>
            </w:pPr>
            <w:r w:rsidRPr="00AD16A8">
              <w:t>Slutbehandlad</w:t>
            </w:r>
          </w:p>
        </w:tc>
      </w:tr>
      <w:tr w:rsidR="00000000" w:rsidRPr="00AD16A8">
        <w:tblPrEx>
          <w:tblCellMar>
            <w:top w:w="0" w:type="dxa"/>
            <w:bottom w:w="0" w:type="dxa"/>
          </w:tblCellMar>
        </w:tblPrEx>
        <w:tc>
          <w:tcPr>
            <w:tcW w:w="1523" w:type="dxa"/>
          </w:tcPr>
          <w:p w:rsidR="003D7BB7" w:rsidRPr="00AD16A8" w:rsidRDefault="003D7BB7">
            <w:pPr>
              <w:pStyle w:val="Tabelltext"/>
            </w:pPr>
            <w:r w:rsidRPr="00AD16A8">
              <w:t>2000/01:80</w:t>
            </w:r>
          </w:p>
        </w:tc>
        <w:tc>
          <w:tcPr>
            <w:tcW w:w="2800" w:type="dxa"/>
          </w:tcPr>
          <w:p w:rsidR="003D7BB7" w:rsidRPr="00AD16A8" w:rsidRDefault="003D7BB7">
            <w:pPr>
              <w:pStyle w:val="Tabelltext"/>
            </w:pPr>
            <w:r w:rsidRPr="00AD16A8">
              <w:t>Vidgade statliga insatser för sjöfartsn</w:t>
            </w:r>
            <w:r w:rsidRPr="00AD16A8">
              <w:t>ä</w:t>
            </w:r>
            <w:r w:rsidRPr="00AD16A8">
              <w:t>ringen</w:t>
            </w:r>
          </w:p>
          <w:p w:rsidR="003D7BB7" w:rsidRPr="00AD16A8" w:rsidRDefault="003D7BB7">
            <w:pPr>
              <w:pStyle w:val="Tabelltext"/>
            </w:pPr>
            <w:r w:rsidRPr="00AD16A8">
              <w:t>Motorflygklubbarnas verksamhetsföru</w:t>
            </w:r>
            <w:r w:rsidRPr="00AD16A8">
              <w:t>t</w:t>
            </w:r>
            <w:r w:rsidRPr="00AD16A8">
              <w:t>sättningar</w:t>
            </w:r>
          </w:p>
        </w:tc>
        <w:tc>
          <w:tcPr>
            <w:tcW w:w="1559" w:type="dxa"/>
          </w:tcPr>
          <w:p w:rsidR="003D7BB7" w:rsidRPr="00AD16A8" w:rsidRDefault="003D7BB7">
            <w:pPr>
              <w:pStyle w:val="Tabelltext"/>
            </w:pPr>
            <w:r w:rsidRPr="00AD16A8">
              <w:t>Inte slutbehandlad</w:t>
            </w:r>
          </w:p>
          <w:p w:rsidR="003D7BB7" w:rsidRPr="00AD16A8" w:rsidRDefault="003D7BB7">
            <w:pPr>
              <w:pStyle w:val="Tabelltext"/>
            </w:pPr>
          </w:p>
          <w:p w:rsidR="003D7BB7" w:rsidRPr="00AD16A8" w:rsidRDefault="003D7BB7">
            <w:pPr>
              <w:pStyle w:val="Tabelltext"/>
            </w:pPr>
            <w:r w:rsidRPr="00AD16A8">
              <w:t>Slutbehan</w:t>
            </w:r>
            <w:r w:rsidRPr="00AD16A8">
              <w:t>d</w:t>
            </w:r>
            <w:r w:rsidRPr="00AD16A8">
              <w:t>lad</w:t>
            </w:r>
          </w:p>
        </w:tc>
      </w:tr>
    </w:tbl>
    <w:p w:rsidR="003D7BB7" w:rsidRPr="00AD16A8" w:rsidRDefault="003D7BB7">
      <w:r w:rsidRPr="00AD16A8">
        <w:t>Enligt vad utskottet erfarit har regeringen sedan skrivelsen färdigställdes vidtagit ytterligare åtgärder som berör flera av ovanstående ärenden. Fortf</w:t>
      </w:r>
      <w:r w:rsidRPr="00AD16A8">
        <w:t>a</w:t>
      </w:r>
      <w:r w:rsidRPr="00AD16A8">
        <w:t>rande räknar dock regeringen med att flertalet riksdagsskrivelser med tillkä</w:t>
      </w:r>
      <w:r w:rsidRPr="00AD16A8">
        <w:t>n</w:t>
      </w:r>
      <w:r w:rsidRPr="00AD16A8">
        <w:t>nagivanden inte kommer att bli slutbehandlade under inn</w:t>
      </w:r>
      <w:r w:rsidRPr="00AD16A8">
        <w:t>e</w:t>
      </w:r>
      <w:r w:rsidRPr="00AD16A8">
        <w:t xml:space="preserve">varande riksmöte. </w:t>
      </w:r>
    </w:p>
    <w:p w:rsidR="003D7BB7" w:rsidRPr="00AD16A8" w:rsidRDefault="003D7BB7">
      <w:pPr>
        <w:pStyle w:val="Normaltindrag"/>
      </w:pPr>
      <w:r w:rsidRPr="00AD16A8">
        <w:t>Den inom utskottets beredningsområde äldsta inte slutbehandlade skrive</w:t>
      </w:r>
      <w:r w:rsidRPr="00AD16A8">
        <w:t>l</w:t>
      </w:r>
      <w:r w:rsidRPr="00AD16A8">
        <w:t>sen med tillkännagivande är från riksmötet 1994/95. Den gäller frågan om återinförande av det statliga fritidsbåtsregistret. I redovisningen av bere</w:t>
      </w:r>
      <w:r w:rsidRPr="00AD16A8">
        <w:t>d</w:t>
      </w:r>
      <w:r w:rsidRPr="00AD16A8">
        <w:t>ningsläget hänvisas till budgetpropositionen för år 2001 där det anges att regeringen avser att ge en särskild utredare i uppdrag att utreda de närmare förutsättningarna för hur ett allmänt fritidsbåtsregister bör vara utformat. Motsvarande avsiktsförklaring återkommer i budgetpropositionen för år 2002 där det meddelas att regeringen ämnar ge en särskild utred</w:t>
      </w:r>
      <w:r w:rsidRPr="00AD16A8">
        <w:t>are i uppdrag att bl.a. belysa möjligheterna att införa en obligatorisk ansvarsförsäkring för ägare av fritidsbåtar och hur ett allmänt fritidsbåtsregister bör vara utformat (prop. 2000/01:1 utg.omr. 22, s. 82). Enligt vad utskottet erfarit planeras det aviserade utredningsarbetet påbörjas under senare delen av år 2001. Utskottet konstaterar därmed att ännu efter drygt sex år är denna skrivelse inte slutb</w:t>
      </w:r>
      <w:r w:rsidRPr="00AD16A8">
        <w:t>e</w:t>
      </w:r>
      <w:r w:rsidRPr="00AD16A8">
        <w:t>handlad.</w:t>
      </w:r>
    </w:p>
    <w:p w:rsidR="003D7BB7" w:rsidRPr="00AD16A8" w:rsidRDefault="003D7BB7">
      <w:pPr>
        <w:pStyle w:val="Normaltindrag"/>
      </w:pPr>
      <w:r w:rsidRPr="00AD16A8">
        <w:t>Trafikutskottet konstaterar vidare att beträffande några tillkännagivanden redovisas att bered</w:t>
      </w:r>
      <w:r w:rsidRPr="00AD16A8">
        <w:t xml:space="preserve">ning pågår sedan en längre tid utan att uppgift lämnas om vad som återstår att göra eller orsaken till dröjsmålet. Enligt utskottets mening är det viktigt att riksdagsskrivelser med tillkännagivanden bereds utan onödig tidsutdräkt. Om det föreligger omständighet som hindrar ett genomförande av beslutet bör detta snarast redovisas för riksdagen. </w:t>
      </w:r>
    </w:p>
    <w:p w:rsidR="003D7BB7" w:rsidRPr="00AD16A8" w:rsidRDefault="003D7BB7">
      <w:pPr>
        <w:pStyle w:val="Normaltindrag"/>
      </w:pPr>
      <w:r w:rsidRPr="00AD16A8">
        <w:t>Utskottet anser vidare att redovisningen av planerade åtgärder är viktig för utskottet vid dess arbete med uppföljning och utvärdering av de äldre rik</w:t>
      </w:r>
      <w:r w:rsidRPr="00AD16A8">
        <w:t>s</w:t>
      </w:r>
      <w:r w:rsidRPr="00AD16A8">
        <w:t>dagsskrivelserna. För riksdagens tillkännagivanden är det angeläget med en redovisning av när ärendet bedöms komma att slutbehandlas eller när reg</w:t>
      </w:r>
      <w:r w:rsidRPr="00AD16A8">
        <w:t>e</w:t>
      </w:r>
      <w:r w:rsidRPr="00AD16A8">
        <w:t>ringen avser att återkomma till riksd</w:t>
      </w:r>
      <w:r w:rsidRPr="00AD16A8">
        <w:t>a</w:t>
      </w:r>
      <w:r w:rsidRPr="00AD16A8">
        <w:t>gen i frågan.</w:t>
      </w:r>
    </w:p>
    <w:p w:rsidR="003D7BB7" w:rsidRPr="00AD16A8" w:rsidRDefault="003D7BB7">
      <w:pPr>
        <w:pStyle w:val="R4"/>
      </w:pPr>
      <w:r w:rsidRPr="00AD16A8">
        <w:t>Uppföljning av riksdagsskrivelser</w:t>
      </w:r>
    </w:p>
    <w:p w:rsidR="003D7BB7" w:rsidRPr="00AD16A8" w:rsidRDefault="003D7BB7">
      <w:r w:rsidRPr="00AD16A8">
        <w:t>Riksdagen skall enligt Riksdagskommittén i ökad utsträckning följa upp och utvärdera fattade beslut för att åstadkomma ett bättre berednings- och b</w:t>
      </w:r>
      <w:r w:rsidRPr="00AD16A8">
        <w:t>e</w:t>
      </w:r>
      <w:r w:rsidRPr="00AD16A8">
        <w:t>slutsunderlag. Utskottsarbetet skall mot denna bakgrund förskjutas mer mot uppföljning och utvärdering. En viktig del i detta arbete är regeringens årliga redovisning av hur riksdagens skrivelser har behandlats. Med hänsyn till att denna sammanställning huvudsakligen redovisar åtgärder som vidtagits under föregående kalenderår ger dock redovisningen oftast inte någon aktuell bild av vidtagna åtgärder. Den nu aktuella sammanställningen avser exempelvis huvudsakligen åtgärder som regeringen vidtagit under ti</w:t>
      </w:r>
      <w:r w:rsidRPr="00AD16A8">
        <w:t>den den 1 januari–  31 december 2000.Vid sitt uppföljningsarbete tvingas därför utskottet ofta att ta fram kompletterande information.</w:t>
      </w:r>
    </w:p>
    <w:p w:rsidR="003D7BB7" w:rsidRPr="00AD16A8" w:rsidRDefault="003D7BB7">
      <w:pPr>
        <w:pStyle w:val="Normaltindrag"/>
      </w:pPr>
      <w:r w:rsidRPr="00AD16A8">
        <w:t>Enligt trafikutskottets mening skulle uppföljningsarbetet underlättas om det fanns tillgång till en kompletterande informationskälla som innehåller aktuella uppgifter om vilka åtgärder som regeringen vidtar med anledning av riksdagens ställningstaganden. Detta behov skulle kunna tillgodoses genom utveckling av ett IT-baserat informationssystem som löpande redovisar de åtgärd</w:t>
      </w:r>
      <w:r w:rsidRPr="00AD16A8">
        <w:t xml:space="preserve">er som vidtagits med anledning av olika riksdagsbeslut. </w:t>
      </w:r>
    </w:p>
    <w:p w:rsidR="003D7BB7" w:rsidRPr="00AD16A8" w:rsidRDefault="003D7BB7">
      <w:pPr>
        <w:pStyle w:val="Normaltindrag"/>
      </w:pPr>
      <w:r w:rsidRPr="00AD16A8">
        <w:t>Informationssystemet Rixlex ger bra information när det gäller att följa ett ärende från förslag till riksdagsbeslut. Däremot är det ofta svårare att klarlä</w:t>
      </w:r>
      <w:r w:rsidRPr="00AD16A8">
        <w:t>g</w:t>
      </w:r>
      <w:r w:rsidRPr="00AD16A8">
        <w:t>ga vilka åtgärder som vidtas med anledning av olika riksdagsbeslut. Med ett IT-baserat informationssystem med sökmöjlighet på enskilda riksdagsskrive</w:t>
      </w:r>
      <w:r w:rsidRPr="00AD16A8">
        <w:t>l</w:t>
      </w:r>
      <w:r w:rsidRPr="00AD16A8">
        <w:t>ser i Regeringskansliets diariesystem skulle redovisningen vinna såväl i akt</w:t>
      </w:r>
      <w:r w:rsidRPr="00AD16A8">
        <w:t>u</w:t>
      </w:r>
      <w:r w:rsidRPr="00AD16A8">
        <w:t>alitet som tillgänglighet och därmed främja riksdagens granskningsverksa</w:t>
      </w:r>
      <w:r w:rsidRPr="00AD16A8">
        <w:t>m</w:t>
      </w:r>
      <w:r w:rsidRPr="00AD16A8">
        <w:t>het. Det är sålunda önskvärt att komplettera regeringens redovisning med en utförlig beskrivning av beredningsläget och redovisning av planerade åtgärder beträffande de ärenden som inte är slutbehan</w:t>
      </w:r>
      <w:r w:rsidRPr="00AD16A8">
        <w:t>d</w:t>
      </w:r>
      <w:r w:rsidRPr="00AD16A8">
        <w:t xml:space="preserve">lade. </w:t>
      </w:r>
    </w:p>
    <w:p w:rsidR="003D7BB7" w:rsidRPr="00AD16A8" w:rsidRDefault="003D7BB7">
      <w:pPr>
        <w:pStyle w:val="Normaltindrag"/>
      </w:pPr>
      <w:r w:rsidRPr="00AD16A8">
        <w:t>För e</w:t>
      </w:r>
      <w:r w:rsidRPr="00AD16A8">
        <w:t>n sådan förändring talar också att den nuvarande utformningen av r</w:t>
      </w:r>
      <w:r w:rsidRPr="00AD16A8">
        <w:t>e</w:t>
      </w:r>
      <w:r w:rsidRPr="00AD16A8">
        <w:t xml:space="preserve">geringens redogörelse inte är helt lättillgänglig. Detta torde förklara varför det nästan aldrig väcks någon motion med anledning av redovisningen. Inte heller brukar redogörelsen ge upphov till någon offentlig debatt trots att skrivelsen beskriver regeringens hantering av viktiga politiska frågor. </w:t>
      </w:r>
    </w:p>
    <w:p w:rsidR="003D7BB7" w:rsidRPr="00AD16A8" w:rsidRDefault="003D7BB7">
      <w:pPr>
        <w:pStyle w:val="Normaltindrag"/>
      </w:pPr>
      <w:r w:rsidRPr="00AD16A8">
        <w:t>Enligt trafikutskottets mening bör mot denna bakgrund prövas om uppföl</w:t>
      </w:r>
      <w:r w:rsidRPr="00AD16A8">
        <w:t>j</w:t>
      </w:r>
      <w:r w:rsidRPr="00AD16A8">
        <w:t>ningen av riksdagsskrivelsernas behandling kan vidareutvecklas. Även fo</w:t>
      </w:r>
      <w:r w:rsidRPr="00AD16A8">
        <w:t>r</w:t>
      </w:r>
      <w:r w:rsidRPr="00AD16A8">
        <w:t>merna för regeringens redovisning till riksdagen bör övervägas i detta sa</w:t>
      </w:r>
      <w:r w:rsidRPr="00AD16A8">
        <w:t>m</w:t>
      </w:r>
      <w:r w:rsidRPr="00AD16A8">
        <w:t xml:space="preserve">manhang. </w:t>
      </w:r>
    </w:p>
    <w:p w:rsidR="003D7BB7" w:rsidRPr="00AD16A8" w:rsidRDefault="003D7BB7">
      <w:pPr>
        <w:pStyle w:val="Normaltindrag"/>
      </w:pPr>
      <w:r w:rsidRPr="00AD16A8">
        <w:t>Regeringens skrivelse blir som redan nämnts förhållandevis snabbt inakt</w:t>
      </w:r>
      <w:r w:rsidRPr="00AD16A8">
        <w:t>u</w:t>
      </w:r>
      <w:r w:rsidRPr="00AD16A8">
        <w:t>ell. Den nu aktuella skrivelsen överlämnades av regeringen i april 2001 och avser huvudsakligen åtgärder som vidtagits under tiden 1 januari–31 dece</w:t>
      </w:r>
      <w:r w:rsidRPr="00AD16A8">
        <w:t>m</w:t>
      </w:r>
      <w:r w:rsidRPr="00AD16A8">
        <w:t>ber 2000. Konstitutionsutskottet har därefter den 15 maj 2001 anmodat övriga utskott att yttra sig över skrivelsen senast den 26 oktober 2001. Det har därför varit nödvändigt att datera upp regeringens redovisning av behandlingen av enskilda skrivelser. För att uppnå en mer aktuell behandling bör det övervägas att genomföra riksdagsbehandlingen under våren. Dä</w:t>
      </w:r>
      <w:r w:rsidRPr="00AD16A8">
        <w:t xml:space="preserve">rmed skulle även en tidsmässig samordning kunna ske med den fördjupade resultatredovisning från regeringen till riksdagen som avses införas successivt med början våren 2002. </w:t>
      </w:r>
    </w:p>
    <w:p w:rsidR="003D7BB7" w:rsidRPr="00AD16A8" w:rsidRDefault="003D7BB7">
      <w:pPr>
        <w:pStyle w:val="Normaltindrag"/>
      </w:pPr>
      <w:r w:rsidRPr="00AD16A8">
        <w:t>Slutligen vill utskottet framhålla att redogörelsens register över riksdag</w:t>
      </w:r>
      <w:r w:rsidRPr="00AD16A8">
        <w:t>s</w:t>
      </w:r>
      <w:r w:rsidRPr="00AD16A8">
        <w:t>skrivelserna fördelade på olika utskott fyller en viktig funktion. Med hänsyn till att beslut inom trafikutskottets beredningsområde i vissa fall redovisas under andra utskott, t.ex. riksdagens beslut om tilläggsbudget, krävs dock ytterligare insatser för att klarlägga vilka moment som ingår i utskottets a</w:t>
      </w:r>
      <w:r w:rsidRPr="00AD16A8">
        <w:t>n</w:t>
      </w:r>
      <w:r w:rsidRPr="00AD16A8">
        <w:t xml:space="preserve">svarsområde.  Det bör mot denna bakgrund övervägas hur skrivelsens register kan vidareutvecklas. </w:t>
      </w:r>
    </w:p>
    <w:p w:rsidR="003D7BB7" w:rsidRPr="00AD16A8" w:rsidRDefault="003D7BB7">
      <w:pPr>
        <w:pStyle w:val="R4"/>
      </w:pPr>
      <w:r w:rsidRPr="00AD16A8">
        <w:t>Sammanfattning</w:t>
      </w:r>
    </w:p>
    <w:p w:rsidR="003D7BB7" w:rsidRPr="00AD16A8" w:rsidRDefault="003D7BB7">
      <w:r w:rsidRPr="00AD16A8">
        <w:t>Trafikutskottet anser att regeringens skrivelse ger en god bild av de åtgärder som regeringen vidtagit och beredningsläget för de ärenden som inte är slu</w:t>
      </w:r>
      <w:r w:rsidRPr="00AD16A8">
        <w:t>t</w:t>
      </w:r>
      <w:r w:rsidRPr="00AD16A8">
        <w:t>behandlade. För riksdagsskrivelser med tillkännagivanden till regeringen konstateras att behandlingen av vissa ärenden har pågått sedan en längre tid utan att uppgift lämnas om när ärendena beräknas kunna bli slutbehandlade. Enligt utskottets mening är det viktigt att riksdagsskrivelser med tillkännag</w:t>
      </w:r>
      <w:r w:rsidRPr="00AD16A8">
        <w:t>i</w:t>
      </w:r>
      <w:r w:rsidRPr="00AD16A8">
        <w:t>vanden bereds utan onödig tidsutdräkt. Slutligen anser trafikutskottet att uppföljningen av riksdagsskrivelserna bör utvecklas. Det gäller bl.a. hur regeringens redovisning kan vidareutvecklas och om ett IT-b</w:t>
      </w:r>
      <w:r w:rsidRPr="00AD16A8">
        <w:t>aserat inform</w:t>
      </w:r>
      <w:r w:rsidRPr="00AD16A8">
        <w:t>a</w:t>
      </w:r>
      <w:r w:rsidRPr="00AD16A8">
        <w:t>tionsstöd kan tas fram som stöd för granskning av hur riksdagens beslut g</w:t>
      </w:r>
      <w:r w:rsidRPr="00AD16A8">
        <w:t>e</w:t>
      </w:r>
      <w:r w:rsidRPr="00AD16A8">
        <w:t>nomförs.</w:t>
      </w:r>
    </w:p>
    <w:p w:rsidR="003D7BB7" w:rsidRPr="00AD16A8" w:rsidRDefault="003D7BB7"/>
    <w:p w:rsidR="003D7BB7" w:rsidRPr="00AD16A8" w:rsidRDefault="003D7BB7">
      <w:r w:rsidRPr="00AD16A8">
        <w:t xml:space="preserve">Stockholm den 16 oktober 2001 </w:t>
      </w:r>
    </w:p>
    <w:p w:rsidR="003D7BB7" w:rsidRPr="00AD16A8" w:rsidRDefault="003D7BB7">
      <w:r w:rsidRPr="00AD16A8">
        <w:t>På trafikutskottets vägnar</w:t>
      </w:r>
    </w:p>
    <w:p w:rsidR="003D7BB7" w:rsidRPr="00AD16A8" w:rsidRDefault="003D7BB7">
      <w:pPr>
        <w:pStyle w:val="Ordfranden"/>
        <w:rPr>
          <w:noProof w:val="0"/>
        </w:rPr>
      </w:pPr>
      <w:bookmarkStart w:id="3" w:name="Ordförande"/>
      <w:bookmarkEnd w:id="3"/>
      <w:r w:rsidRPr="00AD16A8">
        <w:rPr>
          <w:noProof w:val="0"/>
        </w:rPr>
        <w:t xml:space="preserve">Monica Öhman </w:t>
      </w:r>
    </w:p>
    <w:p w:rsidR="003D7BB7" w:rsidRPr="00AD16A8" w:rsidRDefault="003D7BB7">
      <w:pPr>
        <w:pStyle w:val="Deltagare"/>
        <w:rPr>
          <w:noProof w:val="0"/>
        </w:rPr>
      </w:pPr>
      <w:r w:rsidRPr="00AD16A8">
        <w:rPr>
          <w:noProof w:val="0"/>
        </w:rPr>
        <w:t>Följande ledamöter har deltagit i beslutet: Monica Öhman (s), Sven Bergström (c), Per-Richard Molén (m), Jarl Lander (s), Hans Stenberg (s), Karin Svensson Smith (v), Johnny Gylling (kd), Tom Heyman (m), Krister Örnfjäder (s), Monica Green (s), Inger Segelström (s), Stig Eriksson (v), Tuve Skånberg (kd), Birgitta Wistrand (m), Mikael Johansson (mp), Jeppe Johnsson (m) och Elver Jonsson (fp).</w:t>
      </w:r>
    </w:p>
    <w:p w:rsidR="003D7BB7" w:rsidRPr="00AD16A8" w:rsidRDefault="003D7BB7">
      <w:pPr>
        <w:pStyle w:val="Normaltindrag"/>
      </w:pPr>
    </w:p>
    <w:p w:rsidR="003D7BB7" w:rsidRPr="00AD16A8" w:rsidRDefault="003D7BB7">
      <w:pPr>
        <w:pStyle w:val="Tryckort"/>
        <w:framePr w:wrap="around"/>
      </w:pPr>
      <w:r w:rsidRPr="00AD16A8">
        <w:t>Elanders Gotab, Stockholm  2001</w:t>
      </w:r>
    </w:p>
    <w:p w:rsidR="003D7BB7" w:rsidRPr="00AD16A8" w:rsidRDefault="003D7BB7">
      <w:pPr>
        <w:pStyle w:val="Normaltindrag"/>
      </w:pPr>
    </w:p>
    <w:sectPr w:rsidR="003D7BB7" w:rsidRPr="00AD16A8">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BB7" w:rsidRPr="00AD16A8" w:rsidRDefault="003D7BB7">
      <w:pPr>
        <w:spacing w:before="0" w:line="240" w:lineRule="auto"/>
      </w:pPr>
      <w:r w:rsidRPr="00AD16A8">
        <w:separator/>
      </w:r>
    </w:p>
  </w:endnote>
  <w:endnote w:type="continuationSeparator" w:id="0">
    <w:p w:rsidR="003D7BB7" w:rsidRPr="00AD16A8" w:rsidRDefault="003D7BB7">
      <w:pPr>
        <w:spacing w:before="0" w:line="240" w:lineRule="auto"/>
      </w:pPr>
      <w:r w:rsidRPr="00AD1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7" w:rsidRPr="00AD16A8" w:rsidRDefault="003D7BB7">
    <w:pPr>
      <w:pStyle w:val="SidfotV"/>
      <w:framePr w:w="8732" w:h="284" w:hRule="exact" w:hSpace="0" w:vSpace="0" w:wrap="around" w:xAlign="inside" w:y="13042" w:anchorLock="0"/>
    </w:pPr>
    <w:r w:rsidRPr="00AD16A8">
      <w:fldChar w:fldCharType="begin" w:fldLock="1"/>
    </w:r>
    <w:r w:rsidRPr="00AD16A8">
      <w:instrText xml:space="preserve"> P</w:instrText>
    </w:r>
    <w:r w:rsidRPr="00AD16A8">
      <w:instrText>A</w:instrText>
    </w:r>
    <w:r w:rsidRPr="00AD16A8">
      <w:instrText xml:space="preserve">GE </w:instrText>
    </w:r>
    <w:r w:rsidRPr="00AD16A8">
      <w:fldChar w:fldCharType="separate"/>
    </w:r>
    <w:r w:rsidRPr="00AD16A8">
      <w:t>2</w:t>
    </w:r>
    <w:r w:rsidRPr="00AD16A8">
      <w:fldChar w:fldCharType="end"/>
    </w:r>
  </w:p>
  <w:p w:rsidR="003D7BB7" w:rsidRPr="00AD16A8" w:rsidRDefault="003D7B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7" w:rsidRPr="00AD16A8" w:rsidRDefault="003D7BB7">
    <w:pPr>
      <w:pStyle w:val="SidfotH"/>
      <w:framePr w:w="8732" w:h="284" w:hRule="exact" w:hSpace="0" w:vSpace="0" w:wrap="around" w:xAlign="inside" w:y="13042" w:anchorLock="0"/>
    </w:pPr>
    <w:r w:rsidRPr="00AD16A8">
      <w:fldChar w:fldCharType="begin" w:fldLock="1"/>
    </w:r>
    <w:r w:rsidRPr="00AD16A8">
      <w:instrText xml:space="preserve"> P</w:instrText>
    </w:r>
    <w:r w:rsidRPr="00AD16A8">
      <w:instrText>A</w:instrText>
    </w:r>
    <w:r w:rsidRPr="00AD16A8">
      <w:instrText xml:space="preserve">GE </w:instrText>
    </w:r>
    <w:r w:rsidRPr="00AD16A8">
      <w:fldChar w:fldCharType="separate"/>
    </w:r>
    <w:r w:rsidRPr="00AD16A8">
      <w:t>3</w:t>
    </w:r>
    <w:r w:rsidRPr="00AD16A8">
      <w:fldChar w:fldCharType="end"/>
    </w:r>
  </w:p>
  <w:p w:rsidR="003D7BB7" w:rsidRPr="00AD16A8" w:rsidRDefault="003D7B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7" w:rsidRPr="00AD16A8" w:rsidRDefault="003D7BB7">
    <w:pPr>
      <w:pStyle w:val="SidfotV"/>
      <w:framePr w:w="8732" w:h="284" w:hRule="exact" w:hSpace="0" w:vSpace="0" w:wrap="around" w:xAlign="inside" w:y="13042" w:anchorLock="0"/>
    </w:pPr>
    <w:r w:rsidRPr="00AD16A8">
      <w:fldChar w:fldCharType="begin" w:fldLock="1"/>
    </w:r>
    <w:r w:rsidRPr="00AD16A8">
      <w:instrText xml:space="preserve"> if </w:instrText>
    </w:r>
    <w:r w:rsidRPr="00AD16A8">
      <w:fldChar w:fldCharType="begin" w:fldLock="1"/>
    </w:r>
    <w:r w:rsidRPr="00AD16A8">
      <w:instrText xml:space="preserve"> = </w:instrText>
    </w:r>
    <w:r w:rsidRPr="00AD16A8">
      <w:fldChar w:fldCharType="begin" w:fldLock="1"/>
    </w:r>
    <w:r w:rsidRPr="00AD16A8">
      <w:instrText xml:space="preserve"> = </w:instrText>
    </w:r>
    <w:r w:rsidRPr="00AD16A8">
      <w:fldChar w:fldCharType="begin" w:fldLock="1"/>
    </w:r>
    <w:r w:rsidRPr="00AD16A8">
      <w:instrText xml:space="preserve"> page</w:instrText>
    </w:r>
    <w:r w:rsidRPr="00AD16A8">
      <w:fldChar w:fldCharType="separate"/>
    </w:r>
    <w:r w:rsidR="00AD16A8">
      <w:rPr>
        <w:noProof/>
      </w:rPr>
      <w:instrText>1</w:instrText>
    </w:r>
    <w:r w:rsidRPr="00AD16A8">
      <w:fldChar w:fldCharType="end"/>
    </w:r>
    <w:r w:rsidRPr="00AD16A8">
      <w:instrText xml:space="preserve">/2 </w:instrText>
    </w:r>
    <w:r w:rsidRPr="00AD16A8">
      <w:fldChar w:fldCharType="separate"/>
    </w:r>
    <w:r w:rsidR="00AD16A8">
      <w:rPr>
        <w:noProof/>
      </w:rPr>
      <w:instrText>0,5</w:instrText>
    </w:r>
    <w:r w:rsidRPr="00AD16A8">
      <w:fldChar w:fldCharType="end"/>
    </w:r>
    <w:r w:rsidRPr="00AD16A8">
      <w:instrText xml:space="preserve"> - </w:instrText>
    </w:r>
    <w:r w:rsidRPr="00AD16A8">
      <w:fldChar w:fldCharType="begin" w:fldLock="1"/>
    </w:r>
    <w:r w:rsidRPr="00AD16A8">
      <w:instrText xml:space="preserve"> = int(</w:instrText>
    </w:r>
    <w:r w:rsidRPr="00AD16A8">
      <w:fldChar w:fldCharType="begin" w:fldLock="1"/>
    </w:r>
    <w:r w:rsidRPr="00AD16A8">
      <w:instrText xml:space="preserve"> page</w:instrText>
    </w:r>
    <w:r w:rsidRPr="00AD16A8">
      <w:fldChar w:fldCharType="separate"/>
    </w:r>
    <w:r w:rsidR="00AD16A8">
      <w:rPr>
        <w:noProof/>
      </w:rPr>
      <w:instrText>1</w:instrText>
    </w:r>
    <w:r w:rsidRPr="00AD16A8">
      <w:fldChar w:fldCharType="end"/>
    </w:r>
    <w:r w:rsidRPr="00AD16A8">
      <w:instrText xml:space="preserve">/2) </w:instrText>
    </w:r>
    <w:r w:rsidRPr="00AD16A8">
      <w:fldChar w:fldCharType="separate"/>
    </w:r>
    <w:r w:rsidR="00AD16A8">
      <w:rPr>
        <w:noProof/>
      </w:rPr>
      <w:instrText>0</w:instrText>
    </w:r>
    <w:r w:rsidRPr="00AD16A8">
      <w:fldChar w:fldCharType="end"/>
    </w:r>
    <w:r w:rsidRPr="00AD16A8">
      <w:fldChar w:fldCharType="separate"/>
    </w:r>
    <w:r w:rsidR="00AD16A8">
      <w:rPr>
        <w:noProof/>
      </w:rPr>
      <w:instrText>0,5</w:instrText>
    </w:r>
    <w:r w:rsidRPr="00AD16A8">
      <w:fldChar w:fldCharType="end"/>
    </w:r>
    <w:r w:rsidRPr="00AD16A8">
      <w:instrText xml:space="preserve"> = 0 "</w:instrText>
    </w:r>
    <w:r w:rsidRPr="00AD16A8">
      <w:fldChar w:fldCharType="begin" w:fldLock="1"/>
    </w:r>
    <w:r w:rsidRPr="00AD16A8">
      <w:instrText xml:space="preserve"> P</w:instrText>
    </w:r>
    <w:r w:rsidRPr="00AD16A8">
      <w:instrText>A</w:instrText>
    </w:r>
    <w:r w:rsidRPr="00AD16A8">
      <w:instrText xml:space="preserve">GE </w:instrText>
    </w:r>
    <w:r w:rsidRPr="00AD16A8">
      <w:fldChar w:fldCharType="separate"/>
    </w:r>
    <w:r w:rsidRPr="00AD16A8">
      <w:instrText>2</w:instrText>
    </w:r>
    <w:r w:rsidRPr="00AD16A8">
      <w:fldChar w:fldCharType="end"/>
    </w:r>
  </w:p>
  <w:p w:rsidR="003D7BB7" w:rsidRPr="00AD16A8" w:rsidRDefault="003D7BB7">
    <w:pPr>
      <w:pStyle w:val="SidfotH"/>
      <w:framePr w:w="8732" w:h="284" w:hRule="exact" w:hSpace="0" w:vSpace="0" w:wrap="around" w:xAlign="inside" w:y="13042" w:anchorLock="0"/>
    </w:pPr>
    <w:r w:rsidRPr="00AD16A8">
      <w:instrText>""</w:instrText>
    </w:r>
    <w:r w:rsidRPr="00AD16A8">
      <w:fldChar w:fldCharType="begin" w:fldLock="1"/>
    </w:r>
    <w:r w:rsidRPr="00AD16A8">
      <w:instrText xml:space="preserve"> P</w:instrText>
    </w:r>
    <w:r w:rsidRPr="00AD16A8">
      <w:instrText>A</w:instrText>
    </w:r>
    <w:r w:rsidRPr="00AD16A8">
      <w:instrText xml:space="preserve">GE </w:instrText>
    </w:r>
    <w:r w:rsidRPr="00AD16A8">
      <w:fldChar w:fldCharType="separate"/>
    </w:r>
    <w:r w:rsidR="00AD16A8">
      <w:rPr>
        <w:noProof/>
      </w:rPr>
      <w:instrText>1</w:instrText>
    </w:r>
    <w:r w:rsidRPr="00AD16A8">
      <w:fldChar w:fldCharType="end"/>
    </w:r>
    <w:r w:rsidRPr="00AD16A8">
      <w:instrText>"</w:instrText>
    </w:r>
    <w:r w:rsidRPr="00AD16A8">
      <w:fldChar w:fldCharType="separate"/>
    </w:r>
    <w:r w:rsidR="00AD16A8">
      <w:rPr>
        <w:noProof/>
      </w:rPr>
      <w:t>1</w:t>
    </w:r>
    <w:r w:rsidRPr="00AD16A8">
      <w:fldChar w:fldCharType="end"/>
    </w:r>
  </w:p>
  <w:p w:rsidR="003D7BB7" w:rsidRPr="00AD16A8" w:rsidRDefault="003D7B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BB7" w:rsidRPr="00AD16A8" w:rsidRDefault="003D7BB7">
      <w:pPr>
        <w:pStyle w:val="Sidfot"/>
      </w:pPr>
    </w:p>
  </w:footnote>
  <w:footnote w:type="continuationSeparator" w:id="0">
    <w:p w:rsidR="003D7BB7" w:rsidRPr="00AD16A8" w:rsidRDefault="003D7BB7">
      <w:pPr>
        <w:spacing w:before="0" w:line="240" w:lineRule="auto"/>
      </w:pPr>
      <w:r w:rsidRPr="00AD16A8">
        <w:continuationSeparator/>
      </w:r>
    </w:p>
  </w:footnote>
  <w:footnote w:id="1">
    <w:p w:rsidR="00AD16A8" w:rsidRPr="00AD16A8" w:rsidRDefault="00AD16A8"/>
    <w:p w:rsidR="003D7BB7" w:rsidRPr="00AD16A8" w:rsidRDefault="003D7BB7">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7" w:rsidRPr="00AD16A8" w:rsidRDefault="003D7BB7">
    <w:pPr>
      <w:pStyle w:val="SidhuvudKantJmn"/>
      <w:framePr w:w="8732" w:h="567" w:hRule="exact" w:vSpace="0" w:wrap="around" w:vAnchor="page" w:y="341" w:anchorLock="0"/>
    </w:pPr>
    <w:r w:rsidRPr="00AD16A8">
      <w:rPr>
        <w:rStyle w:val="SidhuvudUtskott"/>
      </w:rPr>
      <w:t>2001/02:TU1y</w:t>
    </w:r>
    <w:r w:rsidRPr="00AD16A8">
      <w:t xml:space="preserve">     </w:t>
    </w:r>
    <w:r w:rsidRPr="00AD16A8">
      <w:rPr>
        <w:rStyle w:val="SidhuvudBilaga"/>
      </w:rPr>
      <w:t xml:space="preserve"> </w:t>
    </w:r>
    <w:r w:rsidRPr="00AD16A8">
      <w:rPr>
        <w:rStyle w:val="SidhuvudRubrikReferens"/>
      </w:rPr>
      <w:t>Trafikutskottets yttrande 2001/02:TU1y</w:t>
    </w:r>
  </w:p>
  <w:p w:rsidR="003D7BB7" w:rsidRPr="00AD16A8" w:rsidRDefault="003D7BB7">
    <w:pPr>
      <w:pStyle w:val="SidhuvudKantJmn"/>
      <w:framePr w:w="8732" w:h="567" w:hRule="exact" w:vSpace="0" w:wrap="around" w:vAnchor="page" w:y="341" w:anchorLock="0"/>
    </w:pPr>
  </w:p>
  <w:p w:rsidR="003D7BB7" w:rsidRPr="00AD16A8" w:rsidRDefault="003D7BB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7" w:rsidRPr="00AD16A8" w:rsidRDefault="003D7BB7">
    <w:pPr>
      <w:pStyle w:val="SidhuvudKantUdda"/>
      <w:framePr w:w="8732" w:h="567" w:hRule="exact" w:vSpace="0" w:wrap="around" w:vAnchor="page" w:y="341" w:anchorLock="0"/>
    </w:pPr>
    <w:r w:rsidRPr="00AD16A8">
      <w:rPr>
        <w:rStyle w:val="SidhuvudRubrikReferens"/>
      </w:rPr>
      <w:t>Trafikutskottets yttrande 2001/02:TU1y</w:t>
    </w:r>
    <w:r w:rsidRPr="00AD16A8">
      <w:rPr>
        <w:rStyle w:val="SidhuvudBilaga"/>
      </w:rPr>
      <w:t xml:space="preserve"> </w:t>
    </w:r>
    <w:r w:rsidRPr="00AD16A8">
      <w:t xml:space="preserve">     </w:t>
    </w:r>
    <w:r w:rsidRPr="00AD16A8">
      <w:rPr>
        <w:rStyle w:val="SidhuvudUtskott"/>
      </w:rPr>
      <w:t>2001/02:TU1y</w:t>
    </w:r>
  </w:p>
  <w:p w:rsidR="003D7BB7" w:rsidRPr="00AD16A8" w:rsidRDefault="003D7BB7">
    <w:pPr>
      <w:pStyle w:val="SidhuvudKantUdda"/>
      <w:framePr w:w="8732" w:h="567" w:hRule="exact" w:vSpace="0" w:wrap="around" w:vAnchor="page" w:y="341" w:anchorLock="0"/>
    </w:pPr>
  </w:p>
  <w:p w:rsidR="003D7BB7" w:rsidRPr="00AD16A8" w:rsidRDefault="003D7BB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7" w:rsidRPr="00AD16A8" w:rsidRDefault="003D7BB7">
    <w:pPr>
      <w:pStyle w:val="SidhuvudKantUdda"/>
      <w:framePr w:w="8732" w:h="567" w:hRule="exact" w:vSpace="0" w:wrap="around" w:vAnchor="page" w:y="341" w:anchorLock="0"/>
    </w:pPr>
    <w:r w:rsidRPr="00AD16A8">
      <w:t xml:space="preserve"> </w:t>
    </w:r>
  </w:p>
  <w:p w:rsidR="003D7BB7" w:rsidRPr="00AD16A8" w:rsidRDefault="003D7BB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0292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2017E4"/>
    <w:rsid w:val="002017E4"/>
    <w:rsid w:val="003D7BB7"/>
    <w:rsid w:val="00AD16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2C52FF-9D62-43D4-B2E8-ABD102D7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1318</Words>
  <Characters>9055</Characters>
  <Application>Microsoft Office Word</Application>
  <DocSecurity>4</DocSecurity>
  <Lines>251</Lines>
  <Paragraphs>138</Paragraphs>
  <ScaleCrop>false</ScaleCrop>
  <HeadingPairs>
    <vt:vector size="2" baseType="variant">
      <vt:variant>
        <vt:lpstr>Title</vt:lpstr>
      </vt:variant>
      <vt:variant>
        <vt:i4>1</vt:i4>
      </vt:variant>
    </vt:vector>
  </HeadingPairs>
  <TitlesOfParts>
    <vt:vector size="1" baseType="lpstr">
      <vt:lpstr>Trafikutskottets yttrande 2001/02:TU1y</vt:lpstr>
    </vt:vector>
  </TitlesOfParts>
  <Company>Riksdagen</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 2001/02:TU1y</dc:title>
  <dc:subject>Trafikutskottets yttrande 2001/02:TU1y</dc:subject>
  <dc:creator>Riksdagen</dc:creator>
  <cp:keywords>Riksdagen</cp:keywords>
  <cp:lastModifiedBy>Lars Brink</cp:lastModifiedBy>
  <cp:revision>2</cp:revision>
  <cp:lastPrinted>2001-10-17T14:27:00Z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