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43E53">
              <w:rPr>
                <w:b/>
                <w:color w:val="000000" w:themeColor="text1"/>
              </w:rPr>
              <w:t>1</w:t>
            </w:r>
            <w:r w:rsidR="00AC6976">
              <w:rPr>
                <w:b/>
                <w:color w:val="000000" w:themeColor="text1"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185A18">
              <w:t>2</w:t>
            </w:r>
            <w:r w:rsidR="004E4521">
              <w:t>-</w:t>
            </w:r>
            <w:r w:rsidR="00AC6976">
              <w:t>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AC6976" w:rsidRDefault="00185A18" w:rsidP="006845FF">
            <w:r>
              <w:t>0</w:t>
            </w:r>
            <w:r w:rsidR="0053796E">
              <w:t>9.</w:t>
            </w:r>
            <w:r w:rsidR="00DF3DBD">
              <w:t>30</w:t>
            </w:r>
            <w:r>
              <w:t>–</w:t>
            </w:r>
            <w:r w:rsidR="006845FF">
              <w:t>12.25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C6976" w:rsidTr="008B7243">
        <w:tc>
          <w:tcPr>
            <w:tcW w:w="567" w:type="dxa"/>
          </w:tcPr>
          <w:p w:rsidR="00AC6976" w:rsidRDefault="00DC469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A6141" w:rsidRPr="001A6141" w:rsidRDefault="001A6141" w:rsidP="001A614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A6141">
              <w:rPr>
                <w:b/>
                <w:snapToGrid w:val="0"/>
              </w:rPr>
              <w:t>Svenskt deltagande i militära insatser i Mali (tillsammans med utrikesutskottet)</w:t>
            </w:r>
          </w:p>
          <w:p w:rsidR="001A6141" w:rsidRPr="001A6141" w:rsidRDefault="001A6141" w:rsidP="001A614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01669" w:rsidRPr="00A01669" w:rsidRDefault="001A6141" w:rsidP="005379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</w:t>
            </w:r>
            <w:r w:rsidRPr="001A6141">
              <w:rPr>
                <w:snapToGrid w:val="0"/>
              </w:rPr>
              <w:t>trikesminister Ann Linde</w:t>
            </w:r>
            <w:r>
              <w:rPr>
                <w:snapToGrid w:val="0"/>
              </w:rPr>
              <w:t xml:space="preserve"> med medarbetare från</w:t>
            </w:r>
            <w:r w:rsidRPr="001A6141">
              <w:rPr>
                <w:snapToGrid w:val="0"/>
              </w:rPr>
              <w:t xml:space="preserve"> Utrikesdepartementet</w:t>
            </w:r>
            <w:r>
              <w:rPr>
                <w:snapToGrid w:val="0"/>
              </w:rPr>
              <w:t>, f</w:t>
            </w:r>
            <w:r w:rsidRPr="001A6141">
              <w:rPr>
                <w:snapToGrid w:val="0"/>
              </w:rPr>
              <w:t>örsvarsminister Peter Hultqvist</w:t>
            </w:r>
            <w:r>
              <w:rPr>
                <w:snapToGrid w:val="0"/>
              </w:rPr>
              <w:t xml:space="preserve"> med medarbetare från </w:t>
            </w:r>
            <w:r w:rsidRPr="001A6141">
              <w:rPr>
                <w:snapToGrid w:val="0"/>
              </w:rPr>
              <w:t>Försvarsdepartementet</w:t>
            </w:r>
            <w:r>
              <w:rPr>
                <w:snapToGrid w:val="0"/>
              </w:rPr>
              <w:t xml:space="preserve"> och b</w:t>
            </w:r>
            <w:r w:rsidRPr="001A6141">
              <w:rPr>
                <w:snapToGrid w:val="0"/>
              </w:rPr>
              <w:t>rigadgeneral Johan Pekkari</w:t>
            </w:r>
            <w:r>
              <w:rPr>
                <w:snapToGrid w:val="0"/>
              </w:rPr>
              <w:t xml:space="preserve"> med medarbetare från </w:t>
            </w:r>
            <w:r w:rsidRPr="001A6141">
              <w:rPr>
                <w:snapToGrid w:val="0"/>
              </w:rPr>
              <w:t>Försvarsmakten</w:t>
            </w:r>
            <w:r>
              <w:rPr>
                <w:snapToGrid w:val="0"/>
              </w:rPr>
              <w:t xml:space="preserve"> informerade utskottet om s</w:t>
            </w:r>
            <w:r w:rsidRPr="001A6141">
              <w:rPr>
                <w:snapToGrid w:val="0"/>
              </w:rPr>
              <w:t>venskt deltagande i militära insatser i Mali</w:t>
            </w:r>
            <w:r>
              <w:rPr>
                <w:snapToGrid w:val="0"/>
              </w:rPr>
              <w:t xml:space="preserve">. </w:t>
            </w:r>
            <w:r w:rsidR="00A01669" w:rsidRPr="00A01669">
              <w:rPr>
                <w:snapToGrid w:val="0"/>
              </w:rPr>
              <w:t>Samtliga deltog på plats.</w:t>
            </w:r>
          </w:p>
          <w:p w:rsidR="00A01669" w:rsidRPr="00A01669" w:rsidRDefault="00A01669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Pr="00920070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Ledamöternas frågor besvarades.</w:t>
            </w:r>
          </w:p>
          <w:p w:rsidR="00A01669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360E72" w:rsidRDefault="00360E72" w:rsidP="00A01669">
            <w:pPr>
              <w:tabs>
                <w:tab w:val="left" w:pos="1701"/>
              </w:tabs>
              <w:rPr>
                <w:snapToGrid w:val="0"/>
              </w:rPr>
            </w:pPr>
            <w:r w:rsidRPr="00360E72">
              <w:rPr>
                <w:snapToGrid w:val="0"/>
              </w:rPr>
              <w:t xml:space="preserve">Utskottet beslutade att tystnadsplikt enligt 7 kap. 20 § riksdagsordningen ska gälla för information som utskottet har fått om interna diskussioner mellan de länder som deltar i den internationella insatsen </w:t>
            </w:r>
            <w:proofErr w:type="spellStart"/>
            <w:r w:rsidRPr="00360E72">
              <w:rPr>
                <w:snapToGrid w:val="0"/>
              </w:rPr>
              <w:t>Takuba</w:t>
            </w:r>
            <w:proofErr w:type="spellEnd"/>
            <w:r w:rsidRPr="00360E72">
              <w:rPr>
                <w:snapToGrid w:val="0"/>
              </w:rPr>
              <w:t xml:space="preserve"> samt information från Förenta nationerna och andra enskilda länders bedömningar kopplade till internationella militära insatser i Mali.</w:t>
            </w:r>
          </w:p>
          <w:p w:rsidR="00A01669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Pr="00A01669" w:rsidRDefault="00A01669" w:rsidP="00A0166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A01669" w:rsidRDefault="00A01669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23FC" w:rsidTr="008B7243">
        <w:tc>
          <w:tcPr>
            <w:tcW w:w="567" w:type="dxa"/>
          </w:tcPr>
          <w:p w:rsidR="005323FC" w:rsidRDefault="005323FC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5323FC" w:rsidRDefault="005323FC" w:rsidP="005323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323FC">
              <w:rPr>
                <w:b/>
                <w:snapToGrid w:val="0"/>
              </w:rPr>
              <w:t>Säkerhetsläget Ryssland/Ukraina (tillsammans med utrikesutskottet)</w:t>
            </w:r>
          </w:p>
          <w:p w:rsidR="005323FC" w:rsidRPr="005323FC" w:rsidRDefault="005323FC" w:rsidP="005323FC">
            <w:pPr>
              <w:tabs>
                <w:tab w:val="left" w:pos="1701"/>
              </w:tabs>
              <w:rPr>
                <w:snapToGrid w:val="0"/>
              </w:rPr>
            </w:pPr>
          </w:p>
          <w:p w:rsidR="005323FC" w:rsidRPr="00A01669" w:rsidRDefault="005323FC" w:rsidP="005323FC">
            <w:pPr>
              <w:tabs>
                <w:tab w:val="left" w:pos="1701"/>
              </w:tabs>
              <w:rPr>
                <w:snapToGrid w:val="0"/>
              </w:rPr>
            </w:pPr>
            <w:r w:rsidRPr="005323FC">
              <w:rPr>
                <w:snapToGrid w:val="0"/>
              </w:rPr>
              <w:t>Utrikesminister Ann Linde med medarbetare från Utrikesdepartementet och försvarsminister Peter Hultqvist med medarbetare från Försvarsdepartementet informerade utskottet om säkerhetsläget Ryssland/Ukraina.</w:t>
            </w:r>
            <w:r w:rsidR="00681EF7">
              <w:rPr>
                <w:snapToGrid w:val="0"/>
              </w:rPr>
              <w:t xml:space="preserve"> </w:t>
            </w:r>
            <w:r w:rsidRPr="00A01669">
              <w:rPr>
                <w:snapToGrid w:val="0"/>
              </w:rPr>
              <w:t>Samtliga deltog på plats.</w:t>
            </w:r>
          </w:p>
          <w:p w:rsidR="005323FC" w:rsidRPr="00A01669" w:rsidRDefault="005323FC" w:rsidP="005323FC">
            <w:pPr>
              <w:tabs>
                <w:tab w:val="left" w:pos="1701"/>
              </w:tabs>
              <w:rPr>
                <w:snapToGrid w:val="0"/>
              </w:rPr>
            </w:pPr>
          </w:p>
          <w:p w:rsidR="005323FC" w:rsidRPr="00920070" w:rsidRDefault="005323FC" w:rsidP="005323FC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Ledamöternas frågor besvarades.</w:t>
            </w:r>
          </w:p>
          <w:p w:rsidR="005323FC" w:rsidRPr="00920070" w:rsidRDefault="005323FC" w:rsidP="00681E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6976" w:rsidTr="008B7243">
        <w:tc>
          <w:tcPr>
            <w:tcW w:w="567" w:type="dxa"/>
          </w:tcPr>
          <w:p w:rsidR="00AC6976" w:rsidRDefault="00DC469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23F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01669" w:rsidRPr="00920070" w:rsidRDefault="00A01669" w:rsidP="00A016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20070">
              <w:rPr>
                <w:b/>
                <w:snapToGrid w:val="0"/>
              </w:rPr>
              <w:t>Riksrevisionens rapport om att bygga nationell försvarsförmåga – statens arbete med att stärka arméstridskrafterna (FöU4)</w:t>
            </w:r>
          </w:p>
          <w:p w:rsidR="00A01669" w:rsidRPr="00120F02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120F02">
              <w:rPr>
                <w:snapToGrid w:val="0"/>
              </w:rPr>
              <w:t>regeringens skrivelse 2021/22:63 och motioner.</w:t>
            </w:r>
          </w:p>
          <w:p w:rsidR="00A01669" w:rsidRPr="00120F02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Pr="00CD53C6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4</w:t>
            </w:r>
            <w:r w:rsidRPr="00CD53C6">
              <w:rPr>
                <w:snapToGrid w:val="0"/>
              </w:rPr>
              <w:t>.</w:t>
            </w:r>
          </w:p>
          <w:p w:rsidR="00A01669" w:rsidRPr="00280256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  <w:r w:rsidRPr="00280256">
              <w:rPr>
                <w:snapToGrid w:val="0"/>
              </w:rPr>
              <w:t>M-, SD-, C-</w:t>
            </w:r>
            <w:r w:rsidR="00280256" w:rsidRPr="00280256">
              <w:rPr>
                <w:snapToGrid w:val="0"/>
              </w:rPr>
              <w:t xml:space="preserve"> och</w:t>
            </w:r>
            <w:r w:rsidRPr="00280256">
              <w:rPr>
                <w:snapToGrid w:val="0"/>
              </w:rPr>
              <w:t xml:space="preserve"> L-ledamöterna anmälde reservationer. </w:t>
            </w:r>
          </w:p>
          <w:p w:rsidR="00681EF7" w:rsidRDefault="00681EF7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681EF7" w:rsidRPr="00280256" w:rsidRDefault="00681EF7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C6976" w:rsidRDefault="00AC6976" w:rsidP="0028025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6976" w:rsidTr="008B7243">
        <w:tc>
          <w:tcPr>
            <w:tcW w:w="567" w:type="dxa"/>
          </w:tcPr>
          <w:p w:rsidR="00AC6976" w:rsidRDefault="00DC469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323F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01669" w:rsidRPr="00920070" w:rsidRDefault="00A01669" w:rsidP="00A0166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20070">
              <w:rPr>
                <w:b/>
                <w:snapToGrid w:val="0"/>
              </w:rPr>
              <w:t>Integritetsskydd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920070">
              <w:rPr>
                <w:b/>
                <w:snapToGrid w:val="0"/>
              </w:rPr>
              <w:t>verksamhet (FöU5)</w:t>
            </w:r>
          </w:p>
          <w:p w:rsidR="00A01669" w:rsidRPr="00120F02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Pr="00120F02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120F02">
              <w:rPr>
                <w:snapToGrid w:val="0"/>
              </w:rPr>
              <w:t>regeringens skrivelse 2021/22:70 och en motion.</w:t>
            </w:r>
          </w:p>
          <w:p w:rsidR="00A01669" w:rsidRPr="00120F02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Pr="00CD53C6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5</w:t>
            </w:r>
            <w:r w:rsidRPr="00CD53C6">
              <w:rPr>
                <w:snapToGrid w:val="0"/>
              </w:rPr>
              <w:t>.</w:t>
            </w:r>
          </w:p>
          <w:p w:rsidR="00A01669" w:rsidRPr="00644300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C6976" w:rsidRPr="00644300" w:rsidRDefault="00A01669" w:rsidP="00644300">
            <w:pPr>
              <w:pStyle w:val="Default"/>
              <w:rPr>
                <w:snapToGrid w:val="0"/>
              </w:rPr>
            </w:pPr>
            <w:r w:rsidRPr="00644300">
              <w:rPr>
                <w:snapToGrid w:val="0"/>
              </w:rPr>
              <w:t>M-, KD-</w:t>
            </w:r>
            <w:r w:rsidR="00644300" w:rsidRPr="00644300">
              <w:rPr>
                <w:snapToGrid w:val="0"/>
              </w:rPr>
              <w:t xml:space="preserve"> och </w:t>
            </w:r>
            <w:r w:rsidRPr="00644300">
              <w:rPr>
                <w:snapToGrid w:val="0"/>
              </w:rPr>
              <w:t xml:space="preserve">L-ledamöterna anmälde reservationer. </w:t>
            </w:r>
          </w:p>
          <w:p w:rsidR="00644300" w:rsidRDefault="00644300" w:rsidP="00644300">
            <w:pPr>
              <w:pStyle w:val="Default"/>
              <w:rPr>
                <w:b/>
                <w:snapToGrid w:val="0"/>
              </w:rPr>
            </w:pPr>
          </w:p>
        </w:tc>
      </w:tr>
      <w:tr w:rsidR="0053796E" w:rsidTr="008B7243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23F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95F97" w:rsidRPr="00695F97" w:rsidRDefault="00695F97" w:rsidP="00695F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5F97">
              <w:rPr>
                <w:b/>
                <w:snapToGrid w:val="0"/>
              </w:rPr>
              <w:t>Information av Försvarsmakten om situationen vid Ledningsregementet</w:t>
            </w:r>
          </w:p>
          <w:p w:rsidR="00695F97" w:rsidRPr="00695F97" w:rsidRDefault="00695F97" w:rsidP="00695F97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Pr="00695F97" w:rsidRDefault="00695F97" w:rsidP="00A01669">
            <w:pPr>
              <w:tabs>
                <w:tab w:val="left" w:pos="1701"/>
              </w:tabs>
              <w:rPr>
                <w:snapToGrid w:val="0"/>
              </w:rPr>
            </w:pPr>
            <w:r w:rsidRPr="00695F97">
              <w:rPr>
                <w:snapToGrid w:val="0"/>
              </w:rPr>
              <w:t>Generallöjtnant Johan Svensson med medarbetare från Försvarsmakten informerade utskottet om situationen vid Ledningsregementet</w:t>
            </w:r>
            <w:r w:rsidR="008B48A5">
              <w:rPr>
                <w:snapToGrid w:val="0"/>
              </w:rPr>
              <w:t xml:space="preserve"> samt om Försvarsmaktens arbete med bemötandefrågor och andra frågor med koppling till myndighetens personalansvar</w:t>
            </w:r>
            <w:r w:rsidRPr="00695F97">
              <w:rPr>
                <w:snapToGrid w:val="0"/>
              </w:rPr>
              <w:t xml:space="preserve">. </w:t>
            </w:r>
            <w:r w:rsidR="00A01669" w:rsidRPr="00695F97">
              <w:rPr>
                <w:snapToGrid w:val="0"/>
              </w:rPr>
              <w:t>Samtliga deltog på plats.</w:t>
            </w:r>
          </w:p>
          <w:p w:rsidR="00A01669" w:rsidRPr="00A01669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Pr="00920070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Ledamöternas frågor besvarades.</w:t>
            </w:r>
          </w:p>
          <w:p w:rsidR="0053796E" w:rsidRPr="00920070" w:rsidRDefault="0053796E" w:rsidP="00681E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6E55" w:rsidTr="008B7243">
        <w:tc>
          <w:tcPr>
            <w:tcW w:w="567" w:type="dxa"/>
          </w:tcPr>
          <w:p w:rsidR="00C16E55" w:rsidRDefault="005323FC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695F97" w:rsidRDefault="00695F97" w:rsidP="00695F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5F97">
              <w:rPr>
                <w:b/>
                <w:snapToGrid w:val="0"/>
              </w:rPr>
              <w:t>Information av Försvarsmakten om säkerhetspolitiska läget, åtgärder och konsekvenser</w:t>
            </w:r>
          </w:p>
          <w:p w:rsidR="00695F97" w:rsidRPr="00695F97" w:rsidRDefault="00695F97" w:rsidP="00695F97">
            <w:pPr>
              <w:tabs>
                <w:tab w:val="left" w:pos="1701"/>
              </w:tabs>
              <w:rPr>
                <w:snapToGrid w:val="0"/>
              </w:rPr>
            </w:pPr>
          </w:p>
          <w:p w:rsidR="00C16E55" w:rsidRPr="00A01669" w:rsidRDefault="00695F97" w:rsidP="00C16E55">
            <w:pPr>
              <w:tabs>
                <w:tab w:val="left" w:pos="1701"/>
              </w:tabs>
              <w:rPr>
                <w:snapToGrid w:val="0"/>
              </w:rPr>
            </w:pPr>
            <w:r w:rsidRPr="00695F97">
              <w:rPr>
                <w:snapToGrid w:val="0"/>
              </w:rPr>
              <w:t>Brigadgeneral Johan Pekkari med medarbetare från Försvarsmakten informerade utskottet om säkerhetspolitiska läget</w:t>
            </w:r>
            <w:r w:rsidR="008B48A5">
              <w:rPr>
                <w:snapToGrid w:val="0"/>
              </w:rPr>
              <w:t xml:space="preserve"> och om de åtgärder myndigheten vidtar inklusive internationella kontakter. </w:t>
            </w:r>
            <w:r w:rsidR="00C16E55" w:rsidRPr="00A01669">
              <w:rPr>
                <w:snapToGrid w:val="0"/>
              </w:rPr>
              <w:t>Samtliga deltog på plats.</w:t>
            </w:r>
            <w:bookmarkStart w:id="0" w:name="_GoBack"/>
            <w:bookmarkEnd w:id="0"/>
          </w:p>
          <w:p w:rsidR="00C16E55" w:rsidRPr="00A01669" w:rsidRDefault="00C16E55" w:rsidP="00C16E55">
            <w:pPr>
              <w:tabs>
                <w:tab w:val="left" w:pos="1701"/>
              </w:tabs>
              <w:rPr>
                <w:snapToGrid w:val="0"/>
              </w:rPr>
            </w:pPr>
          </w:p>
          <w:p w:rsidR="00C16E55" w:rsidRDefault="00C16E55" w:rsidP="00C16E55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Ledamöternas frågor besvarades.</w:t>
            </w:r>
          </w:p>
          <w:p w:rsidR="00274143" w:rsidRPr="00920070" w:rsidRDefault="00274143" w:rsidP="00C16E55">
            <w:pPr>
              <w:tabs>
                <w:tab w:val="left" w:pos="1701"/>
              </w:tabs>
              <w:rPr>
                <w:snapToGrid w:val="0"/>
              </w:rPr>
            </w:pPr>
          </w:p>
          <w:p w:rsidR="00C16E55" w:rsidRDefault="00274143" w:rsidP="00C16E55">
            <w:pPr>
              <w:tabs>
                <w:tab w:val="left" w:pos="1701"/>
              </w:tabs>
              <w:rPr>
                <w:snapToGrid w:val="0"/>
              </w:rPr>
            </w:pPr>
            <w:r w:rsidRPr="00274143">
              <w:rPr>
                <w:snapToGrid w:val="0"/>
              </w:rPr>
              <w:t>Utskottet beslutade att tystnadsplikt enligt 7 kap. 20 § riksdagsordningen ska gälla för den information som utskottet har fått om analys och bedömningar av andra staters agerande och intensioner.</w:t>
            </w:r>
          </w:p>
          <w:p w:rsidR="00C16E55" w:rsidRDefault="00C16E55" w:rsidP="00C16E55">
            <w:pPr>
              <w:tabs>
                <w:tab w:val="left" w:pos="1701"/>
              </w:tabs>
              <w:rPr>
                <w:snapToGrid w:val="0"/>
              </w:rPr>
            </w:pPr>
          </w:p>
          <w:p w:rsidR="00C16E55" w:rsidRPr="00A01669" w:rsidRDefault="00C16E55" w:rsidP="00C16E5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C16E55" w:rsidRDefault="00C16E55" w:rsidP="00C16E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8B7243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23F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</w:p>
          <w:p w:rsidR="0053796E" w:rsidRDefault="0053796E" w:rsidP="005379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21/22:1</w:t>
            </w:r>
            <w:r w:rsidR="00A01669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:rsidR="0053796E" w:rsidRPr="00920070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DC469E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1EF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AD285B" w:rsidRDefault="00695F97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5F97">
              <w:rPr>
                <w:b/>
                <w:snapToGrid w:val="0"/>
              </w:rPr>
              <w:t>Arbetsgruppen för utskottets uppföljningsprojekt – val av ny ledamot (SD)</w:t>
            </w:r>
          </w:p>
          <w:p w:rsidR="00AD285B" w:rsidRPr="00681EF7" w:rsidRDefault="00AD285B" w:rsidP="00AD285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681EF7" w:rsidRPr="00681EF7" w:rsidRDefault="00681EF7" w:rsidP="00681EF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681EF7">
              <w:rPr>
                <w:snapToGrid w:val="0"/>
                <w:color w:val="000000" w:themeColor="text1"/>
              </w:rPr>
              <w:t xml:space="preserve">Utskottet beslutade att Caroline Nordengrip (SD) ska ingå </w:t>
            </w:r>
            <w:r>
              <w:rPr>
                <w:snapToGrid w:val="0"/>
                <w:color w:val="000000" w:themeColor="text1"/>
              </w:rPr>
              <w:t xml:space="preserve">i utskottets </w:t>
            </w:r>
            <w:r w:rsidRPr="00681EF7">
              <w:rPr>
                <w:snapToGrid w:val="0"/>
                <w:color w:val="000000" w:themeColor="text1"/>
              </w:rPr>
              <w:t xml:space="preserve">arbetsgrupp för uppföljning och utvärdering </w:t>
            </w:r>
            <w:r>
              <w:rPr>
                <w:snapToGrid w:val="0"/>
                <w:color w:val="000000" w:themeColor="text1"/>
              </w:rPr>
              <w:t>e</w:t>
            </w:r>
            <w:r w:rsidRPr="00681EF7">
              <w:rPr>
                <w:snapToGrid w:val="0"/>
                <w:color w:val="000000" w:themeColor="text1"/>
              </w:rPr>
              <w:t>fter Sven-Olof Sällström (SD) som begärt att bli entledigad</w:t>
            </w:r>
            <w:r w:rsidR="008F6EF5">
              <w:rPr>
                <w:snapToGrid w:val="0"/>
                <w:color w:val="000000" w:themeColor="text1"/>
              </w:rPr>
              <w:t xml:space="preserve"> (jfr prot. </w:t>
            </w:r>
            <w:r w:rsidRPr="00681EF7">
              <w:rPr>
                <w:snapToGrid w:val="0"/>
                <w:color w:val="000000" w:themeColor="text1"/>
              </w:rPr>
              <w:t>2020/21:29)</w:t>
            </w:r>
            <w:r>
              <w:rPr>
                <w:snapToGrid w:val="0"/>
                <w:color w:val="000000" w:themeColor="text1"/>
              </w:rPr>
              <w:t>.</w:t>
            </w:r>
          </w:p>
          <w:p w:rsidR="00681EF7" w:rsidRPr="00681EF7" w:rsidRDefault="00681EF7" w:rsidP="00681EF7">
            <w:pPr>
              <w:tabs>
                <w:tab w:val="left" w:pos="1701"/>
              </w:tabs>
              <w:rPr>
                <w:snapToGrid w:val="0"/>
              </w:rPr>
            </w:pPr>
          </w:p>
          <w:p w:rsidR="00681EF7" w:rsidRDefault="00681EF7" w:rsidP="00681EF7">
            <w:pPr>
              <w:tabs>
                <w:tab w:val="left" w:pos="1701"/>
              </w:tabs>
              <w:rPr>
                <w:snapToGrid w:val="0"/>
              </w:rPr>
            </w:pPr>
            <w:r w:rsidRPr="00681EF7">
              <w:rPr>
                <w:snapToGrid w:val="0"/>
              </w:rPr>
              <w:t>Denna paragraf förklarades omedelbart justerad.</w:t>
            </w:r>
          </w:p>
          <w:p w:rsidR="00775D15" w:rsidRDefault="00775D15" w:rsidP="00681EF7">
            <w:pPr>
              <w:tabs>
                <w:tab w:val="left" w:pos="1701"/>
              </w:tabs>
              <w:rPr>
                <w:snapToGrid w:val="0"/>
              </w:rPr>
            </w:pPr>
          </w:p>
          <w:p w:rsidR="00775D15" w:rsidRDefault="00775D15" w:rsidP="00681EF7">
            <w:pPr>
              <w:tabs>
                <w:tab w:val="left" w:pos="1701"/>
              </w:tabs>
              <w:rPr>
                <w:snapToGrid w:val="0"/>
              </w:rPr>
            </w:pPr>
          </w:p>
          <w:p w:rsidR="00775D15" w:rsidRPr="00681EF7" w:rsidRDefault="00775D15" w:rsidP="00681EF7">
            <w:pPr>
              <w:tabs>
                <w:tab w:val="left" w:pos="1701"/>
              </w:tabs>
              <w:rPr>
                <w:snapToGrid w:val="0"/>
              </w:rPr>
            </w:pPr>
          </w:p>
          <w:p w:rsidR="00AD285B" w:rsidRDefault="00AD285B" w:rsidP="00681E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F6EF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AD285B" w:rsidRPr="003476AD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  <w:p w:rsidR="00AD285B" w:rsidRPr="00513C8E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  <w:r w:rsidRPr="00513C8E">
              <w:rPr>
                <w:snapToGrid w:val="0"/>
              </w:rPr>
              <w:t>Kanslichefen informerade om att:</w:t>
            </w:r>
          </w:p>
          <w:p w:rsidR="008F6EF5" w:rsidRPr="00513C8E" w:rsidRDefault="008F6EF5" w:rsidP="008F6EF5">
            <w:pPr>
              <w:tabs>
                <w:tab w:val="left" w:pos="1701"/>
              </w:tabs>
              <w:rPr>
                <w:snapToGrid w:val="0"/>
              </w:rPr>
            </w:pPr>
            <w:r w:rsidRPr="00513C8E">
              <w:rPr>
                <w:b/>
                <w:snapToGrid w:val="0"/>
              </w:rPr>
              <w:t>–</w:t>
            </w:r>
            <w:r w:rsidRPr="00513C8E">
              <w:rPr>
                <w:snapToGrid w:val="0"/>
              </w:rPr>
              <w:t> En uppdaterad preliminär sammanträdes- och aktivitetsplan för våren 2022 finns tillgänglig.</w:t>
            </w:r>
          </w:p>
          <w:p w:rsidR="008F6EF5" w:rsidRDefault="00AD285B" w:rsidP="008F6EF5">
            <w:pPr>
              <w:tabs>
                <w:tab w:val="left" w:pos="1701"/>
              </w:tabs>
              <w:rPr>
                <w:snapToGrid w:val="0"/>
              </w:rPr>
            </w:pPr>
            <w:r w:rsidRPr="00513C8E">
              <w:rPr>
                <w:b/>
                <w:snapToGrid w:val="0"/>
              </w:rPr>
              <w:t>–</w:t>
            </w:r>
            <w:r w:rsidRPr="00513C8E">
              <w:rPr>
                <w:snapToGrid w:val="0"/>
              </w:rPr>
              <w:t> </w:t>
            </w:r>
            <w:r w:rsidR="00513C8E" w:rsidRPr="00513C8E">
              <w:rPr>
                <w:snapToGrid w:val="0"/>
              </w:rPr>
              <w:t>Utrikesutskottet beslutat bjuda in försvarsutskottet till sitt sammanträde torsdagen den 24 februari 2022 för att delta i utrikesutskottets del av riksdagens forskardag</w:t>
            </w:r>
            <w:r w:rsidR="00775D15">
              <w:rPr>
                <w:snapToGrid w:val="0"/>
              </w:rPr>
              <w:t xml:space="preserve">. </w:t>
            </w:r>
            <w:r w:rsidR="00513C8E">
              <w:rPr>
                <w:snapToGrid w:val="0"/>
              </w:rPr>
              <w:t xml:space="preserve">Kansliet </w:t>
            </w:r>
            <w:r w:rsidR="0006316E">
              <w:rPr>
                <w:snapToGrid w:val="0"/>
              </w:rPr>
              <w:t>återkommer för att ta upp anmälningar.</w:t>
            </w:r>
          </w:p>
          <w:p w:rsidR="00AD285B" w:rsidRPr="00543B72" w:rsidRDefault="00AD285B" w:rsidP="008F6EF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6EF5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AD285B" w:rsidRDefault="00AD285B" w:rsidP="00AD285B">
            <w:pPr>
              <w:tabs>
                <w:tab w:val="left" w:pos="1701"/>
              </w:tabs>
              <w:rPr>
                <w:szCs w:val="24"/>
              </w:rPr>
            </w:pPr>
          </w:p>
          <w:p w:rsidR="00AD285B" w:rsidRPr="000A2204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5323FC">
              <w:rPr>
                <w:szCs w:val="24"/>
              </w:rPr>
              <w:t>tis</w:t>
            </w:r>
            <w:r>
              <w:rPr>
                <w:szCs w:val="24"/>
              </w:rPr>
              <w:t xml:space="preserve">dagen den </w:t>
            </w:r>
            <w:r w:rsidR="005323FC">
              <w:rPr>
                <w:szCs w:val="24"/>
              </w:rPr>
              <w:t xml:space="preserve">1 </w:t>
            </w:r>
            <w:r w:rsidR="00DC469E">
              <w:rPr>
                <w:szCs w:val="24"/>
              </w:rPr>
              <w:t>mars</w:t>
            </w:r>
            <w:r>
              <w:rPr>
                <w:szCs w:val="24"/>
              </w:rPr>
              <w:t xml:space="preserve"> 2022.</w:t>
            </w: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</w:pPr>
            <w:r>
              <w:t>Vid protokollet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  <w:r>
              <w:t>Annika Tuvelid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  <w:r>
              <w:t xml:space="preserve">Justeras </w:t>
            </w:r>
            <w:r w:rsidR="005323FC">
              <w:t>tis</w:t>
            </w:r>
            <w:r>
              <w:t xml:space="preserve">dagen den </w:t>
            </w:r>
            <w:r w:rsidR="005323FC">
              <w:t xml:space="preserve">1 mars </w:t>
            </w:r>
            <w:r>
              <w:t>2022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BA70F1">
              <w:t>1</w:t>
            </w:r>
            <w:r w:rsidR="00A01669">
              <w:t>9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8F6EF5">
              <w:rPr>
                <w:sz w:val="22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F3DB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F6EF5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F6E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F6E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F6E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8-10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860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D8609A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316E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0011"/>
    <w:rsid w:val="000F3EEE"/>
    <w:rsid w:val="00104219"/>
    <w:rsid w:val="00104F47"/>
    <w:rsid w:val="00120F02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A18"/>
    <w:rsid w:val="00185D74"/>
    <w:rsid w:val="00186651"/>
    <w:rsid w:val="0019035F"/>
    <w:rsid w:val="00193A27"/>
    <w:rsid w:val="001A287E"/>
    <w:rsid w:val="001A6141"/>
    <w:rsid w:val="001B3100"/>
    <w:rsid w:val="001C03AB"/>
    <w:rsid w:val="001D292D"/>
    <w:rsid w:val="001D3979"/>
    <w:rsid w:val="001D5522"/>
    <w:rsid w:val="001F26C7"/>
    <w:rsid w:val="002059AD"/>
    <w:rsid w:val="00207D45"/>
    <w:rsid w:val="00225ABD"/>
    <w:rsid w:val="00230CED"/>
    <w:rsid w:val="0023127E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4143"/>
    <w:rsid w:val="00280256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0E72"/>
    <w:rsid w:val="00361E18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1A11"/>
    <w:rsid w:val="00453542"/>
    <w:rsid w:val="00454155"/>
    <w:rsid w:val="00457FA6"/>
    <w:rsid w:val="004619DA"/>
    <w:rsid w:val="004674B5"/>
    <w:rsid w:val="00477247"/>
    <w:rsid w:val="004817C8"/>
    <w:rsid w:val="0048300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3C8E"/>
    <w:rsid w:val="00520D71"/>
    <w:rsid w:val="0052733A"/>
    <w:rsid w:val="005323FC"/>
    <w:rsid w:val="005331E3"/>
    <w:rsid w:val="005349AA"/>
    <w:rsid w:val="0053796E"/>
    <w:rsid w:val="00542A7F"/>
    <w:rsid w:val="00543B72"/>
    <w:rsid w:val="00543E53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3722"/>
    <w:rsid w:val="00644300"/>
    <w:rsid w:val="0064776F"/>
    <w:rsid w:val="00650ADB"/>
    <w:rsid w:val="00656ECC"/>
    <w:rsid w:val="00657279"/>
    <w:rsid w:val="0066405B"/>
    <w:rsid w:val="00667E8B"/>
    <w:rsid w:val="00670208"/>
    <w:rsid w:val="00673994"/>
    <w:rsid w:val="0067495F"/>
    <w:rsid w:val="00680665"/>
    <w:rsid w:val="00680863"/>
    <w:rsid w:val="00681EF7"/>
    <w:rsid w:val="006845FF"/>
    <w:rsid w:val="00690989"/>
    <w:rsid w:val="00695F97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6300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5E37"/>
    <w:rsid w:val="00766B40"/>
    <w:rsid w:val="0076736F"/>
    <w:rsid w:val="00775D15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A3BDF"/>
    <w:rsid w:val="008B448D"/>
    <w:rsid w:val="008B48A5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6EF5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1669"/>
    <w:rsid w:val="00A03D80"/>
    <w:rsid w:val="00A2367D"/>
    <w:rsid w:val="00A32DF4"/>
    <w:rsid w:val="00A360D0"/>
    <w:rsid w:val="00A370F4"/>
    <w:rsid w:val="00A379B3"/>
    <w:rsid w:val="00A40E3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2E46"/>
    <w:rsid w:val="00AB3644"/>
    <w:rsid w:val="00AB3B80"/>
    <w:rsid w:val="00AB43BE"/>
    <w:rsid w:val="00AB5776"/>
    <w:rsid w:val="00AB65C5"/>
    <w:rsid w:val="00AC6976"/>
    <w:rsid w:val="00AD285B"/>
    <w:rsid w:val="00AD44A0"/>
    <w:rsid w:val="00AF4D2B"/>
    <w:rsid w:val="00AF54D1"/>
    <w:rsid w:val="00AF62C3"/>
    <w:rsid w:val="00B033E1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A70F1"/>
    <w:rsid w:val="00BB3664"/>
    <w:rsid w:val="00BB4FC6"/>
    <w:rsid w:val="00BF1E92"/>
    <w:rsid w:val="00BF67D4"/>
    <w:rsid w:val="00C04265"/>
    <w:rsid w:val="00C1169B"/>
    <w:rsid w:val="00C16E55"/>
    <w:rsid w:val="00C21DC4"/>
    <w:rsid w:val="00C23D0D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8609A"/>
    <w:rsid w:val="00DA172B"/>
    <w:rsid w:val="00DA2684"/>
    <w:rsid w:val="00DB2564"/>
    <w:rsid w:val="00DB451F"/>
    <w:rsid w:val="00DC1F3F"/>
    <w:rsid w:val="00DC469E"/>
    <w:rsid w:val="00DD4CF7"/>
    <w:rsid w:val="00DE08F2"/>
    <w:rsid w:val="00DE6B07"/>
    <w:rsid w:val="00DF37F2"/>
    <w:rsid w:val="00DF3DB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E1649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9DAD1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1EF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Default">
    <w:name w:val="Default"/>
    <w:rsid w:val="00451A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B9F97-1421-461D-8995-800A6768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806</Words>
  <Characters>5136</Characters>
  <Application>Microsoft Office Word</Application>
  <DocSecurity>0</DocSecurity>
  <Lines>1284</Lines>
  <Paragraphs>371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2022-02-15T14:38:00Z</cp:lastPrinted>
  <dcterms:created xsi:type="dcterms:W3CDTF">2022-02-01T18:52:00Z</dcterms:created>
  <dcterms:modified xsi:type="dcterms:W3CDTF">2022-02-15T14:39:00Z</dcterms:modified>
</cp:coreProperties>
</file>