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F93879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BEB0A72" w:rsidR="0096348C" w:rsidRPr="001A1A1A" w:rsidRDefault="00723D66" w:rsidP="003C7C91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36BE0">
              <w:rPr>
                <w:b/>
                <w:szCs w:val="24"/>
              </w:rPr>
              <w:t>2023/24:2</w:t>
            </w:r>
          </w:p>
        </w:tc>
      </w:tr>
      <w:tr w:rsidR="0096348C" w:rsidRPr="00F93879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BDEA220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9C02E5">
              <w:rPr>
                <w:szCs w:val="24"/>
              </w:rPr>
              <w:t>09-1</w:t>
            </w:r>
            <w:r w:rsidR="00406E92">
              <w:rPr>
                <w:szCs w:val="24"/>
              </w:rPr>
              <w:t>9</w:t>
            </w:r>
          </w:p>
        </w:tc>
      </w:tr>
      <w:tr w:rsidR="0096348C" w:rsidRPr="00F93879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7C534B39" w14:textId="77777777" w:rsidR="00265040" w:rsidRDefault="009C02E5" w:rsidP="00406E9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06E92">
              <w:rPr>
                <w:szCs w:val="24"/>
              </w:rPr>
              <w:t>1.00</w:t>
            </w:r>
            <w:r w:rsidR="00F36BE0">
              <w:rPr>
                <w:szCs w:val="24"/>
              </w:rPr>
              <w:t>-11.4</w:t>
            </w:r>
            <w:r w:rsidR="00973EFC">
              <w:rPr>
                <w:szCs w:val="24"/>
              </w:rPr>
              <w:t>6</w:t>
            </w:r>
          </w:p>
          <w:p w14:paraId="4335E37D" w14:textId="631373EE" w:rsidR="000A5A3F" w:rsidRPr="001A1A1A" w:rsidRDefault="000A5A3F" w:rsidP="00406E92">
            <w:pPr>
              <w:rPr>
                <w:szCs w:val="24"/>
              </w:rPr>
            </w:pPr>
          </w:p>
        </w:tc>
      </w:tr>
      <w:tr w:rsidR="0096348C" w:rsidRPr="00F93879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84CAA06" w14:textId="5FF437EC" w:rsidR="003C7C91" w:rsidRPr="001A1A1A" w:rsidRDefault="0096348C" w:rsidP="00630B4B">
            <w:pPr>
              <w:spacing w:after="120"/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  <w:r w:rsidR="000C4D0C">
              <w:rPr>
                <w:szCs w:val="24"/>
              </w:rPr>
              <w:t xml:space="preserve"> </w:t>
            </w:r>
          </w:p>
        </w:tc>
      </w:tr>
      <w:tr w:rsidR="0026045F" w:rsidRPr="00E2294C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0C0DD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937F0A" w:rsidRPr="000C0DD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4D26641C" w:rsidR="009C02E5" w:rsidRDefault="00406E92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>
              <w:rPr>
                <w:b/>
                <w:szCs w:val="24"/>
              </w:rPr>
              <w:t>Justering av protokoll</w:t>
            </w:r>
          </w:p>
          <w:p w14:paraId="54DB5F1C" w14:textId="7EDCA64F" w:rsidR="0078775D" w:rsidRDefault="0078775D" w:rsidP="009C02E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FF3C12B" w14:textId="2567ADAB" w:rsidR="00F430DB" w:rsidRPr="0078775D" w:rsidRDefault="0078775D" w:rsidP="009C02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775D">
              <w:rPr>
                <w:bCs/>
                <w:szCs w:val="24"/>
              </w:rPr>
              <w:t>Utskottet justerade protokoll 2023/24:1.</w:t>
            </w:r>
          </w:p>
          <w:bookmarkEnd w:id="0"/>
          <w:p w14:paraId="0FA46E36" w14:textId="241AA607" w:rsidR="002451CF" w:rsidRPr="000C0DD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B0FC2" w:rsidRPr="00E2294C" w14:paraId="6021C8A4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705F7415" w:rsidR="007B0FC2" w:rsidRPr="000C0DDC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0C0DDC" w:rsidRPr="000C0DD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207401AC" w14:textId="157E32AC" w:rsidR="00B67529" w:rsidRDefault="00406E92" w:rsidP="003B77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rådsrekommendation om utveckling av ramvillkor för den sociala ekonomin</w:t>
            </w:r>
          </w:p>
          <w:p w14:paraId="256A9F2B" w14:textId="3A08926E" w:rsidR="0078775D" w:rsidRDefault="0078775D" w:rsidP="003B77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75E64CEB" w14:textId="601E9A3E" w:rsidR="0078775D" w:rsidRDefault="0078775D" w:rsidP="003B775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överlade med statssekreterare Martin Andreasson, åtföljd av medarbetare från Arbetsmarknadsdepartementet.</w:t>
            </w:r>
          </w:p>
          <w:p w14:paraId="1110208E" w14:textId="32BDADDF" w:rsidR="0078775D" w:rsidRDefault="0078775D" w:rsidP="003B775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1C40606" w14:textId="5EC3DE41" w:rsidR="0078775D" w:rsidRDefault="0078775D" w:rsidP="003B775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Underlaget utgjordes av kommissionens förslag COM(2023) 316 och Arbetsmarknadsdepartementets överläggningspromemoria (dnr 33</w:t>
            </w:r>
            <w:r w:rsidR="00234D71">
              <w:rPr>
                <w:color w:val="000000"/>
                <w:szCs w:val="24"/>
              </w:rPr>
              <w:t>–</w:t>
            </w:r>
            <w:r>
              <w:rPr>
                <w:color w:val="000000"/>
                <w:szCs w:val="24"/>
              </w:rPr>
              <w:t>2023/24).</w:t>
            </w:r>
          </w:p>
          <w:p w14:paraId="7F3CA9C4" w14:textId="5549B292" w:rsidR="0078775D" w:rsidRDefault="0078775D" w:rsidP="003B775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07547A50" w14:textId="4A605399" w:rsidR="0078775D" w:rsidRDefault="0078775D" w:rsidP="003B775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Statssekreteraren redogjorde för regeringens ståndpunkt i enlighet med överläggningspromemorian:</w:t>
            </w:r>
          </w:p>
          <w:p w14:paraId="6C73E62D" w14:textId="35524522" w:rsidR="0078775D" w:rsidRDefault="0078775D" w:rsidP="003B775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ED6C56B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Regeringen anser att rådsrekommendationen kan vara ett relevant</w:t>
            </w:r>
          </w:p>
          <w:p w14:paraId="2D948D0D" w14:textId="6D357C44" w:rsid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instrument för att medlemsstaterna ska ta ansvar för att skapa gynnsamma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förutsättningar för att organisationer i den sociala ekonomin ska kunna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utvecklas, och för att öka medvetenheten om deras potential.</w:t>
            </w:r>
          </w:p>
          <w:p w14:paraId="37ED40F4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</w:p>
          <w:p w14:paraId="53E7EEE1" w14:textId="6F24B22A" w:rsid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Regeringen välkomnar att förslaget till rådsrekommendation lyfter fram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behovet av att utforma åtgärder som främjar jämställdhet mellan könen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inom den sociala ekonomin, och därmed bidrar till att stärka kvinnors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ställning på arbetsmarknaden.</w:t>
            </w:r>
          </w:p>
          <w:p w14:paraId="6DD3E280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</w:p>
          <w:p w14:paraId="10E81B83" w14:textId="057BA756" w:rsid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Det är viktigt att rådsrekommendationen inte är för detaljerad i krav på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utförande eller krav på långtgående återrapportering.</w:t>
            </w:r>
          </w:p>
          <w:p w14:paraId="73CF3FD8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</w:p>
          <w:p w14:paraId="33742A83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En viktig utgångspunkt för regeringen är att rådsrekommendationen</w:t>
            </w:r>
          </w:p>
          <w:p w14:paraId="0A8FA6BB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respekterar medlemsstaternas kompetens, bland annat avseende</w:t>
            </w:r>
          </w:p>
          <w:p w14:paraId="43FBFDD2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arbetsmarknads-, utbildnings-, social-, hälso- och sjukvårds- och</w:t>
            </w:r>
          </w:p>
          <w:p w14:paraId="3545295F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skattepolitiken. Den svenska arbetsmarknadsmodellen och</w:t>
            </w:r>
          </w:p>
          <w:p w14:paraId="43592D21" w14:textId="37AE5172" w:rsidR="003B7755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arbetsmarknadens parters autonomi ska värnas.</w:t>
            </w:r>
          </w:p>
          <w:p w14:paraId="357751EA" w14:textId="3D8E4D22" w:rsidR="0078775D" w:rsidRDefault="0078775D" w:rsidP="0078775D">
            <w:pPr>
              <w:ind w:left="422"/>
              <w:rPr>
                <w:sz w:val="22"/>
                <w:szCs w:val="18"/>
              </w:rPr>
            </w:pPr>
          </w:p>
          <w:p w14:paraId="22F9B07C" w14:textId="77777777" w:rsidR="00265040" w:rsidRDefault="0078775D" w:rsidP="00630B4B">
            <w:r>
              <w:t>Ordföranden konstaterade att det fanns stöd för regeringens ståndpunkt.</w:t>
            </w:r>
          </w:p>
          <w:p w14:paraId="60C4273A" w14:textId="76512B5E" w:rsidR="00630B4B" w:rsidRPr="000C0DDC" w:rsidRDefault="00630B4B" w:rsidP="00630B4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0C4D0C" w:rsidRPr="00E2294C" w14:paraId="54B2C55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CE638D6" w14:textId="1CC35610" w:rsidR="000C4D0C" w:rsidRPr="000C0DDC" w:rsidRDefault="000C4D0C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0C0DDC" w:rsidRPr="000C0DD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734" w:type="dxa"/>
            <w:gridSpan w:val="2"/>
          </w:tcPr>
          <w:p w14:paraId="4A63FB1C" w14:textId="09C608F6" w:rsidR="00265040" w:rsidRDefault="00406E92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Utkast till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rådsslutsatser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om psykisk hälsa och osäkra anställningar</w:t>
            </w:r>
          </w:p>
          <w:p w14:paraId="7531DB21" w14:textId="403B611A" w:rsidR="00265040" w:rsidRDefault="00265040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22D7DE6" w14:textId="77777777" w:rsidR="0078775D" w:rsidRDefault="0078775D" w:rsidP="0078775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överlade med statssekreterare Martin Andreasson, åtföljd av medarbetare från Arbetsmarknadsdepartementet.</w:t>
            </w:r>
          </w:p>
          <w:p w14:paraId="7643A569" w14:textId="77777777" w:rsidR="0078775D" w:rsidRDefault="0078775D" w:rsidP="0078775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C2DAA94" w14:textId="79EB7B81" w:rsidR="0078775D" w:rsidRDefault="0078775D" w:rsidP="0078775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Underlaget utgjordes av Arbetsmarknadsdepartementets överläggningspromemoria (dnr </w:t>
            </w:r>
            <w:r w:rsidR="00234D71">
              <w:rPr>
                <w:color w:val="000000"/>
                <w:szCs w:val="24"/>
              </w:rPr>
              <w:t>32–2023</w:t>
            </w:r>
            <w:r>
              <w:rPr>
                <w:color w:val="000000"/>
                <w:szCs w:val="24"/>
              </w:rPr>
              <w:t>/24).</w:t>
            </w:r>
          </w:p>
          <w:p w14:paraId="1EF5A5F1" w14:textId="77777777" w:rsidR="0078775D" w:rsidRDefault="0078775D" w:rsidP="0078775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0EBCE8A" w14:textId="77777777" w:rsidR="0078775D" w:rsidRDefault="0078775D" w:rsidP="0078775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Statssekreteraren redogjorde för regeringens ståndpunkt i enlighet med överläggningspromemorian:</w:t>
            </w:r>
          </w:p>
          <w:p w14:paraId="410905BA" w14:textId="4E449BCB" w:rsidR="0078775D" w:rsidRDefault="0078775D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052A80A" w14:textId="2FDFF62E" w:rsid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 xml:space="preserve">Regeringen stödjer framtagandet av </w:t>
            </w:r>
            <w:proofErr w:type="spellStart"/>
            <w:r w:rsidRPr="0078775D">
              <w:rPr>
                <w:sz w:val="22"/>
                <w:szCs w:val="18"/>
              </w:rPr>
              <w:t>rådsslutsatserna</w:t>
            </w:r>
            <w:proofErr w:type="spellEnd"/>
            <w:r w:rsidRPr="0078775D">
              <w:rPr>
                <w:sz w:val="22"/>
                <w:szCs w:val="18"/>
              </w:rPr>
              <w:t xml:space="preserve"> om psykisk hälsa och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osäkra anställningar. Regeringen välkomnar att ordförandendeskapet tar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arbetet med psykisk hälsa i arbetslivet vidare.</w:t>
            </w:r>
          </w:p>
          <w:p w14:paraId="3DF3FCC8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</w:p>
          <w:p w14:paraId="0E0573E8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Regeringen håller med om att psykisk hälsa och arbete är nära</w:t>
            </w:r>
          </w:p>
          <w:p w14:paraId="5F1F9D42" w14:textId="3B962178" w:rsid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sammanlänkade. Stress och psykosociala risker på arbetet kan påverka en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persons psykiska hälsa negativt. Samtidigt är det viktigt att förslaget till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rådslutsatser lyfter fram vikten av att ha ett arbete och en inkomst för en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persons psykiska hälsa.</w:t>
            </w:r>
          </w:p>
          <w:p w14:paraId="098EDF53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</w:p>
          <w:p w14:paraId="5AE0D14E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Regeringen välkomnar den breda och flexibla ansats som utkastet till</w:t>
            </w:r>
          </w:p>
          <w:p w14:paraId="2FE34225" w14:textId="74453DBF" w:rsid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slutsatser har för att stärka arbetet mot psykisk ohälsa kopplat till osäkra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anställningar med förslag om erfarenhetsutbyte och utbyte av goda exempel,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eftersom detta är frågor som rör många aktörer.</w:t>
            </w:r>
          </w:p>
          <w:p w14:paraId="1F5EBF86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</w:p>
          <w:p w14:paraId="39198932" w14:textId="791A2D21" w:rsidR="0078775D" w:rsidRDefault="0078775D" w:rsidP="0078775D">
            <w:pPr>
              <w:ind w:left="422"/>
              <w:rPr>
                <w:sz w:val="22"/>
                <w:szCs w:val="18"/>
              </w:rPr>
            </w:pPr>
            <w:r w:rsidRPr="0078775D">
              <w:rPr>
                <w:sz w:val="22"/>
                <w:szCs w:val="18"/>
              </w:rPr>
              <w:t>Fördelningen av befogenheter mellan EU och medlemsstaterna rörande den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ekonomiska politiken, sysselsättningspolitiken och sociala frågor måste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respekteras. Medlemsstaternas arbetsmarknadsmodeller och</w:t>
            </w:r>
            <w:r>
              <w:rPr>
                <w:sz w:val="22"/>
                <w:szCs w:val="18"/>
              </w:rPr>
              <w:t xml:space="preserve"> </w:t>
            </w:r>
            <w:r w:rsidRPr="0078775D">
              <w:rPr>
                <w:sz w:val="22"/>
                <w:szCs w:val="18"/>
              </w:rPr>
              <w:t>arbetsmarknadens parters autonomi ska respekteras.</w:t>
            </w:r>
          </w:p>
          <w:p w14:paraId="7C4245CB" w14:textId="77777777" w:rsidR="0078775D" w:rsidRPr="0078775D" w:rsidRDefault="0078775D" w:rsidP="0078775D">
            <w:pPr>
              <w:ind w:left="422"/>
              <w:rPr>
                <w:sz w:val="22"/>
                <w:szCs w:val="18"/>
              </w:rPr>
            </w:pPr>
          </w:p>
          <w:p w14:paraId="520F7218" w14:textId="58CA230C" w:rsidR="0078775D" w:rsidRDefault="0078775D" w:rsidP="00630B4B">
            <w:pPr>
              <w:rPr>
                <w:b/>
                <w:bCs/>
                <w:color w:val="000000"/>
                <w:szCs w:val="24"/>
              </w:rPr>
            </w:pPr>
            <w:r>
              <w:t>Ordföranden konstaterade att det fanns stöd för regeringens ståndpunkt.</w:t>
            </w:r>
          </w:p>
          <w:p w14:paraId="071F3EA4" w14:textId="14B0858A" w:rsidR="00265040" w:rsidRPr="000C0DDC" w:rsidRDefault="00265040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65040" w:rsidRPr="00E2294C" w14:paraId="1675C722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00169D7" w14:textId="45B02219" w:rsidR="00265040" w:rsidRPr="00DF7AFA" w:rsidRDefault="00265040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45583341"/>
            <w:r>
              <w:rPr>
                <w:b/>
                <w:snapToGrid w:val="0"/>
                <w:szCs w:val="24"/>
              </w:rPr>
              <w:lastRenderedPageBreak/>
              <w:t>§ 4</w:t>
            </w:r>
          </w:p>
        </w:tc>
        <w:tc>
          <w:tcPr>
            <w:tcW w:w="6734" w:type="dxa"/>
            <w:gridSpan w:val="2"/>
          </w:tcPr>
          <w:p w14:paraId="34C410B9" w14:textId="71CD7E2F" w:rsidR="00265040" w:rsidRDefault="00406E9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14:paraId="736ED1E0" w14:textId="77777777" w:rsidR="00630B4B" w:rsidRDefault="00630B4B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D4E5987" w14:textId="77777777" w:rsidR="00630B4B" w:rsidRDefault="00630B4B" w:rsidP="00630B4B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Statssekreterare Martin Andreasson, åtföljd av medarbetare från Arbetsmarknadsdepartementet, informerade om:</w:t>
            </w:r>
          </w:p>
          <w:p w14:paraId="1CA671CD" w14:textId="10A07784" w:rsidR="00265040" w:rsidRDefault="00265040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9ADACFC" w14:textId="00438D1F" w:rsidR="00630B4B" w:rsidRPr="00B52731" w:rsidRDefault="00630B4B" w:rsidP="00630B4B">
            <w:pPr>
              <w:pStyle w:val="Liststycke"/>
              <w:numPr>
                <w:ilvl w:val="0"/>
                <w:numId w:val="2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sz w:val="24"/>
                <w:szCs w:val="24"/>
              </w:rPr>
            </w:pPr>
            <w:r w:rsidRPr="00B52731">
              <w:rPr>
                <w:sz w:val="24"/>
                <w:szCs w:val="24"/>
              </w:rPr>
              <w:t>Sveriges ordförandeskap i EU 2023</w:t>
            </w:r>
          </w:p>
          <w:p w14:paraId="36D20767" w14:textId="69B3FF98" w:rsidR="00630B4B" w:rsidRPr="00630B4B" w:rsidRDefault="00B11853" w:rsidP="00630B4B">
            <w:pPr>
              <w:pStyle w:val="Liststycke"/>
              <w:numPr>
                <w:ilvl w:val="0"/>
                <w:numId w:val="2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30B4B" w:rsidRPr="00630B4B">
              <w:rPr>
                <w:sz w:val="24"/>
                <w:szCs w:val="24"/>
              </w:rPr>
              <w:t>agordning</w:t>
            </w:r>
            <w:r w:rsidR="009020DD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inför </w:t>
            </w:r>
            <w:proofErr w:type="spellStart"/>
            <w:r>
              <w:rPr>
                <w:sz w:val="24"/>
                <w:szCs w:val="24"/>
              </w:rPr>
              <w:t>Epsco</w:t>
            </w:r>
            <w:proofErr w:type="spellEnd"/>
            <w:r w:rsidR="009020DD">
              <w:rPr>
                <w:sz w:val="24"/>
                <w:szCs w:val="24"/>
              </w:rPr>
              <w:t>-mötet</w:t>
            </w:r>
            <w:r>
              <w:rPr>
                <w:sz w:val="24"/>
                <w:szCs w:val="24"/>
              </w:rPr>
              <w:t xml:space="preserve"> </w:t>
            </w:r>
            <w:r w:rsidR="00630B4B" w:rsidRPr="00630B4B">
              <w:rPr>
                <w:sz w:val="24"/>
                <w:szCs w:val="24"/>
              </w:rPr>
              <w:t>den 9 oktober 2023</w:t>
            </w:r>
          </w:p>
          <w:p w14:paraId="3272DBAD" w14:textId="68C98814" w:rsidR="00630B4B" w:rsidRPr="001850E1" w:rsidRDefault="00B11853" w:rsidP="00630B4B">
            <w:pPr>
              <w:pStyle w:val="Liststycke"/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textAlignment w:val="center"/>
              <w:rPr>
                <w:rStyle w:val="Hyperlnk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30B4B" w:rsidRPr="00630B4B">
              <w:rPr>
                <w:sz w:val="24"/>
                <w:szCs w:val="24"/>
              </w:rPr>
              <w:t>rel. dagordning</w:t>
            </w:r>
            <w:r w:rsidR="009020DD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inför </w:t>
            </w:r>
            <w:proofErr w:type="spellStart"/>
            <w:r>
              <w:rPr>
                <w:sz w:val="24"/>
                <w:szCs w:val="24"/>
              </w:rPr>
              <w:t>Epsco</w:t>
            </w:r>
            <w:proofErr w:type="spellEnd"/>
            <w:r w:rsidR="009020DD">
              <w:rPr>
                <w:sz w:val="24"/>
                <w:szCs w:val="24"/>
              </w:rPr>
              <w:t>-mötet</w:t>
            </w:r>
            <w:r w:rsidR="00630B4B">
              <w:rPr>
                <w:sz w:val="24"/>
                <w:szCs w:val="24"/>
              </w:rPr>
              <w:t xml:space="preserve"> den</w:t>
            </w:r>
            <w:r w:rsidR="00630B4B" w:rsidRPr="00630B4B">
              <w:rPr>
                <w:sz w:val="24"/>
                <w:szCs w:val="24"/>
              </w:rPr>
              <w:t xml:space="preserve"> 27–28 november 2023</w:t>
            </w:r>
            <w:r w:rsidR="00630B4B" w:rsidRPr="001850E1">
              <w:rPr>
                <w:rStyle w:val="Hyperlnk"/>
                <w:sz w:val="24"/>
                <w:szCs w:val="24"/>
              </w:rPr>
              <w:t xml:space="preserve"> </w:t>
            </w:r>
          </w:p>
          <w:p w14:paraId="7B624CD8" w14:textId="77777777" w:rsidR="00630B4B" w:rsidRPr="001850E1" w:rsidRDefault="00630B4B" w:rsidP="00630B4B">
            <w:pPr>
              <w:pStyle w:val="Liststycke"/>
              <w:numPr>
                <w:ilvl w:val="0"/>
                <w:numId w:val="1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textAlignment w:val="center"/>
              <w:rPr>
                <w:sz w:val="24"/>
                <w:szCs w:val="24"/>
              </w:rPr>
            </w:pPr>
            <w:r w:rsidRPr="001850E1">
              <w:rPr>
                <w:sz w:val="24"/>
                <w:szCs w:val="24"/>
              </w:rPr>
              <w:t xml:space="preserve">Direktivförslaget om bättre villkor för plattformsarbete </w:t>
            </w:r>
          </w:p>
          <w:p w14:paraId="052AE1E0" w14:textId="77777777" w:rsidR="00630B4B" w:rsidRPr="00B52731" w:rsidRDefault="00630B4B" w:rsidP="00630B4B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textAlignment w:val="center"/>
              <w:rPr>
                <w:bCs/>
                <w:sz w:val="24"/>
                <w:szCs w:val="24"/>
                <w:u w:val="single"/>
              </w:rPr>
            </w:pPr>
            <w:r w:rsidRPr="00B52731">
              <w:rPr>
                <w:sz w:val="24"/>
                <w:szCs w:val="24"/>
              </w:rPr>
              <w:t>Direktivförslagen om standarder för likabehandlingsorgan</w:t>
            </w:r>
          </w:p>
          <w:p w14:paraId="5927F4F6" w14:textId="66EABA5B" w:rsidR="00630B4B" w:rsidRPr="00B52731" w:rsidRDefault="00630B4B" w:rsidP="00630B4B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textAlignment w:val="center"/>
              <w:rPr>
                <w:bCs/>
                <w:sz w:val="24"/>
                <w:szCs w:val="24"/>
                <w:u w:val="single"/>
              </w:rPr>
            </w:pPr>
            <w:r w:rsidRPr="00B52731">
              <w:rPr>
                <w:sz w:val="24"/>
                <w:szCs w:val="24"/>
              </w:rPr>
              <w:t xml:space="preserve">Direktivförslaget om likabehandling </w:t>
            </w:r>
            <w:r>
              <w:rPr>
                <w:sz w:val="24"/>
                <w:szCs w:val="24"/>
              </w:rPr>
              <w:t>(</w:t>
            </w:r>
            <w:r w:rsidRPr="00B52731">
              <w:rPr>
                <w:sz w:val="24"/>
                <w:szCs w:val="24"/>
              </w:rPr>
              <w:t>antidiskriminreringsdirektivet)</w:t>
            </w:r>
          </w:p>
          <w:p w14:paraId="6CED701C" w14:textId="77777777" w:rsidR="00630B4B" w:rsidRPr="00B52731" w:rsidRDefault="00630B4B" w:rsidP="00630B4B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textAlignment w:val="center"/>
              <w:rPr>
                <w:bCs/>
                <w:sz w:val="24"/>
                <w:szCs w:val="24"/>
                <w:u w:val="single"/>
              </w:rPr>
            </w:pPr>
            <w:r w:rsidRPr="00B52731">
              <w:rPr>
                <w:sz w:val="24"/>
                <w:szCs w:val="24"/>
              </w:rPr>
              <w:t>Ändring av förordningarna om samordning av de sociala trygghetssystemen (när det gäller arbetslöshetsförmåner)</w:t>
            </w:r>
          </w:p>
          <w:p w14:paraId="1C16BAB7" w14:textId="77777777" w:rsidR="00630B4B" w:rsidRPr="00630B4B" w:rsidRDefault="00630B4B" w:rsidP="00630B4B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textAlignment w:val="center"/>
              <w:rPr>
                <w:bCs/>
                <w:sz w:val="24"/>
                <w:szCs w:val="24"/>
                <w:u w:val="single"/>
              </w:rPr>
            </w:pPr>
            <w:r w:rsidRPr="00630B4B">
              <w:rPr>
                <w:bCs/>
                <w:sz w:val="24"/>
                <w:szCs w:val="24"/>
              </w:rPr>
              <w:t>Ogiltighetstalan mot direktivet om tillräckliga minimilöner i EU</w:t>
            </w:r>
          </w:p>
          <w:p w14:paraId="5CCFB20E" w14:textId="4C7A7C62" w:rsidR="00630B4B" w:rsidRPr="00630B4B" w:rsidRDefault="00630B4B" w:rsidP="00630B4B">
            <w:pPr>
              <w:pStyle w:val="Liststycke"/>
              <w:numPr>
                <w:ilvl w:val="0"/>
                <w:numId w:val="3"/>
              </w:numPr>
              <w:tabs>
                <w:tab w:val="clear" w:pos="284"/>
              </w:tabs>
              <w:spacing w:after="0" w:line="240" w:lineRule="auto"/>
              <w:ind w:left="422"/>
              <w:contextualSpacing w:val="0"/>
              <w:textAlignment w:val="center"/>
              <w:rPr>
                <w:bCs/>
                <w:sz w:val="24"/>
                <w:szCs w:val="24"/>
                <w:u w:val="single"/>
              </w:rPr>
            </w:pPr>
            <w:r w:rsidRPr="00630B4B">
              <w:rPr>
                <w:bCs/>
                <w:sz w:val="24"/>
                <w:szCs w:val="24"/>
              </w:rPr>
              <w:t>Förslag</w:t>
            </w:r>
            <w:r w:rsidR="00695931">
              <w:rPr>
                <w:bCs/>
                <w:sz w:val="24"/>
                <w:szCs w:val="24"/>
              </w:rPr>
              <w:t>et</w:t>
            </w:r>
            <w:r w:rsidRPr="00630B4B">
              <w:rPr>
                <w:bCs/>
                <w:sz w:val="24"/>
                <w:szCs w:val="24"/>
              </w:rPr>
              <w:t xml:space="preserve"> till rådets beslut om bemyndigande för medlemsstaterna att ratificera ILO:s konvention 190 om våld och trakasserier i arbetslivet</w:t>
            </w:r>
          </w:p>
          <w:p w14:paraId="2146068B" w14:textId="0B6EB777" w:rsidR="00265040" w:rsidRPr="00265040" w:rsidRDefault="00265040" w:rsidP="00915A1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406E92" w:rsidRPr="00E2294C" w14:paraId="0F43D865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582035" w14:textId="3538CE7D" w:rsidR="00406E92" w:rsidRPr="00DF7AFA" w:rsidRDefault="00406E9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734" w:type="dxa"/>
            <w:gridSpan w:val="2"/>
          </w:tcPr>
          <w:p w14:paraId="53760F4F" w14:textId="77777777" w:rsidR="00406E92" w:rsidRDefault="00406E9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113C641" w14:textId="77777777" w:rsidR="00406E92" w:rsidRDefault="00406E9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CC7049A" w14:textId="53502799" w:rsidR="00695931" w:rsidRDefault="0078775D" w:rsidP="00915A1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8775D">
              <w:rPr>
                <w:color w:val="000000"/>
                <w:szCs w:val="24"/>
              </w:rPr>
              <w:t>Kanslichefen anmälde sammanträdesplanen.</w:t>
            </w:r>
          </w:p>
          <w:p w14:paraId="705C9984" w14:textId="77777777" w:rsidR="00695931" w:rsidRDefault="00695931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3D86267" w14:textId="24F5EA17" w:rsidR="0078775D" w:rsidRPr="00DF7AFA" w:rsidRDefault="0078775D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7B0FC2" w:rsidRPr="00E2294C" w14:paraId="08092048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DD4EEA" w14:textId="01C716BC" w:rsidR="007B0FC2" w:rsidRPr="00DF7AFA" w:rsidRDefault="000C4D0C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06E9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734" w:type="dxa"/>
            <w:gridSpan w:val="2"/>
          </w:tcPr>
          <w:p w14:paraId="1BA27082" w14:textId="16DCA1A8" w:rsidR="007B0FC2" w:rsidRPr="00DF7AFA" w:rsidRDefault="007B0FC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F7AFA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93264DA" w14:textId="77777777" w:rsidR="00915A11" w:rsidRPr="00DF7AFA" w:rsidRDefault="00915A11" w:rsidP="007B0F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0A65A5B" w14:textId="5FDB9607" w:rsidR="007B0FC2" w:rsidRPr="00DF7AFA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F430DB">
              <w:rPr>
                <w:szCs w:val="24"/>
              </w:rPr>
              <w:t>Utskottet beslutade att nästa sammanträde ska äga rum</w:t>
            </w:r>
            <w:r w:rsidR="00B67529">
              <w:rPr>
                <w:szCs w:val="24"/>
              </w:rPr>
              <w:t xml:space="preserve"> </w:t>
            </w:r>
            <w:r w:rsidR="00F430DB">
              <w:rPr>
                <w:szCs w:val="24"/>
              </w:rPr>
              <w:t>t</w:t>
            </w:r>
            <w:r w:rsidR="00406E92">
              <w:rPr>
                <w:szCs w:val="24"/>
              </w:rPr>
              <w:t>ors</w:t>
            </w:r>
            <w:r w:rsidRPr="00DF7AFA">
              <w:rPr>
                <w:szCs w:val="24"/>
              </w:rPr>
              <w:t xml:space="preserve">dagen den </w:t>
            </w:r>
            <w:r w:rsidR="00406E92">
              <w:rPr>
                <w:szCs w:val="24"/>
              </w:rPr>
              <w:t>28 s</w:t>
            </w:r>
            <w:r w:rsidR="009C02E5">
              <w:rPr>
                <w:szCs w:val="24"/>
              </w:rPr>
              <w:t>eptember</w:t>
            </w:r>
            <w:r w:rsidRPr="00DF7AFA">
              <w:rPr>
                <w:szCs w:val="24"/>
              </w:rPr>
              <w:t xml:space="preserve"> 2023 kl. </w:t>
            </w:r>
            <w:r w:rsidR="001A32B6" w:rsidRPr="00DF7AFA">
              <w:rPr>
                <w:szCs w:val="24"/>
              </w:rPr>
              <w:t>1</w:t>
            </w:r>
            <w:r w:rsidR="00406E92">
              <w:rPr>
                <w:szCs w:val="24"/>
              </w:rPr>
              <w:t>0</w:t>
            </w:r>
            <w:r w:rsidRPr="00DF7AFA">
              <w:rPr>
                <w:szCs w:val="24"/>
              </w:rPr>
              <w:t>.00.</w:t>
            </w:r>
          </w:p>
          <w:p w14:paraId="2A2928A6" w14:textId="77777777" w:rsidR="007B0FC2" w:rsidRPr="00DF7AFA" w:rsidRDefault="007B0FC2" w:rsidP="007B0FC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2294C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AD8BFD5" w14:textId="77777777" w:rsidR="00AC7307" w:rsidRPr="00DF7AFA" w:rsidRDefault="00AC7307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7DDAD5DD" w:rsidR="007B0FC2" w:rsidRPr="00DF7AFA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DF7AFA">
              <w:rPr>
                <w:szCs w:val="24"/>
              </w:rPr>
              <w:t>Vid protokollet</w:t>
            </w:r>
          </w:p>
          <w:p w14:paraId="36DB0B95" w14:textId="59EC9978" w:rsidR="007B0FC2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64C86BA1" w14:textId="77777777" w:rsidR="00265040" w:rsidRPr="00DF7AFA" w:rsidRDefault="00265040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F8E7B7B" w14:textId="77777777" w:rsidR="003A488A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28240DC7" w14:textId="26A6081E" w:rsidR="003A488A" w:rsidRDefault="003A488A" w:rsidP="003A488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Justeras </w:t>
            </w:r>
            <w:r w:rsidR="00406E92">
              <w:rPr>
                <w:szCs w:val="24"/>
              </w:rPr>
              <w:t>28</w:t>
            </w:r>
            <w:r w:rsidR="009C02E5">
              <w:rPr>
                <w:szCs w:val="24"/>
              </w:rPr>
              <w:t xml:space="preserve"> september</w:t>
            </w:r>
            <w:r>
              <w:rPr>
                <w:szCs w:val="24"/>
              </w:rPr>
              <w:t xml:space="preserve"> 2023</w:t>
            </w:r>
          </w:p>
          <w:p w14:paraId="0A315AF2" w14:textId="77D5F3EC" w:rsidR="003A488A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65FBAF46" w14:textId="77777777" w:rsidR="00265040" w:rsidRDefault="00265040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117FB19" w14:textId="77777777" w:rsidR="000C4D0C" w:rsidRPr="00DF7AFA" w:rsidRDefault="000C4D0C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4979F12" w:rsidR="007B0FC2" w:rsidRPr="00DF7AFA" w:rsidRDefault="007B0FC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A9AC98F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</w:t>
            </w:r>
            <w:r w:rsidR="00C73CF7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3F9A9EB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8F60E6" w:rsidRPr="00F93879">
              <w:rPr>
                <w:sz w:val="22"/>
                <w:szCs w:val="22"/>
              </w:rPr>
              <w:t>1</w:t>
            </w:r>
            <w:r w:rsidR="008F60E6">
              <w:rPr>
                <w:sz w:val="22"/>
                <w:szCs w:val="22"/>
              </w:rPr>
              <w:t>–</w:t>
            </w:r>
            <w:r w:rsidR="00630B4B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E7C246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42B0230B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65040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BF8698D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B8E593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AF18FF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EB06C6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EFD53C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F026BBA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362A1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65040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782C862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AEB8DF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F4E5D6C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9B337C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538C2A7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C62E1F6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377B09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84CC03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883593B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F97DD4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CE2B07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203157C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B703D8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AB08B0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406E92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B5C02DA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BF4B1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96DAE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3E61FA4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5490B2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62C56B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E58A422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E3CD63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C57EFA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99D5FC1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EF2E50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56F39D1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74930D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54E78F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</w:t>
            </w:r>
            <w:proofErr w:type="spellStart"/>
            <w:r>
              <w:rPr>
                <w:sz w:val="22"/>
                <w:szCs w:val="22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709E471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DE4304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0080663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18D6A8A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61DE5A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A37299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Mårtensen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93CFF68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3FFC57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FB4BD7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075BC8E1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646DD2A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444AD10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918E5AD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279F6EE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7454A7B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6F625F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A6F255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F92783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Amloh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B2FE7E1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4F8004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0D7C14FB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491653">
              <w:rPr>
                <w:sz w:val="22"/>
                <w:szCs w:val="22"/>
              </w:rPr>
              <w:t>ara</w:t>
            </w:r>
            <w:r>
              <w:rPr>
                <w:sz w:val="22"/>
                <w:szCs w:val="22"/>
              </w:rPr>
              <w:t xml:space="preserve">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10A1AF2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19384E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1219D1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6B8264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4763AB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265040" w:rsidRDefault="00265040" w:rsidP="00265040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65040" w:rsidRDefault="00265040" w:rsidP="00265040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65040" w:rsidRPr="0080525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265040" w:rsidRPr="006279F9" w:rsidRDefault="00265040" w:rsidP="00265040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25C87741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7CBA5A6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4BDC52F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6BB735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265040" w:rsidRPr="006279F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1693D288" w:rsidR="00265040" w:rsidRPr="00F93879" w:rsidRDefault="00630B4B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142A5A9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265040" w:rsidRPr="00F93879" w:rsidRDefault="00265040" w:rsidP="0026504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265040" w:rsidRPr="00F93879" w:rsidRDefault="00265040" w:rsidP="0026504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65040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A5A3F"/>
    <w:rsid w:val="000C0DDC"/>
    <w:rsid w:val="000C32B7"/>
    <w:rsid w:val="000C350A"/>
    <w:rsid w:val="000C4D0C"/>
    <w:rsid w:val="000D6B54"/>
    <w:rsid w:val="000E5272"/>
    <w:rsid w:val="000E5BA0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32B6"/>
    <w:rsid w:val="001A555A"/>
    <w:rsid w:val="001A623C"/>
    <w:rsid w:val="001B1558"/>
    <w:rsid w:val="001B1A3F"/>
    <w:rsid w:val="001B421E"/>
    <w:rsid w:val="001C171E"/>
    <w:rsid w:val="001D0510"/>
    <w:rsid w:val="001E3709"/>
    <w:rsid w:val="001E6DE9"/>
    <w:rsid w:val="001E7F77"/>
    <w:rsid w:val="001F0534"/>
    <w:rsid w:val="001F1BF9"/>
    <w:rsid w:val="001F3F40"/>
    <w:rsid w:val="001F6890"/>
    <w:rsid w:val="00204B42"/>
    <w:rsid w:val="00216AF9"/>
    <w:rsid w:val="002174A8"/>
    <w:rsid w:val="002176B0"/>
    <w:rsid w:val="00221F23"/>
    <w:rsid w:val="002272D5"/>
    <w:rsid w:val="00231236"/>
    <w:rsid w:val="002340E9"/>
    <w:rsid w:val="0023457E"/>
    <w:rsid w:val="00234D71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052A5"/>
    <w:rsid w:val="00310EFE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7795"/>
    <w:rsid w:val="00406E92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1653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30B4B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95931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44183"/>
    <w:rsid w:val="00750FF0"/>
    <w:rsid w:val="007531F4"/>
    <w:rsid w:val="00757AA7"/>
    <w:rsid w:val="00760C7B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8775D"/>
    <w:rsid w:val="00791E1F"/>
    <w:rsid w:val="007963FB"/>
    <w:rsid w:val="00797ACA"/>
    <w:rsid w:val="007B0FC2"/>
    <w:rsid w:val="007C6D4E"/>
    <w:rsid w:val="007D6481"/>
    <w:rsid w:val="007E6ECA"/>
    <w:rsid w:val="00802D72"/>
    <w:rsid w:val="00803D0A"/>
    <w:rsid w:val="00805216"/>
    <w:rsid w:val="00805250"/>
    <w:rsid w:val="00812F4A"/>
    <w:rsid w:val="00813EED"/>
    <w:rsid w:val="00814276"/>
    <w:rsid w:val="00834B38"/>
    <w:rsid w:val="00836EFF"/>
    <w:rsid w:val="00837EBD"/>
    <w:rsid w:val="00843D52"/>
    <w:rsid w:val="00846AE0"/>
    <w:rsid w:val="008506F2"/>
    <w:rsid w:val="008557FA"/>
    <w:rsid w:val="0086301F"/>
    <w:rsid w:val="00863E0B"/>
    <w:rsid w:val="00864D12"/>
    <w:rsid w:val="008754E3"/>
    <w:rsid w:val="00875608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0DD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3EFC"/>
    <w:rsid w:val="00975000"/>
    <w:rsid w:val="009922A8"/>
    <w:rsid w:val="0099437E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5470"/>
    <w:rsid w:val="00AC6651"/>
    <w:rsid w:val="00AC7307"/>
    <w:rsid w:val="00AD61B9"/>
    <w:rsid w:val="00AE0DC0"/>
    <w:rsid w:val="00AF1982"/>
    <w:rsid w:val="00AF7EB7"/>
    <w:rsid w:val="00B11853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CF7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DF7AFA"/>
    <w:rsid w:val="00E033C8"/>
    <w:rsid w:val="00E1262D"/>
    <w:rsid w:val="00E14F2A"/>
    <w:rsid w:val="00E2294C"/>
    <w:rsid w:val="00E32411"/>
    <w:rsid w:val="00E52A7A"/>
    <w:rsid w:val="00E54AA9"/>
    <w:rsid w:val="00E61737"/>
    <w:rsid w:val="00E638EC"/>
    <w:rsid w:val="00E67EBA"/>
    <w:rsid w:val="00E7380A"/>
    <w:rsid w:val="00E82529"/>
    <w:rsid w:val="00E84727"/>
    <w:rsid w:val="00E9153A"/>
    <w:rsid w:val="00E916EA"/>
    <w:rsid w:val="00E91CBD"/>
    <w:rsid w:val="00E93A0B"/>
    <w:rsid w:val="00EA0A0D"/>
    <w:rsid w:val="00EA0CF8"/>
    <w:rsid w:val="00EA17D4"/>
    <w:rsid w:val="00EB06C6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6BE0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722</Words>
  <Characters>5397</Characters>
  <Application>Microsoft Office Word</Application>
  <DocSecurity>0</DocSecurity>
  <Lines>1079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17</cp:revision>
  <cp:lastPrinted>2023-09-25T12:08:00Z</cp:lastPrinted>
  <dcterms:created xsi:type="dcterms:W3CDTF">2023-09-19T08:27:00Z</dcterms:created>
  <dcterms:modified xsi:type="dcterms:W3CDTF">2023-09-28T11:49:00Z</dcterms:modified>
</cp:coreProperties>
</file>