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89449A"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9449A">
        <w:tc>
          <w:tcPr>
            <w:tcW w:w="9141" w:type="dxa"/>
          </w:tcPr>
          <w:p w:rsidR="00177FF8" w:rsidRPr="0089449A" w:rsidRDefault="00177FF8">
            <w:pPr>
              <w:rPr>
                <w:sz w:val="22"/>
                <w:szCs w:val="22"/>
              </w:rPr>
            </w:pPr>
            <w:r w:rsidRPr="0089449A">
              <w:rPr>
                <w:sz w:val="22"/>
                <w:szCs w:val="22"/>
              </w:rPr>
              <w:t>RIKSDAGEN</w:t>
            </w:r>
          </w:p>
          <w:p w:rsidR="00177FF8" w:rsidRPr="0089449A" w:rsidRDefault="00177FF8">
            <w:pPr>
              <w:rPr>
                <w:sz w:val="22"/>
                <w:szCs w:val="22"/>
              </w:rPr>
            </w:pPr>
            <w:r w:rsidRPr="0089449A">
              <w:rPr>
                <w:sz w:val="22"/>
                <w:szCs w:val="22"/>
              </w:rPr>
              <w:t>MILJÖ- OCH JORDBRUKSUTSKOTTET</w:t>
            </w:r>
          </w:p>
        </w:tc>
      </w:tr>
    </w:tbl>
    <w:p w:rsidR="00177FF8" w:rsidRPr="0089449A" w:rsidRDefault="00177FF8">
      <w:pPr>
        <w:rPr>
          <w:sz w:val="22"/>
          <w:szCs w:val="22"/>
        </w:rPr>
      </w:pPr>
    </w:p>
    <w:p w:rsidR="00177FF8" w:rsidRPr="0089449A"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9449A">
        <w:trPr>
          <w:cantSplit/>
          <w:trHeight w:val="742"/>
        </w:trPr>
        <w:tc>
          <w:tcPr>
            <w:tcW w:w="1985" w:type="dxa"/>
          </w:tcPr>
          <w:p w:rsidR="00177FF8" w:rsidRPr="0089449A" w:rsidRDefault="00177FF8">
            <w:pPr>
              <w:rPr>
                <w:b/>
                <w:sz w:val="22"/>
                <w:szCs w:val="22"/>
              </w:rPr>
            </w:pPr>
            <w:r w:rsidRPr="0089449A">
              <w:rPr>
                <w:b/>
                <w:sz w:val="22"/>
                <w:szCs w:val="22"/>
              </w:rPr>
              <w:t xml:space="preserve">PROTOKOLL </w:t>
            </w:r>
          </w:p>
        </w:tc>
        <w:tc>
          <w:tcPr>
            <w:tcW w:w="6463" w:type="dxa"/>
          </w:tcPr>
          <w:p w:rsidR="00177FF8" w:rsidRPr="0089449A" w:rsidRDefault="00626575">
            <w:pPr>
              <w:rPr>
                <w:b/>
                <w:sz w:val="22"/>
                <w:szCs w:val="22"/>
              </w:rPr>
            </w:pPr>
            <w:r w:rsidRPr="0089449A">
              <w:rPr>
                <w:b/>
                <w:sz w:val="22"/>
                <w:szCs w:val="22"/>
              </w:rPr>
              <w:t>UTSKOTTSSAMMANTRÄDE 20</w:t>
            </w:r>
            <w:r w:rsidR="000E777E" w:rsidRPr="0089449A">
              <w:rPr>
                <w:b/>
                <w:sz w:val="22"/>
                <w:szCs w:val="22"/>
              </w:rPr>
              <w:t>19/20</w:t>
            </w:r>
            <w:r w:rsidR="0003479D" w:rsidRPr="0089449A">
              <w:rPr>
                <w:b/>
                <w:sz w:val="22"/>
                <w:szCs w:val="22"/>
              </w:rPr>
              <w:t>:</w:t>
            </w:r>
            <w:r w:rsidR="00C80875">
              <w:rPr>
                <w:b/>
                <w:sz w:val="22"/>
                <w:szCs w:val="22"/>
              </w:rPr>
              <w:t>4</w:t>
            </w:r>
          </w:p>
          <w:p w:rsidR="00177FF8" w:rsidRPr="0089449A" w:rsidRDefault="00177FF8">
            <w:pPr>
              <w:rPr>
                <w:b/>
                <w:sz w:val="22"/>
                <w:szCs w:val="22"/>
              </w:rPr>
            </w:pPr>
          </w:p>
        </w:tc>
      </w:tr>
      <w:tr w:rsidR="00177FF8" w:rsidRPr="0089449A">
        <w:tc>
          <w:tcPr>
            <w:tcW w:w="1985" w:type="dxa"/>
          </w:tcPr>
          <w:p w:rsidR="00177FF8" w:rsidRPr="0089449A" w:rsidRDefault="00177FF8">
            <w:pPr>
              <w:rPr>
                <w:sz w:val="22"/>
                <w:szCs w:val="22"/>
              </w:rPr>
            </w:pPr>
            <w:r w:rsidRPr="0089449A">
              <w:rPr>
                <w:sz w:val="22"/>
                <w:szCs w:val="22"/>
              </w:rPr>
              <w:t>DATUM</w:t>
            </w:r>
          </w:p>
        </w:tc>
        <w:tc>
          <w:tcPr>
            <w:tcW w:w="6463" w:type="dxa"/>
          </w:tcPr>
          <w:p w:rsidR="00177FF8" w:rsidRPr="0089449A" w:rsidRDefault="00626575" w:rsidP="00FB0559">
            <w:pPr>
              <w:rPr>
                <w:sz w:val="22"/>
                <w:szCs w:val="22"/>
              </w:rPr>
            </w:pPr>
            <w:r w:rsidRPr="0089449A">
              <w:rPr>
                <w:sz w:val="22"/>
                <w:szCs w:val="22"/>
              </w:rPr>
              <w:t>201</w:t>
            </w:r>
            <w:r w:rsidR="001238B9" w:rsidRPr="0089449A">
              <w:rPr>
                <w:sz w:val="22"/>
                <w:szCs w:val="22"/>
              </w:rPr>
              <w:t>9</w:t>
            </w:r>
            <w:r w:rsidR="008C2D5B" w:rsidRPr="0089449A">
              <w:rPr>
                <w:sz w:val="22"/>
                <w:szCs w:val="22"/>
              </w:rPr>
              <w:t>-</w:t>
            </w:r>
            <w:r w:rsidR="005200CB" w:rsidRPr="0089449A">
              <w:rPr>
                <w:sz w:val="22"/>
                <w:szCs w:val="22"/>
              </w:rPr>
              <w:t>1</w:t>
            </w:r>
            <w:r w:rsidR="00D27BCE" w:rsidRPr="0089449A">
              <w:rPr>
                <w:sz w:val="22"/>
                <w:szCs w:val="22"/>
              </w:rPr>
              <w:t>0</w:t>
            </w:r>
            <w:r w:rsidR="005200CB" w:rsidRPr="0089449A">
              <w:rPr>
                <w:sz w:val="22"/>
                <w:szCs w:val="22"/>
              </w:rPr>
              <w:t>-</w:t>
            </w:r>
            <w:r w:rsidR="00C80875">
              <w:rPr>
                <w:sz w:val="22"/>
                <w:szCs w:val="22"/>
              </w:rPr>
              <w:t>10</w:t>
            </w:r>
          </w:p>
        </w:tc>
      </w:tr>
      <w:tr w:rsidR="00177FF8" w:rsidRPr="0089449A">
        <w:tc>
          <w:tcPr>
            <w:tcW w:w="1985" w:type="dxa"/>
          </w:tcPr>
          <w:p w:rsidR="00177FF8" w:rsidRPr="0089449A" w:rsidRDefault="00177FF8">
            <w:pPr>
              <w:rPr>
                <w:sz w:val="22"/>
                <w:szCs w:val="22"/>
              </w:rPr>
            </w:pPr>
            <w:r w:rsidRPr="0089449A">
              <w:rPr>
                <w:sz w:val="22"/>
                <w:szCs w:val="22"/>
              </w:rPr>
              <w:t>TID</w:t>
            </w:r>
          </w:p>
        </w:tc>
        <w:tc>
          <w:tcPr>
            <w:tcW w:w="6463" w:type="dxa"/>
          </w:tcPr>
          <w:p w:rsidR="00177FF8" w:rsidRPr="0089449A" w:rsidRDefault="00C80875" w:rsidP="00231475">
            <w:pPr>
              <w:rPr>
                <w:sz w:val="22"/>
                <w:szCs w:val="22"/>
              </w:rPr>
            </w:pPr>
            <w:r>
              <w:rPr>
                <w:sz w:val="22"/>
                <w:szCs w:val="22"/>
              </w:rPr>
              <w:t>08</w:t>
            </w:r>
            <w:r w:rsidR="00B54A57" w:rsidRPr="0089449A">
              <w:rPr>
                <w:sz w:val="22"/>
                <w:szCs w:val="22"/>
              </w:rPr>
              <w:t>.</w:t>
            </w:r>
            <w:r w:rsidR="0021176A" w:rsidRPr="0089449A">
              <w:rPr>
                <w:sz w:val="22"/>
                <w:szCs w:val="22"/>
              </w:rPr>
              <w:t>0</w:t>
            </w:r>
            <w:r w:rsidR="00B5691D" w:rsidRPr="0089449A">
              <w:rPr>
                <w:sz w:val="22"/>
                <w:szCs w:val="22"/>
              </w:rPr>
              <w:t>0</w:t>
            </w:r>
            <w:r w:rsidR="00762508" w:rsidRPr="0089449A">
              <w:rPr>
                <w:sz w:val="22"/>
                <w:szCs w:val="22"/>
              </w:rPr>
              <w:t xml:space="preserve"> </w:t>
            </w:r>
            <w:r w:rsidR="00302EBE" w:rsidRPr="0089449A">
              <w:rPr>
                <w:sz w:val="22"/>
                <w:szCs w:val="22"/>
              </w:rPr>
              <w:t>–</w:t>
            </w:r>
            <w:r w:rsidR="00762508" w:rsidRPr="0089449A">
              <w:rPr>
                <w:sz w:val="22"/>
                <w:szCs w:val="22"/>
              </w:rPr>
              <w:t xml:space="preserve"> </w:t>
            </w:r>
            <w:r w:rsidR="005555B4">
              <w:rPr>
                <w:sz w:val="22"/>
                <w:szCs w:val="22"/>
              </w:rPr>
              <w:t>10:15</w:t>
            </w:r>
          </w:p>
        </w:tc>
      </w:tr>
      <w:tr w:rsidR="00177FF8" w:rsidRPr="0089449A">
        <w:tc>
          <w:tcPr>
            <w:tcW w:w="1985" w:type="dxa"/>
          </w:tcPr>
          <w:p w:rsidR="00177FF8" w:rsidRPr="0089449A" w:rsidRDefault="00177FF8">
            <w:pPr>
              <w:rPr>
                <w:sz w:val="22"/>
                <w:szCs w:val="22"/>
              </w:rPr>
            </w:pPr>
            <w:r w:rsidRPr="0089449A">
              <w:rPr>
                <w:sz w:val="22"/>
                <w:szCs w:val="22"/>
              </w:rPr>
              <w:t>NÄRVARANDE</w:t>
            </w:r>
          </w:p>
        </w:tc>
        <w:tc>
          <w:tcPr>
            <w:tcW w:w="6463" w:type="dxa"/>
          </w:tcPr>
          <w:p w:rsidR="00177FF8" w:rsidRPr="0089449A" w:rsidRDefault="00177FF8">
            <w:pPr>
              <w:rPr>
                <w:sz w:val="22"/>
                <w:szCs w:val="22"/>
              </w:rPr>
            </w:pPr>
            <w:r w:rsidRPr="0089449A">
              <w:rPr>
                <w:sz w:val="22"/>
                <w:szCs w:val="22"/>
              </w:rPr>
              <w:t>Se bilaga 1</w:t>
            </w:r>
          </w:p>
        </w:tc>
      </w:tr>
    </w:tbl>
    <w:p w:rsidR="00177FF8" w:rsidRPr="0089449A" w:rsidRDefault="00177FF8">
      <w:pPr>
        <w:rPr>
          <w:sz w:val="22"/>
          <w:szCs w:val="22"/>
        </w:rPr>
      </w:pPr>
    </w:p>
    <w:p w:rsidR="00177FF8" w:rsidRPr="0089449A" w:rsidRDefault="00177FF8">
      <w:pPr>
        <w:tabs>
          <w:tab w:val="left" w:pos="1701"/>
        </w:tabs>
        <w:rPr>
          <w:snapToGrid w:val="0"/>
          <w:color w:val="000000"/>
          <w:sz w:val="22"/>
          <w:szCs w:val="22"/>
        </w:rPr>
      </w:pPr>
    </w:p>
    <w:p w:rsidR="00177FF8" w:rsidRPr="0089449A"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9449A" w:rsidTr="002241EF">
        <w:tc>
          <w:tcPr>
            <w:tcW w:w="567" w:type="dxa"/>
          </w:tcPr>
          <w:p w:rsidR="00177FF8" w:rsidRPr="0089449A" w:rsidRDefault="00177FF8">
            <w:pPr>
              <w:tabs>
                <w:tab w:val="left" w:pos="1701"/>
              </w:tabs>
              <w:rPr>
                <w:b/>
                <w:snapToGrid w:val="0"/>
                <w:sz w:val="22"/>
                <w:szCs w:val="22"/>
              </w:rPr>
            </w:pPr>
            <w:r w:rsidRPr="0089449A">
              <w:rPr>
                <w:b/>
                <w:snapToGrid w:val="0"/>
                <w:sz w:val="22"/>
                <w:szCs w:val="22"/>
              </w:rPr>
              <w:t>§ 1</w:t>
            </w:r>
          </w:p>
        </w:tc>
        <w:tc>
          <w:tcPr>
            <w:tcW w:w="6946" w:type="dxa"/>
            <w:gridSpan w:val="2"/>
          </w:tcPr>
          <w:p w:rsidR="00C80875" w:rsidRDefault="00C80875" w:rsidP="00A438D1">
            <w:pPr>
              <w:widowControl/>
              <w:autoSpaceDE w:val="0"/>
              <w:autoSpaceDN w:val="0"/>
              <w:adjustRightInd w:val="0"/>
              <w:spacing w:after="120"/>
              <w:rPr>
                <w:b/>
                <w:bCs/>
                <w:color w:val="000000"/>
                <w:sz w:val="22"/>
                <w:szCs w:val="22"/>
              </w:rPr>
            </w:pPr>
            <w:r>
              <w:rPr>
                <w:b/>
                <w:bCs/>
                <w:color w:val="000000"/>
                <w:sz w:val="22"/>
                <w:szCs w:val="22"/>
              </w:rPr>
              <w:t>Kommissionens förslag till förordning om fiskemöjligheter i Östersjön 2020</w:t>
            </w:r>
          </w:p>
          <w:p w:rsidR="00E83F33" w:rsidRPr="008F4E40" w:rsidRDefault="00E83F33" w:rsidP="00E83F33">
            <w:pPr>
              <w:tabs>
                <w:tab w:val="left" w:pos="1701"/>
              </w:tabs>
              <w:rPr>
                <w:snapToGrid w:val="0"/>
                <w:sz w:val="22"/>
                <w:szCs w:val="22"/>
              </w:rPr>
            </w:pPr>
            <w:r w:rsidRPr="008F4E40">
              <w:rPr>
                <w:snapToGrid w:val="0"/>
                <w:sz w:val="22"/>
                <w:szCs w:val="22"/>
              </w:rPr>
              <w:t xml:space="preserve">Utskottet </w:t>
            </w:r>
            <w:r w:rsidR="00715978">
              <w:rPr>
                <w:snapToGrid w:val="0"/>
                <w:sz w:val="22"/>
                <w:szCs w:val="22"/>
              </w:rPr>
              <w:t xml:space="preserve">överlade </w:t>
            </w:r>
            <w:r w:rsidRPr="008F4E40">
              <w:rPr>
                <w:snapToGrid w:val="0"/>
                <w:sz w:val="22"/>
                <w:szCs w:val="22"/>
              </w:rPr>
              <w:t xml:space="preserve">med </w:t>
            </w:r>
            <w:r w:rsidR="00A029A6">
              <w:rPr>
                <w:snapToGrid w:val="0"/>
                <w:sz w:val="22"/>
                <w:szCs w:val="22"/>
              </w:rPr>
              <w:t>landsbygdsminister Jennie Nilsson</w:t>
            </w:r>
            <w:r w:rsidRPr="008F4E40">
              <w:rPr>
                <w:snapToGrid w:val="0"/>
                <w:sz w:val="22"/>
                <w:szCs w:val="22"/>
              </w:rPr>
              <w:t>, Näringsdepartementet, om</w:t>
            </w:r>
          </w:p>
          <w:p w:rsidR="00291836" w:rsidRDefault="00291836" w:rsidP="00FF5852">
            <w:pPr>
              <w:spacing w:after="80"/>
              <w:rPr>
                <w:snapToGrid w:val="0"/>
                <w:sz w:val="22"/>
                <w:szCs w:val="22"/>
              </w:rPr>
            </w:pPr>
          </w:p>
          <w:p w:rsidR="00C80875" w:rsidRPr="00FF5852" w:rsidRDefault="00E83F33" w:rsidP="00FF5852">
            <w:pPr>
              <w:spacing w:after="80"/>
              <w:rPr>
                <w:sz w:val="22"/>
                <w:szCs w:val="22"/>
              </w:rPr>
            </w:pPr>
            <w:r>
              <w:rPr>
                <w:snapToGrid w:val="0"/>
                <w:sz w:val="22"/>
                <w:szCs w:val="22"/>
              </w:rPr>
              <w:t>C</w:t>
            </w:r>
            <w:r w:rsidRPr="008F4E40">
              <w:rPr>
                <w:snapToGrid w:val="0"/>
                <w:sz w:val="22"/>
                <w:szCs w:val="22"/>
              </w:rPr>
              <w:t>OM(2019) 380 Förslag till RÅDETS FÖRORDNING om fastställande för 2020 av fiskemöjligheterna för vissa fiskbestånd och grupper av fiskbestånd i Östersjön och om ändring av förordning (EU) 2019/124 vad gäller vissa fiskemöjligheter i andra vatten</w:t>
            </w:r>
          </w:p>
          <w:p w:rsidR="00FF5852" w:rsidRDefault="00FF5852" w:rsidP="00490CCE">
            <w:pPr>
              <w:widowControl/>
              <w:autoSpaceDE w:val="0"/>
              <w:autoSpaceDN w:val="0"/>
              <w:adjustRightInd w:val="0"/>
              <w:rPr>
                <w:bCs/>
                <w:color w:val="000000"/>
                <w:sz w:val="22"/>
                <w:szCs w:val="22"/>
              </w:rPr>
            </w:pPr>
          </w:p>
          <w:p w:rsidR="00FF5852" w:rsidRDefault="005E6D9B" w:rsidP="00490CCE">
            <w:pPr>
              <w:widowControl/>
              <w:autoSpaceDE w:val="0"/>
              <w:autoSpaceDN w:val="0"/>
              <w:adjustRightInd w:val="0"/>
              <w:rPr>
                <w:bCs/>
                <w:color w:val="000000"/>
                <w:sz w:val="22"/>
                <w:szCs w:val="22"/>
              </w:rPr>
            </w:pPr>
            <w:r>
              <w:rPr>
                <w:bCs/>
                <w:color w:val="000000"/>
                <w:sz w:val="22"/>
                <w:szCs w:val="22"/>
              </w:rPr>
              <w:t>Underlaget utgjordes av en översänd promemoria (dnr</w:t>
            </w:r>
            <w:r w:rsidR="00B72495">
              <w:rPr>
                <w:bCs/>
                <w:color w:val="000000"/>
                <w:sz w:val="22"/>
                <w:szCs w:val="22"/>
              </w:rPr>
              <w:t xml:space="preserve"> 142-2019/20</w:t>
            </w:r>
            <w:r>
              <w:rPr>
                <w:bCs/>
                <w:color w:val="000000"/>
                <w:sz w:val="22"/>
                <w:szCs w:val="22"/>
              </w:rPr>
              <w:t>).</w:t>
            </w:r>
          </w:p>
          <w:p w:rsidR="007E7280" w:rsidRDefault="007E7280" w:rsidP="007E7280">
            <w:pPr>
              <w:widowControl/>
              <w:autoSpaceDE w:val="0"/>
              <w:autoSpaceDN w:val="0"/>
              <w:adjustRightInd w:val="0"/>
              <w:spacing w:after="120"/>
              <w:rPr>
                <w:b/>
                <w:bCs/>
                <w:color w:val="000000"/>
                <w:sz w:val="22"/>
                <w:szCs w:val="22"/>
              </w:rPr>
            </w:pPr>
          </w:p>
          <w:p w:rsidR="007E7280" w:rsidRDefault="007E7280" w:rsidP="007E7280">
            <w:pPr>
              <w:widowControl/>
              <w:autoSpaceDE w:val="0"/>
              <w:autoSpaceDN w:val="0"/>
              <w:adjustRightInd w:val="0"/>
              <w:spacing w:after="120"/>
              <w:rPr>
                <w:b/>
                <w:bCs/>
                <w:color w:val="000000"/>
                <w:sz w:val="22"/>
                <w:szCs w:val="22"/>
              </w:rPr>
            </w:pPr>
            <w:r>
              <w:rPr>
                <w:b/>
                <w:bCs/>
                <w:color w:val="000000"/>
                <w:sz w:val="22"/>
                <w:szCs w:val="22"/>
              </w:rPr>
              <w:t>Förslag till svensk ståndpunkt:</w:t>
            </w:r>
          </w:p>
          <w:p w:rsidR="007E7280" w:rsidRDefault="007E7280" w:rsidP="007E7280">
            <w:pPr>
              <w:widowControl/>
              <w:autoSpaceDE w:val="0"/>
              <w:autoSpaceDN w:val="0"/>
              <w:adjustRightInd w:val="0"/>
              <w:spacing w:after="120"/>
              <w:rPr>
                <w:bCs/>
                <w:color w:val="000000"/>
                <w:sz w:val="22"/>
                <w:szCs w:val="22"/>
              </w:rPr>
            </w:pPr>
            <w:r>
              <w:rPr>
                <w:bCs/>
                <w:color w:val="000000"/>
                <w:sz w:val="22"/>
                <w:szCs w:val="22"/>
              </w:rPr>
              <w:t>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sätt som är förenligt med målen om att uppnå nytta i ekonomiskt, socialt och sysselsättnings</w:t>
            </w:r>
            <w:r w:rsidR="006D6067">
              <w:rPr>
                <w:bCs/>
                <w:color w:val="000000"/>
                <w:sz w:val="22"/>
                <w:szCs w:val="22"/>
              </w:rPr>
              <w:t>-</w:t>
            </w:r>
            <w:r>
              <w:rPr>
                <w:bCs/>
                <w:color w:val="000000"/>
                <w:sz w:val="22"/>
                <w:szCs w:val="22"/>
              </w:rPr>
              <w:t>hänseende samt att bidra till att trygga</w:t>
            </w:r>
            <w:r w:rsidR="006D6067">
              <w:rPr>
                <w:bCs/>
                <w:color w:val="000000"/>
                <w:sz w:val="22"/>
                <w:szCs w:val="22"/>
              </w:rPr>
              <w:t xml:space="preserve"> </w:t>
            </w:r>
            <w:r>
              <w:rPr>
                <w:bCs/>
                <w:color w:val="000000"/>
                <w:sz w:val="22"/>
                <w:szCs w:val="22"/>
              </w:rPr>
              <w:t>livsmedelsförsörjningen. Regeringens målsättning är också att åtgärderna ska vara i linje med Livsmedelsstrategin och Agenda 2030.</w:t>
            </w:r>
          </w:p>
          <w:p w:rsidR="007E7280" w:rsidRDefault="007E7280" w:rsidP="007E7280">
            <w:pPr>
              <w:widowControl/>
              <w:autoSpaceDE w:val="0"/>
              <w:autoSpaceDN w:val="0"/>
              <w:adjustRightInd w:val="0"/>
              <w:spacing w:after="120"/>
              <w:rPr>
                <w:bCs/>
                <w:color w:val="000000"/>
                <w:sz w:val="22"/>
                <w:szCs w:val="22"/>
              </w:rPr>
            </w:pPr>
            <w:r>
              <w:rPr>
                <w:bCs/>
                <w:color w:val="000000"/>
                <w:sz w:val="22"/>
                <w:szCs w:val="22"/>
              </w:rPr>
              <w:t>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den fleråriga Östersjöplanen för torsk, sill och skarpsill ska tillämpas för de bestånd som omfattas av planen. I syfte att underlätta landningsskyldigheten är regeringens utgångspunkt att kvotsammansättningen för de pelagiska bestånden så långt möjligt bör spegla fångstsammansättningen, och att fiskemöjligheterna för dessa bestånd bör fastställas med hänsyn till de MSY-intervall som framgår av ICES vetenskapliga råd.</w:t>
            </w:r>
          </w:p>
          <w:p w:rsidR="007E7280" w:rsidRDefault="007E7280" w:rsidP="007E7280">
            <w:pPr>
              <w:widowControl/>
              <w:autoSpaceDE w:val="0"/>
              <w:autoSpaceDN w:val="0"/>
              <w:adjustRightInd w:val="0"/>
              <w:spacing w:after="120"/>
              <w:rPr>
                <w:bCs/>
                <w:color w:val="000000"/>
                <w:sz w:val="22"/>
                <w:szCs w:val="22"/>
              </w:rPr>
            </w:pPr>
            <w:r>
              <w:rPr>
                <w:bCs/>
                <w:color w:val="000000"/>
                <w:sz w:val="22"/>
                <w:szCs w:val="22"/>
              </w:rPr>
              <w:t>När det gäller fritidsfiske anser regeringen generellt att reglering av fritidsfiske i första hand är varje medlemsstats ansvar och att EU-lagstiftning på detta område endast bör övervägas i specifika fall och om den kan tillföra mervärde. Givet beståndssituationen för vissa av Östersjöns bestånd och där fritidsfiskets har betydande bidrag till fiskeridödligheten anser regeringen att det för närvarande i specifika fall finns ett mervärde i att reglera fritidsfisket i vissa områden och för vissa arter i Östersjön inom ramen för denna förordning.</w:t>
            </w:r>
          </w:p>
          <w:p w:rsidR="007E7280" w:rsidRDefault="007E7280" w:rsidP="007E7280">
            <w:pPr>
              <w:widowControl/>
              <w:autoSpaceDE w:val="0"/>
              <w:autoSpaceDN w:val="0"/>
              <w:adjustRightInd w:val="0"/>
              <w:spacing w:after="120"/>
              <w:rPr>
                <w:bCs/>
                <w:color w:val="000000"/>
                <w:sz w:val="22"/>
                <w:szCs w:val="22"/>
              </w:rPr>
            </w:pPr>
            <w:r>
              <w:rPr>
                <w:bCs/>
                <w:color w:val="000000"/>
                <w:sz w:val="22"/>
                <w:szCs w:val="22"/>
              </w:rPr>
              <w:t xml:space="preserve">När det gäller kontroll och efterlevnad anser regeringen att regelefterlevnaden är ett viktigt element för att säkerställa ett hållbart fiske och att det ges lika villkor för fiskets aktörer genom att kontrollkraven uppfylls på ett likvärdigt sätt i medlemsstaterna. Regeringen anser således att </w:t>
            </w:r>
            <w:r>
              <w:rPr>
                <w:bCs/>
                <w:color w:val="000000"/>
                <w:sz w:val="22"/>
                <w:szCs w:val="22"/>
              </w:rPr>
              <w:lastRenderedPageBreak/>
              <w:t>det är angeläget att medlemsstaterna kommer till rätta med de fall av bristfällig regelefterlevnad som påträffas och stödjer att medlemsstaterna tillsammans med kommissionen och EU</w:t>
            </w:r>
            <w:r w:rsidR="0068409E">
              <w:rPr>
                <w:bCs/>
                <w:color w:val="000000"/>
                <w:sz w:val="22"/>
                <w:szCs w:val="22"/>
              </w:rPr>
              <w:t>:</w:t>
            </w:r>
            <w:r>
              <w:rPr>
                <w:bCs/>
                <w:color w:val="000000"/>
                <w:sz w:val="22"/>
                <w:szCs w:val="22"/>
              </w:rPr>
              <w:t>s fiskerikontrollmyndighet (EFCA) fortsätter sitt arbete i syfte att uppnå hållbart fiske.</w:t>
            </w:r>
          </w:p>
          <w:p w:rsidR="007E7280" w:rsidRDefault="007E7280" w:rsidP="00F02E0D">
            <w:pPr>
              <w:widowControl/>
              <w:autoSpaceDE w:val="0"/>
              <w:autoSpaceDN w:val="0"/>
              <w:adjustRightInd w:val="0"/>
              <w:rPr>
                <w:bCs/>
                <w:color w:val="000000"/>
                <w:sz w:val="22"/>
                <w:szCs w:val="22"/>
              </w:rPr>
            </w:pPr>
            <w:r>
              <w:rPr>
                <w:bCs/>
                <w:color w:val="000000"/>
                <w:sz w:val="22"/>
                <w:szCs w:val="22"/>
              </w:rPr>
              <w:t>I linje med ovan angivna ståndpunkter kan regeringen preliminärt stödja den övergripande inriktningen i kommissionens förslag och regeringen kommer att verka för att regeringens övergripande målsättning återspeglas i den slutliga kompromissen.</w:t>
            </w:r>
          </w:p>
          <w:p w:rsidR="007E7280" w:rsidRDefault="007E7280" w:rsidP="00A438D1">
            <w:pPr>
              <w:widowControl/>
              <w:autoSpaceDE w:val="0"/>
              <w:autoSpaceDN w:val="0"/>
              <w:adjustRightInd w:val="0"/>
              <w:spacing w:after="120"/>
              <w:rPr>
                <w:bCs/>
                <w:color w:val="000000"/>
                <w:sz w:val="22"/>
                <w:szCs w:val="22"/>
              </w:rPr>
            </w:pPr>
          </w:p>
          <w:p w:rsidR="00FF5852" w:rsidRDefault="005E6D9B" w:rsidP="00F02E0D">
            <w:pPr>
              <w:widowControl/>
              <w:autoSpaceDE w:val="0"/>
              <w:autoSpaceDN w:val="0"/>
              <w:adjustRightInd w:val="0"/>
              <w:rPr>
                <w:bCs/>
                <w:color w:val="000000"/>
                <w:sz w:val="22"/>
                <w:szCs w:val="22"/>
              </w:rPr>
            </w:pPr>
            <w:r w:rsidRPr="00FF5852">
              <w:rPr>
                <w:bCs/>
                <w:color w:val="000000"/>
                <w:sz w:val="22"/>
                <w:szCs w:val="22"/>
              </w:rPr>
              <w:t>Ordförande konstaterade att det i utskottet fanns stöd för regeringens ståndpunkt.</w:t>
            </w:r>
          </w:p>
          <w:p w:rsidR="00894743" w:rsidRDefault="00894743" w:rsidP="00F02E0D">
            <w:pPr>
              <w:widowControl/>
              <w:autoSpaceDE w:val="0"/>
              <w:autoSpaceDN w:val="0"/>
              <w:adjustRightInd w:val="0"/>
              <w:rPr>
                <w:bCs/>
                <w:color w:val="000000"/>
                <w:sz w:val="22"/>
                <w:szCs w:val="22"/>
              </w:rPr>
            </w:pPr>
          </w:p>
          <w:p w:rsidR="005E6D9B" w:rsidRDefault="005E6D9B" w:rsidP="00F02E0D">
            <w:pPr>
              <w:widowControl/>
              <w:autoSpaceDE w:val="0"/>
              <w:autoSpaceDN w:val="0"/>
              <w:adjustRightInd w:val="0"/>
              <w:rPr>
                <w:bCs/>
                <w:color w:val="000000"/>
                <w:sz w:val="22"/>
                <w:szCs w:val="22"/>
              </w:rPr>
            </w:pPr>
            <w:r>
              <w:rPr>
                <w:bCs/>
                <w:color w:val="000000"/>
                <w:sz w:val="22"/>
                <w:szCs w:val="22"/>
              </w:rPr>
              <w:t>Denna paragraf förklarades omedelbart justerad.</w:t>
            </w:r>
          </w:p>
          <w:p w:rsidR="00305501" w:rsidRPr="0089449A" w:rsidRDefault="00305501" w:rsidP="00C80875">
            <w:pPr>
              <w:rPr>
                <w:snapToGrid w:val="0"/>
                <w:sz w:val="22"/>
                <w:szCs w:val="22"/>
              </w:rPr>
            </w:pPr>
          </w:p>
        </w:tc>
      </w:tr>
      <w:tr w:rsidR="00CC5952" w:rsidRPr="0089449A" w:rsidTr="002241EF">
        <w:tc>
          <w:tcPr>
            <w:tcW w:w="567" w:type="dxa"/>
          </w:tcPr>
          <w:p w:rsidR="00CC5952" w:rsidRPr="0089449A" w:rsidRDefault="00CC5952">
            <w:pPr>
              <w:tabs>
                <w:tab w:val="left" w:pos="1701"/>
              </w:tabs>
              <w:rPr>
                <w:b/>
                <w:snapToGrid w:val="0"/>
                <w:sz w:val="22"/>
                <w:szCs w:val="22"/>
              </w:rPr>
            </w:pPr>
            <w:r w:rsidRPr="0089449A">
              <w:rPr>
                <w:b/>
                <w:snapToGrid w:val="0"/>
                <w:sz w:val="22"/>
                <w:szCs w:val="22"/>
              </w:rPr>
              <w:lastRenderedPageBreak/>
              <w:t xml:space="preserve">§ </w:t>
            </w:r>
            <w:r w:rsidR="00D30A97" w:rsidRPr="0089449A">
              <w:rPr>
                <w:b/>
                <w:snapToGrid w:val="0"/>
                <w:sz w:val="22"/>
                <w:szCs w:val="22"/>
              </w:rPr>
              <w:t>2</w:t>
            </w:r>
          </w:p>
        </w:tc>
        <w:tc>
          <w:tcPr>
            <w:tcW w:w="6946" w:type="dxa"/>
            <w:gridSpan w:val="2"/>
          </w:tcPr>
          <w:p w:rsidR="005555B4" w:rsidRDefault="00C80875" w:rsidP="00FF5852">
            <w:pPr>
              <w:tabs>
                <w:tab w:val="left" w:pos="1701"/>
              </w:tabs>
              <w:rPr>
                <w:snapToGrid w:val="0"/>
                <w:sz w:val="22"/>
                <w:szCs w:val="22"/>
              </w:rPr>
            </w:pPr>
            <w:r>
              <w:rPr>
                <w:b/>
                <w:bCs/>
                <w:color w:val="000000"/>
                <w:sz w:val="22"/>
                <w:szCs w:val="22"/>
              </w:rPr>
              <w:t xml:space="preserve">Jordbruks och fiskeråd den </w:t>
            </w:r>
            <w:r w:rsidR="00E83F33">
              <w:rPr>
                <w:b/>
                <w:bCs/>
                <w:color w:val="000000"/>
                <w:sz w:val="22"/>
                <w:szCs w:val="22"/>
              </w:rPr>
              <w:t>14–15</w:t>
            </w:r>
            <w:r>
              <w:rPr>
                <w:b/>
                <w:bCs/>
                <w:color w:val="000000"/>
                <w:sz w:val="22"/>
                <w:szCs w:val="22"/>
              </w:rPr>
              <w:t xml:space="preserve"> oktober 2019</w:t>
            </w:r>
          </w:p>
          <w:p w:rsidR="00715978" w:rsidRPr="00FF5852" w:rsidRDefault="00715978" w:rsidP="005555B4">
            <w:pPr>
              <w:tabs>
                <w:tab w:val="left" w:pos="1701"/>
              </w:tabs>
              <w:spacing w:before="240"/>
              <w:rPr>
                <w:b/>
                <w:bCs/>
                <w:color w:val="000000"/>
                <w:sz w:val="22"/>
                <w:szCs w:val="22"/>
              </w:rPr>
            </w:pPr>
            <w:r w:rsidRPr="00AB7F4F">
              <w:rPr>
                <w:snapToGrid w:val="0"/>
                <w:sz w:val="22"/>
                <w:szCs w:val="22"/>
              </w:rPr>
              <w:t>Utskottet beslutade enligt 7 kap. 12 § RO att överlägga med</w:t>
            </w:r>
            <w:r>
              <w:rPr>
                <w:bCs/>
                <w:color w:val="000000"/>
                <w:sz w:val="22"/>
                <w:szCs w:val="22"/>
              </w:rPr>
              <w:t xml:space="preserve"> landsbygdsminister Jennie Nilsson</w:t>
            </w:r>
            <w:r w:rsidRPr="00AB7F4F">
              <w:rPr>
                <w:bCs/>
                <w:color w:val="000000"/>
                <w:sz w:val="22"/>
                <w:szCs w:val="22"/>
              </w:rPr>
              <w:t>, Näringsdepartementet</w:t>
            </w:r>
            <w:r w:rsidRPr="00AB7F4F">
              <w:rPr>
                <w:snapToGrid w:val="0"/>
                <w:sz w:val="22"/>
                <w:szCs w:val="22"/>
              </w:rPr>
              <w:t>, om följande punkt på rådsdagordningen</w:t>
            </w:r>
            <w:r w:rsidRPr="00AB7F4F">
              <w:rPr>
                <w:bCs/>
                <w:color w:val="000000"/>
                <w:sz w:val="22"/>
                <w:szCs w:val="22"/>
              </w:rPr>
              <w:t>:</w:t>
            </w:r>
          </w:p>
          <w:p w:rsidR="00715978" w:rsidRDefault="00715978" w:rsidP="00715978">
            <w:pPr>
              <w:widowControl/>
              <w:autoSpaceDE w:val="0"/>
              <w:autoSpaceDN w:val="0"/>
              <w:adjustRightInd w:val="0"/>
              <w:rPr>
                <w:b/>
                <w:snapToGrid w:val="0"/>
                <w:sz w:val="22"/>
                <w:szCs w:val="22"/>
              </w:rPr>
            </w:pPr>
            <w:r>
              <w:rPr>
                <w:b/>
                <w:snapToGrid w:val="0"/>
                <w:sz w:val="22"/>
                <w:szCs w:val="22"/>
              </w:rPr>
              <w:br/>
              <w:t xml:space="preserve">Rådets </w:t>
            </w:r>
            <w:r w:rsidRPr="00FF5852">
              <w:rPr>
                <w:b/>
                <w:snapToGrid w:val="0"/>
                <w:sz w:val="22"/>
                <w:szCs w:val="22"/>
              </w:rPr>
              <w:t>dagordningspunkt</w:t>
            </w:r>
            <w:r w:rsidR="00FF5852" w:rsidRPr="00FF5852">
              <w:rPr>
                <w:b/>
                <w:snapToGrid w:val="0"/>
                <w:sz w:val="22"/>
                <w:szCs w:val="22"/>
              </w:rPr>
              <w:t xml:space="preserve"> 7</w:t>
            </w:r>
            <w:r w:rsidRPr="00FF5852">
              <w:rPr>
                <w:b/>
                <w:snapToGrid w:val="0"/>
                <w:sz w:val="22"/>
                <w:szCs w:val="22"/>
              </w:rPr>
              <w:t>.</w:t>
            </w:r>
            <w:r w:rsidR="00FF5852" w:rsidRPr="00FF5852">
              <w:rPr>
                <w:b/>
                <w:sz w:val="22"/>
                <w:szCs w:val="22"/>
              </w:rPr>
              <w:t xml:space="preserve"> Reformpaketet för den gemensamma jordbrukspolitiken, CAP, efter 2020 – lägesbeskrivning</w:t>
            </w:r>
            <w:r w:rsidR="00FF5852">
              <w:rPr>
                <w:sz w:val="23"/>
                <w:szCs w:val="23"/>
              </w:rPr>
              <w:t xml:space="preserve"> </w:t>
            </w:r>
            <w:r w:rsidRPr="00AB7F4F">
              <w:rPr>
                <w:b/>
                <w:snapToGrid w:val="0"/>
                <w:sz w:val="22"/>
                <w:szCs w:val="22"/>
              </w:rPr>
              <w:t xml:space="preserve"> </w:t>
            </w:r>
          </w:p>
          <w:p w:rsidR="00715978" w:rsidRDefault="00715978" w:rsidP="00715978">
            <w:pPr>
              <w:widowControl/>
              <w:autoSpaceDE w:val="0"/>
              <w:autoSpaceDN w:val="0"/>
              <w:adjustRightInd w:val="0"/>
              <w:rPr>
                <w:sz w:val="22"/>
                <w:szCs w:val="22"/>
              </w:rPr>
            </w:pPr>
            <w:r w:rsidRPr="00AB7F4F">
              <w:rPr>
                <w:b/>
                <w:snapToGrid w:val="0"/>
                <w:sz w:val="22"/>
                <w:szCs w:val="22"/>
              </w:rPr>
              <w:br/>
            </w:r>
            <w:r w:rsidRPr="00AB7F4F">
              <w:rPr>
                <w:bCs/>
                <w:sz w:val="22"/>
                <w:szCs w:val="22"/>
              </w:rPr>
              <w:t xml:space="preserve">Underlaget utgjordes av en den </w:t>
            </w:r>
            <w:r>
              <w:rPr>
                <w:bCs/>
                <w:sz w:val="22"/>
                <w:szCs w:val="22"/>
              </w:rPr>
              <w:t xml:space="preserve">7 oktober </w:t>
            </w:r>
            <w:r w:rsidRPr="00AB7F4F">
              <w:rPr>
                <w:bCs/>
                <w:sz w:val="22"/>
                <w:szCs w:val="22"/>
              </w:rPr>
              <w:t>201</w:t>
            </w:r>
            <w:r>
              <w:rPr>
                <w:bCs/>
                <w:sz w:val="22"/>
                <w:szCs w:val="22"/>
              </w:rPr>
              <w:t>9</w:t>
            </w:r>
            <w:r w:rsidRPr="00AB7F4F">
              <w:rPr>
                <w:bCs/>
                <w:sz w:val="22"/>
                <w:szCs w:val="22"/>
              </w:rPr>
              <w:t xml:space="preserve"> översänd kommenterad dagordning.</w:t>
            </w:r>
            <w:r w:rsidRPr="00AB7F4F">
              <w:rPr>
                <w:bCs/>
                <w:sz w:val="22"/>
                <w:szCs w:val="22"/>
              </w:rPr>
              <w:br/>
            </w:r>
            <w:r w:rsidRPr="00AB7F4F">
              <w:rPr>
                <w:snapToGrid w:val="0"/>
                <w:sz w:val="22"/>
                <w:szCs w:val="22"/>
              </w:rPr>
              <w:br/>
            </w:r>
            <w:r w:rsidRPr="00AB7F4F">
              <w:rPr>
                <w:b/>
                <w:snapToGrid w:val="0"/>
                <w:sz w:val="22"/>
                <w:szCs w:val="22"/>
              </w:rPr>
              <w:t>Förslag till svensk ståndpunkt:</w:t>
            </w:r>
          </w:p>
          <w:p w:rsidR="00FF5852" w:rsidRPr="00FF5852" w:rsidRDefault="00FF5852" w:rsidP="00FF5852">
            <w:pPr>
              <w:widowControl/>
              <w:autoSpaceDE w:val="0"/>
              <w:autoSpaceDN w:val="0"/>
              <w:adjustRightInd w:val="0"/>
              <w:rPr>
                <w:sz w:val="22"/>
                <w:szCs w:val="22"/>
              </w:rPr>
            </w:pPr>
            <w:r w:rsidRPr="00FF5852">
              <w:rPr>
                <w:sz w:val="22"/>
                <w:szCs w:val="22"/>
              </w:rPr>
              <w:t>Regeringen bedömer att det återstår en hel del förhandlingsarbete kring den så kallade gröna arkitekturen och den nya genomförandemodellen för CAP.</w:t>
            </w:r>
          </w:p>
          <w:p w:rsidR="005555B4" w:rsidRDefault="00FF5852" w:rsidP="00FF5852">
            <w:pPr>
              <w:widowControl/>
              <w:autoSpaceDE w:val="0"/>
              <w:autoSpaceDN w:val="0"/>
              <w:adjustRightInd w:val="0"/>
              <w:rPr>
                <w:sz w:val="22"/>
                <w:szCs w:val="22"/>
              </w:rPr>
            </w:pPr>
            <w:r w:rsidRPr="00FF5852">
              <w:rPr>
                <w:sz w:val="22"/>
                <w:szCs w:val="22"/>
              </w:rPr>
              <w:t>På dessa områden krävs det ytterligare tekniska diskussioner innan politiska ställningstagande kan tas. Regeringen anser att det är viktigt att det ges tillräckligt med tid i de fortsatta förhandlingarna för att hantera utestående frågor. Det är även viktigt att det finns tillräckligt med tid för genomförande av den nya politiken i respektive land</w:t>
            </w:r>
            <w:r w:rsidR="005555B4">
              <w:rPr>
                <w:sz w:val="22"/>
                <w:szCs w:val="22"/>
              </w:rPr>
              <w:t>.</w:t>
            </w:r>
          </w:p>
          <w:p w:rsidR="00715978" w:rsidRDefault="00715978" w:rsidP="00715978">
            <w:pPr>
              <w:widowControl/>
              <w:autoSpaceDE w:val="0"/>
              <w:autoSpaceDN w:val="0"/>
              <w:adjustRightInd w:val="0"/>
              <w:rPr>
                <w:sz w:val="22"/>
                <w:szCs w:val="22"/>
              </w:rPr>
            </w:pPr>
          </w:p>
          <w:p w:rsidR="00715978" w:rsidRDefault="00715978" w:rsidP="00715978">
            <w:pPr>
              <w:widowControl/>
              <w:autoSpaceDE w:val="0"/>
              <w:autoSpaceDN w:val="0"/>
              <w:adjustRightInd w:val="0"/>
              <w:rPr>
                <w:sz w:val="22"/>
                <w:szCs w:val="22"/>
              </w:rPr>
            </w:pPr>
            <w:r w:rsidRPr="00673125">
              <w:rPr>
                <w:sz w:val="22"/>
                <w:szCs w:val="22"/>
              </w:rPr>
              <w:t>Ordförande konstaterade att det i övrigt inte fanns något att tillägga till den svenska ståndpunkten i detta skede.</w:t>
            </w:r>
          </w:p>
          <w:p w:rsidR="00715978" w:rsidRDefault="00715978" w:rsidP="00715978">
            <w:pPr>
              <w:rPr>
                <w:rFonts w:eastAsia="Calibri"/>
                <w:bCs/>
                <w:color w:val="000000"/>
                <w:sz w:val="22"/>
                <w:szCs w:val="22"/>
                <w:lang w:eastAsia="en-US"/>
              </w:rPr>
            </w:pPr>
          </w:p>
          <w:p w:rsidR="00291836" w:rsidRPr="00291836" w:rsidRDefault="00291836" w:rsidP="00715978">
            <w:pPr>
              <w:rPr>
                <w:snapToGrid w:val="0"/>
                <w:sz w:val="22"/>
                <w:szCs w:val="22"/>
              </w:rPr>
            </w:pPr>
            <w:r w:rsidRPr="00673125">
              <w:rPr>
                <w:snapToGrid w:val="0"/>
                <w:sz w:val="22"/>
                <w:szCs w:val="22"/>
              </w:rPr>
              <w:t>Denna paragraf förklarades omedelbart justerad</w:t>
            </w:r>
            <w:r>
              <w:rPr>
                <w:snapToGrid w:val="0"/>
                <w:sz w:val="22"/>
                <w:szCs w:val="22"/>
              </w:rPr>
              <w:t>.</w:t>
            </w:r>
          </w:p>
          <w:p w:rsidR="00291836" w:rsidRDefault="00291836" w:rsidP="00715978">
            <w:pPr>
              <w:rPr>
                <w:rFonts w:eastAsia="Calibri"/>
                <w:bCs/>
                <w:color w:val="000000"/>
                <w:sz w:val="22"/>
                <w:szCs w:val="22"/>
                <w:lang w:eastAsia="en-US"/>
              </w:rPr>
            </w:pPr>
          </w:p>
          <w:p w:rsidR="00715978" w:rsidRPr="00F02E0D" w:rsidRDefault="007E7280" w:rsidP="00F02E0D">
            <w:pPr>
              <w:rPr>
                <w:rFonts w:eastAsia="Calibri"/>
                <w:bCs/>
                <w:color w:val="000000"/>
                <w:sz w:val="22"/>
                <w:szCs w:val="22"/>
                <w:lang w:eastAsia="en-US"/>
              </w:rPr>
            </w:pPr>
            <w:r>
              <w:rPr>
                <w:rFonts w:eastAsia="Calibri"/>
                <w:bCs/>
                <w:color w:val="000000"/>
                <w:sz w:val="22"/>
                <w:szCs w:val="22"/>
                <w:lang w:eastAsia="en-US"/>
              </w:rPr>
              <w:t xml:space="preserve">Medarbetare till landsbygdsminister Jennie Nilsson </w:t>
            </w:r>
            <w:r w:rsidR="00715978" w:rsidRPr="005B4C13">
              <w:rPr>
                <w:rFonts w:eastAsia="Calibri"/>
                <w:bCs/>
                <w:color w:val="000000"/>
                <w:sz w:val="22"/>
                <w:szCs w:val="22"/>
                <w:lang w:eastAsia="en-US"/>
              </w:rPr>
              <w:t>lämnade under övriga punkter på d</w:t>
            </w:r>
            <w:r w:rsidR="00715978" w:rsidRPr="005B4C13">
              <w:rPr>
                <w:rFonts w:eastAsia="Calibri"/>
                <w:color w:val="000000"/>
                <w:sz w:val="22"/>
                <w:szCs w:val="22"/>
                <w:lang w:eastAsia="en-US"/>
              </w:rPr>
              <w:t xml:space="preserve">agordningen </w:t>
            </w:r>
            <w:r w:rsidR="00715978" w:rsidRPr="005B4C13">
              <w:rPr>
                <w:rFonts w:eastAsia="Calibri"/>
                <w:bCs/>
                <w:iCs/>
                <w:color w:val="000000"/>
                <w:sz w:val="22"/>
                <w:szCs w:val="22"/>
                <w:lang w:eastAsia="en-US"/>
              </w:rPr>
              <w:t>information</w:t>
            </w:r>
            <w:r w:rsidR="00715978" w:rsidRPr="005B4C13">
              <w:rPr>
                <w:rFonts w:eastAsia="Calibri"/>
                <w:b/>
                <w:bCs/>
                <w:iCs/>
                <w:color w:val="000000"/>
                <w:sz w:val="22"/>
                <w:szCs w:val="22"/>
                <w:lang w:eastAsia="en-US"/>
              </w:rPr>
              <w:t xml:space="preserve"> </w:t>
            </w:r>
            <w:r w:rsidR="00715978" w:rsidRPr="005B4C13">
              <w:rPr>
                <w:rFonts w:eastAsia="Calibri"/>
                <w:bCs/>
                <w:color w:val="000000"/>
                <w:sz w:val="22"/>
                <w:szCs w:val="22"/>
                <w:lang w:eastAsia="en-US"/>
              </w:rPr>
              <w:t xml:space="preserve">inför </w:t>
            </w:r>
            <w:r w:rsidR="00715978">
              <w:rPr>
                <w:rFonts w:eastAsia="Calibri"/>
                <w:bCs/>
                <w:color w:val="000000"/>
                <w:sz w:val="22"/>
                <w:szCs w:val="22"/>
                <w:lang w:eastAsia="en-US"/>
              </w:rPr>
              <w:t xml:space="preserve">jordbruks- och fiskeråd </w:t>
            </w:r>
            <w:r w:rsidR="00715978" w:rsidRPr="005B4C13">
              <w:rPr>
                <w:rFonts w:eastAsia="Calibri"/>
                <w:bCs/>
                <w:color w:val="000000"/>
                <w:sz w:val="22"/>
                <w:szCs w:val="22"/>
                <w:lang w:eastAsia="en-US"/>
              </w:rPr>
              <w:t xml:space="preserve">den </w:t>
            </w:r>
            <w:r w:rsidR="00715978">
              <w:rPr>
                <w:rFonts w:eastAsia="Calibri"/>
                <w:bCs/>
                <w:color w:val="000000"/>
                <w:sz w:val="22"/>
                <w:szCs w:val="22"/>
                <w:lang w:eastAsia="en-US"/>
              </w:rPr>
              <w:t>14–15</w:t>
            </w:r>
            <w:r w:rsidR="00715978" w:rsidRPr="005B4C13">
              <w:rPr>
                <w:rFonts w:eastAsia="Calibri"/>
                <w:bCs/>
                <w:color w:val="000000"/>
                <w:sz w:val="22"/>
                <w:szCs w:val="22"/>
                <w:lang w:eastAsia="en-US"/>
              </w:rPr>
              <w:t xml:space="preserve"> oktober 2019. </w:t>
            </w:r>
          </w:p>
          <w:p w:rsidR="0089449A" w:rsidRPr="0089449A" w:rsidRDefault="0089449A" w:rsidP="00291836">
            <w:pPr>
              <w:rPr>
                <w:b/>
                <w:snapToGrid w:val="0"/>
                <w:sz w:val="22"/>
                <w:szCs w:val="22"/>
              </w:rPr>
            </w:pPr>
          </w:p>
        </w:tc>
      </w:tr>
      <w:tr w:rsidR="00D30A97" w:rsidRPr="0089449A" w:rsidTr="00C5706E">
        <w:tc>
          <w:tcPr>
            <w:tcW w:w="567" w:type="dxa"/>
          </w:tcPr>
          <w:p w:rsidR="00D30A97" w:rsidRPr="0089449A" w:rsidRDefault="00D30A97" w:rsidP="00C5706E">
            <w:pPr>
              <w:tabs>
                <w:tab w:val="left" w:pos="1701"/>
              </w:tabs>
              <w:rPr>
                <w:b/>
                <w:snapToGrid w:val="0"/>
                <w:sz w:val="22"/>
                <w:szCs w:val="22"/>
              </w:rPr>
            </w:pPr>
            <w:r w:rsidRPr="0089449A">
              <w:rPr>
                <w:b/>
                <w:snapToGrid w:val="0"/>
                <w:sz w:val="22"/>
                <w:szCs w:val="22"/>
              </w:rPr>
              <w:t>§ 3</w:t>
            </w:r>
          </w:p>
        </w:tc>
        <w:tc>
          <w:tcPr>
            <w:tcW w:w="6946" w:type="dxa"/>
            <w:gridSpan w:val="2"/>
          </w:tcPr>
          <w:p w:rsidR="00C80875" w:rsidRPr="0089449A" w:rsidRDefault="00C80875" w:rsidP="00C80875">
            <w:pPr>
              <w:widowControl/>
              <w:autoSpaceDE w:val="0"/>
              <w:autoSpaceDN w:val="0"/>
              <w:adjustRightInd w:val="0"/>
              <w:spacing w:after="120"/>
              <w:rPr>
                <w:b/>
                <w:bCs/>
                <w:color w:val="000000"/>
                <w:sz w:val="22"/>
                <w:szCs w:val="22"/>
              </w:rPr>
            </w:pPr>
            <w:r w:rsidRPr="0089449A">
              <w:rPr>
                <w:b/>
                <w:bCs/>
                <w:color w:val="000000"/>
                <w:sz w:val="22"/>
                <w:szCs w:val="22"/>
              </w:rPr>
              <w:t>Justering av protokoll</w:t>
            </w:r>
          </w:p>
          <w:p w:rsidR="00C80875" w:rsidRPr="0089449A" w:rsidRDefault="00C80875" w:rsidP="00F02E0D">
            <w:pPr>
              <w:spacing w:after="240"/>
              <w:rPr>
                <w:snapToGrid w:val="0"/>
                <w:sz w:val="22"/>
                <w:szCs w:val="22"/>
              </w:rPr>
            </w:pPr>
            <w:r>
              <w:rPr>
                <w:snapToGrid w:val="0"/>
                <w:sz w:val="22"/>
                <w:szCs w:val="22"/>
              </w:rPr>
              <w:t>Utskottet justerade protokoll 2019/20:3.</w:t>
            </w:r>
          </w:p>
          <w:p w:rsidR="00A438D1" w:rsidRPr="0089449A" w:rsidRDefault="00A438D1" w:rsidP="00C80875">
            <w:pPr>
              <w:tabs>
                <w:tab w:val="left" w:pos="1701"/>
              </w:tabs>
              <w:rPr>
                <w:b/>
                <w:snapToGrid w:val="0"/>
                <w:sz w:val="22"/>
                <w:szCs w:val="22"/>
              </w:rPr>
            </w:pPr>
          </w:p>
        </w:tc>
      </w:tr>
      <w:tr w:rsidR="00BC679D" w:rsidRPr="0089449A" w:rsidTr="00C5706E">
        <w:tc>
          <w:tcPr>
            <w:tcW w:w="567" w:type="dxa"/>
          </w:tcPr>
          <w:p w:rsidR="00BC679D" w:rsidRPr="0089449A" w:rsidRDefault="001B16FE" w:rsidP="00C5706E">
            <w:pPr>
              <w:tabs>
                <w:tab w:val="left" w:pos="1701"/>
              </w:tabs>
              <w:rPr>
                <w:b/>
                <w:snapToGrid w:val="0"/>
                <w:sz w:val="22"/>
                <w:szCs w:val="22"/>
              </w:rPr>
            </w:pPr>
            <w:r>
              <w:rPr>
                <w:b/>
                <w:snapToGrid w:val="0"/>
                <w:sz w:val="22"/>
                <w:szCs w:val="22"/>
              </w:rPr>
              <w:t>§ 4</w:t>
            </w:r>
          </w:p>
        </w:tc>
        <w:tc>
          <w:tcPr>
            <w:tcW w:w="6946" w:type="dxa"/>
            <w:gridSpan w:val="2"/>
          </w:tcPr>
          <w:p w:rsidR="00C80875" w:rsidRPr="00760B49" w:rsidRDefault="00C80875" w:rsidP="005555B4">
            <w:pPr>
              <w:spacing w:after="240"/>
              <w:rPr>
                <w:b/>
                <w:bCs/>
                <w:color w:val="000000"/>
                <w:sz w:val="22"/>
                <w:szCs w:val="22"/>
              </w:rPr>
            </w:pPr>
            <w:r>
              <w:rPr>
                <w:b/>
                <w:bCs/>
                <w:color w:val="000000"/>
                <w:sz w:val="22"/>
                <w:szCs w:val="22"/>
              </w:rPr>
              <w:t xml:space="preserve">Utgiftsramar för utgiftsområdena 20 </w:t>
            </w:r>
            <w:r w:rsidR="00490CCE" w:rsidRPr="00490CCE">
              <w:rPr>
                <w:b/>
                <w:bCs/>
                <w:color w:val="000000"/>
                <w:sz w:val="22"/>
                <w:szCs w:val="22"/>
              </w:rPr>
              <w:t xml:space="preserve">Allmän miljö- och naturvård </w:t>
            </w:r>
            <w:r>
              <w:rPr>
                <w:b/>
                <w:bCs/>
                <w:color w:val="000000"/>
                <w:sz w:val="22"/>
                <w:szCs w:val="22"/>
              </w:rPr>
              <w:t>och 23</w:t>
            </w:r>
            <w:r w:rsidR="00490CCE">
              <w:rPr>
                <w:b/>
                <w:bCs/>
                <w:color w:val="000000"/>
                <w:sz w:val="22"/>
                <w:szCs w:val="22"/>
              </w:rPr>
              <w:t xml:space="preserve"> </w:t>
            </w:r>
            <w:r w:rsidR="00490CCE" w:rsidRPr="00490CCE">
              <w:rPr>
                <w:b/>
                <w:bCs/>
                <w:color w:val="000000"/>
                <w:sz w:val="22"/>
                <w:szCs w:val="22"/>
              </w:rPr>
              <w:t>Areella näringar</w:t>
            </w:r>
            <w:r w:rsidR="00490CCE">
              <w:rPr>
                <w:b/>
                <w:bCs/>
                <w:color w:val="000000"/>
                <w:sz w:val="22"/>
                <w:szCs w:val="22"/>
              </w:rPr>
              <w:t>, landsbygd och livsmedel</w:t>
            </w:r>
          </w:p>
          <w:p w:rsidR="00ED493E" w:rsidRPr="005555B4" w:rsidRDefault="00ED493E" w:rsidP="00ED493E">
            <w:pPr>
              <w:tabs>
                <w:tab w:val="left" w:pos="1701"/>
              </w:tabs>
              <w:rPr>
                <w:rFonts w:eastAsiaTheme="minorHAnsi"/>
                <w:color w:val="000000"/>
                <w:sz w:val="22"/>
                <w:szCs w:val="22"/>
                <w:lang w:eastAsia="en-US"/>
              </w:rPr>
            </w:pPr>
            <w:r w:rsidRPr="005555B4">
              <w:rPr>
                <w:color w:val="000000"/>
                <w:sz w:val="22"/>
                <w:szCs w:val="22"/>
              </w:rPr>
              <w:t xml:space="preserve">Utskottet behandlade frågan om yttrande till finansutskottet över proposition 2019/20:1, </w:t>
            </w:r>
            <w:r w:rsidRPr="005555B4">
              <w:rPr>
                <w:sz w:val="22"/>
                <w:szCs w:val="22"/>
              </w:rPr>
              <w:t>när det gäller utgiftsramar för utgiftsområdena 20 och 23.</w:t>
            </w:r>
            <w:r w:rsidRPr="005555B4">
              <w:rPr>
                <w:b/>
                <w:i/>
                <w:color w:val="000000"/>
                <w:sz w:val="22"/>
                <w:szCs w:val="22"/>
                <w:highlight w:val="yellow"/>
              </w:rPr>
              <w:br/>
            </w:r>
            <w:r w:rsidRPr="005555B4">
              <w:rPr>
                <w:color w:val="000000"/>
                <w:sz w:val="22"/>
                <w:szCs w:val="22"/>
              </w:rPr>
              <w:br/>
            </w:r>
            <w:r w:rsidRPr="005555B4">
              <w:rPr>
                <w:rFonts w:eastAsiaTheme="minorHAnsi"/>
                <w:color w:val="000000"/>
                <w:sz w:val="22"/>
                <w:szCs w:val="22"/>
                <w:lang w:eastAsia="en-US"/>
              </w:rPr>
              <w:t>Utskottet beslutade att yttra sig.</w:t>
            </w:r>
            <w:r w:rsidR="005555B4">
              <w:rPr>
                <w:rFonts w:eastAsiaTheme="minorHAnsi"/>
                <w:color w:val="000000"/>
                <w:sz w:val="22"/>
                <w:szCs w:val="22"/>
                <w:lang w:eastAsia="en-US"/>
              </w:rPr>
              <w:br/>
            </w:r>
          </w:p>
          <w:p w:rsidR="00ED493E" w:rsidRPr="005555B4" w:rsidRDefault="00ED493E" w:rsidP="00ED493E">
            <w:pPr>
              <w:tabs>
                <w:tab w:val="left" w:pos="1701"/>
              </w:tabs>
              <w:rPr>
                <w:rFonts w:eastAsiaTheme="minorHAnsi"/>
                <w:color w:val="000000"/>
                <w:sz w:val="22"/>
                <w:szCs w:val="22"/>
                <w:lang w:eastAsia="en-US"/>
              </w:rPr>
            </w:pPr>
            <w:r w:rsidRPr="005555B4">
              <w:rPr>
                <w:rFonts w:eastAsiaTheme="minorHAnsi"/>
                <w:color w:val="000000"/>
                <w:sz w:val="22"/>
                <w:szCs w:val="22"/>
                <w:lang w:eastAsia="en-US"/>
              </w:rPr>
              <w:t>Ärendet bordlades.</w:t>
            </w:r>
          </w:p>
          <w:p w:rsidR="00715978" w:rsidRPr="005A5302" w:rsidRDefault="00715978" w:rsidP="00C80875">
            <w:pPr>
              <w:rPr>
                <w:color w:val="000000"/>
                <w:sz w:val="22"/>
                <w:szCs w:val="22"/>
              </w:rPr>
            </w:pPr>
          </w:p>
        </w:tc>
      </w:tr>
      <w:tr w:rsidR="001A35A0" w:rsidRPr="0089449A" w:rsidTr="00C5706E">
        <w:tc>
          <w:tcPr>
            <w:tcW w:w="567" w:type="dxa"/>
          </w:tcPr>
          <w:p w:rsidR="001A35A0" w:rsidRPr="0089449A" w:rsidRDefault="001A35A0" w:rsidP="00C5706E">
            <w:pPr>
              <w:tabs>
                <w:tab w:val="left" w:pos="1701"/>
              </w:tabs>
              <w:rPr>
                <w:b/>
                <w:snapToGrid w:val="0"/>
                <w:sz w:val="22"/>
                <w:szCs w:val="22"/>
              </w:rPr>
            </w:pPr>
            <w:r w:rsidRPr="0089449A">
              <w:rPr>
                <w:b/>
                <w:snapToGrid w:val="0"/>
                <w:sz w:val="22"/>
                <w:szCs w:val="22"/>
              </w:rPr>
              <w:t xml:space="preserve">§ </w:t>
            </w:r>
            <w:r w:rsidR="001B16FE">
              <w:rPr>
                <w:b/>
                <w:snapToGrid w:val="0"/>
                <w:sz w:val="22"/>
                <w:szCs w:val="22"/>
              </w:rPr>
              <w:t>5</w:t>
            </w:r>
            <w:r w:rsidRPr="0089449A">
              <w:rPr>
                <w:b/>
                <w:snapToGrid w:val="0"/>
                <w:sz w:val="22"/>
                <w:szCs w:val="22"/>
              </w:rPr>
              <w:t xml:space="preserve"> </w:t>
            </w:r>
          </w:p>
        </w:tc>
        <w:tc>
          <w:tcPr>
            <w:tcW w:w="6946" w:type="dxa"/>
            <w:gridSpan w:val="2"/>
          </w:tcPr>
          <w:p w:rsidR="00C80875" w:rsidRDefault="00C80875" w:rsidP="003522EB">
            <w:pPr>
              <w:widowControl/>
              <w:autoSpaceDE w:val="0"/>
              <w:autoSpaceDN w:val="0"/>
              <w:adjustRightInd w:val="0"/>
              <w:spacing w:after="120"/>
              <w:rPr>
                <w:bCs/>
                <w:color w:val="000000"/>
                <w:sz w:val="22"/>
                <w:szCs w:val="22"/>
              </w:rPr>
            </w:pPr>
            <w:r>
              <w:rPr>
                <w:b/>
                <w:bCs/>
                <w:color w:val="000000"/>
                <w:sz w:val="22"/>
                <w:szCs w:val="22"/>
              </w:rPr>
              <w:t>Höständringsbudget för 2019</w:t>
            </w:r>
          </w:p>
          <w:p w:rsidR="00305501" w:rsidRDefault="00ED493E" w:rsidP="005555B4">
            <w:pPr>
              <w:widowControl/>
              <w:autoSpaceDE w:val="0"/>
              <w:autoSpaceDN w:val="0"/>
              <w:adjustRightInd w:val="0"/>
              <w:rPr>
                <w:rFonts w:eastAsiaTheme="minorHAnsi"/>
                <w:b/>
                <w:bCs/>
                <w:color w:val="000000"/>
                <w:sz w:val="22"/>
                <w:szCs w:val="22"/>
                <w:lang w:eastAsia="en-US"/>
              </w:rPr>
            </w:pPr>
            <w:r w:rsidRPr="00ED493E">
              <w:rPr>
                <w:bCs/>
                <w:color w:val="000000"/>
                <w:sz w:val="22"/>
                <w:szCs w:val="22"/>
              </w:rPr>
              <w:t>Utskottet behandlade frågan om yttrande till finansutskottet över proposition 201</w:t>
            </w:r>
            <w:r>
              <w:rPr>
                <w:bCs/>
                <w:color w:val="000000"/>
                <w:sz w:val="22"/>
                <w:szCs w:val="22"/>
              </w:rPr>
              <w:t>9</w:t>
            </w:r>
            <w:r w:rsidRPr="00ED493E">
              <w:rPr>
                <w:bCs/>
                <w:color w:val="000000"/>
                <w:sz w:val="22"/>
                <w:szCs w:val="22"/>
              </w:rPr>
              <w:t>/</w:t>
            </w:r>
            <w:r>
              <w:rPr>
                <w:bCs/>
                <w:color w:val="000000"/>
                <w:sz w:val="22"/>
                <w:szCs w:val="22"/>
              </w:rPr>
              <w:t>20</w:t>
            </w:r>
            <w:r w:rsidRPr="00ED493E">
              <w:rPr>
                <w:bCs/>
                <w:color w:val="000000"/>
                <w:sz w:val="22"/>
                <w:szCs w:val="22"/>
              </w:rPr>
              <w:t>:2 när det gäller utgiftsområde</w:t>
            </w:r>
            <w:r w:rsidR="002E07DA">
              <w:rPr>
                <w:bCs/>
                <w:color w:val="000000"/>
                <w:sz w:val="22"/>
                <w:szCs w:val="22"/>
              </w:rPr>
              <w:t>na</w:t>
            </w:r>
            <w:r w:rsidRPr="00ED493E">
              <w:rPr>
                <w:bCs/>
                <w:color w:val="000000"/>
                <w:sz w:val="22"/>
                <w:szCs w:val="22"/>
              </w:rPr>
              <w:t xml:space="preserve"> 20 och 23.</w:t>
            </w:r>
            <w:r w:rsidR="003522EB">
              <w:rPr>
                <w:bCs/>
                <w:color w:val="000000"/>
                <w:sz w:val="22"/>
                <w:szCs w:val="22"/>
              </w:rPr>
              <w:br/>
            </w:r>
          </w:p>
          <w:p w:rsidR="005555B4" w:rsidRPr="005555B4" w:rsidRDefault="005555B4" w:rsidP="005555B4">
            <w:pPr>
              <w:tabs>
                <w:tab w:val="left" w:pos="1701"/>
              </w:tabs>
              <w:rPr>
                <w:rFonts w:eastAsiaTheme="minorHAnsi"/>
                <w:color w:val="000000"/>
                <w:sz w:val="22"/>
                <w:szCs w:val="22"/>
                <w:lang w:eastAsia="en-US"/>
              </w:rPr>
            </w:pPr>
            <w:r w:rsidRPr="005555B4">
              <w:rPr>
                <w:rFonts w:eastAsiaTheme="minorHAnsi"/>
                <w:color w:val="000000"/>
                <w:sz w:val="22"/>
                <w:szCs w:val="22"/>
                <w:lang w:eastAsia="en-US"/>
              </w:rPr>
              <w:t>Utskottet beslutade att yttra sig.</w:t>
            </w:r>
            <w:r>
              <w:rPr>
                <w:rFonts w:eastAsiaTheme="minorHAnsi"/>
                <w:color w:val="000000"/>
                <w:sz w:val="22"/>
                <w:szCs w:val="22"/>
                <w:lang w:eastAsia="en-US"/>
              </w:rPr>
              <w:br/>
            </w:r>
          </w:p>
          <w:p w:rsidR="005555B4" w:rsidRPr="005555B4" w:rsidRDefault="005555B4" w:rsidP="005555B4">
            <w:pPr>
              <w:tabs>
                <w:tab w:val="left" w:pos="1701"/>
              </w:tabs>
              <w:rPr>
                <w:rFonts w:eastAsiaTheme="minorHAnsi"/>
                <w:color w:val="000000"/>
                <w:sz w:val="22"/>
                <w:szCs w:val="22"/>
                <w:lang w:eastAsia="en-US"/>
              </w:rPr>
            </w:pPr>
            <w:r w:rsidRPr="005555B4">
              <w:rPr>
                <w:rFonts w:eastAsiaTheme="minorHAnsi"/>
                <w:color w:val="000000"/>
                <w:sz w:val="22"/>
                <w:szCs w:val="22"/>
                <w:lang w:eastAsia="en-US"/>
              </w:rPr>
              <w:t>Ärendet bordlades.</w:t>
            </w:r>
          </w:p>
          <w:p w:rsidR="005555B4" w:rsidRPr="0089449A" w:rsidRDefault="005555B4" w:rsidP="003522EB">
            <w:pPr>
              <w:widowControl/>
              <w:autoSpaceDE w:val="0"/>
              <w:autoSpaceDN w:val="0"/>
              <w:adjustRightInd w:val="0"/>
              <w:spacing w:after="120"/>
              <w:rPr>
                <w:rFonts w:eastAsiaTheme="minorHAnsi"/>
                <w:b/>
                <w:bCs/>
                <w:color w:val="000000"/>
                <w:sz w:val="22"/>
                <w:szCs w:val="22"/>
                <w:lang w:eastAsia="en-US"/>
              </w:rPr>
            </w:pPr>
          </w:p>
        </w:tc>
      </w:tr>
      <w:tr w:rsidR="00C80875" w:rsidRPr="0089449A" w:rsidTr="00C5706E">
        <w:tc>
          <w:tcPr>
            <w:tcW w:w="567" w:type="dxa"/>
          </w:tcPr>
          <w:p w:rsidR="00C80875" w:rsidRPr="0089449A" w:rsidRDefault="00C80875" w:rsidP="00C5706E">
            <w:pPr>
              <w:tabs>
                <w:tab w:val="left" w:pos="1701"/>
              </w:tabs>
              <w:rPr>
                <w:b/>
                <w:snapToGrid w:val="0"/>
                <w:sz w:val="22"/>
                <w:szCs w:val="22"/>
              </w:rPr>
            </w:pPr>
            <w:r>
              <w:rPr>
                <w:b/>
                <w:snapToGrid w:val="0"/>
                <w:sz w:val="22"/>
                <w:szCs w:val="22"/>
              </w:rPr>
              <w:t xml:space="preserve">§ 6 </w:t>
            </w:r>
          </w:p>
        </w:tc>
        <w:tc>
          <w:tcPr>
            <w:tcW w:w="6946" w:type="dxa"/>
            <w:gridSpan w:val="2"/>
          </w:tcPr>
          <w:p w:rsidR="00C80875" w:rsidRDefault="00C80875" w:rsidP="003522EB">
            <w:pPr>
              <w:widowControl/>
              <w:autoSpaceDE w:val="0"/>
              <w:autoSpaceDN w:val="0"/>
              <w:adjustRightInd w:val="0"/>
              <w:spacing w:after="120"/>
              <w:rPr>
                <w:b/>
                <w:bCs/>
                <w:color w:val="000000"/>
                <w:sz w:val="22"/>
                <w:szCs w:val="22"/>
              </w:rPr>
            </w:pPr>
            <w:r>
              <w:rPr>
                <w:b/>
                <w:bCs/>
                <w:color w:val="000000"/>
                <w:sz w:val="22"/>
                <w:szCs w:val="22"/>
              </w:rPr>
              <w:t>Förstudie angående lantbrukets sårbarhet</w:t>
            </w:r>
          </w:p>
          <w:p w:rsidR="00702C9F" w:rsidRDefault="00702C9F" w:rsidP="00684BE6">
            <w:pPr>
              <w:widowControl/>
              <w:autoSpaceDE w:val="0"/>
              <w:autoSpaceDN w:val="0"/>
              <w:adjustRightInd w:val="0"/>
              <w:rPr>
                <w:bCs/>
                <w:color w:val="000000"/>
                <w:sz w:val="22"/>
                <w:szCs w:val="22"/>
              </w:rPr>
            </w:pPr>
            <w:r>
              <w:rPr>
                <w:bCs/>
                <w:color w:val="000000"/>
                <w:sz w:val="22"/>
                <w:szCs w:val="22"/>
              </w:rPr>
              <w:t>Uppföljning och utvärderingsgruppen presenterade den färdiga f</w:t>
            </w:r>
            <w:r w:rsidR="00ED493E" w:rsidRPr="00ED493E">
              <w:rPr>
                <w:bCs/>
                <w:color w:val="000000"/>
                <w:sz w:val="22"/>
                <w:szCs w:val="22"/>
              </w:rPr>
              <w:t xml:space="preserve">örstudien </w:t>
            </w:r>
            <w:r w:rsidR="006E5B67">
              <w:rPr>
                <w:bCs/>
                <w:color w:val="000000"/>
                <w:sz w:val="22"/>
                <w:szCs w:val="22"/>
              </w:rPr>
              <w:t>om</w:t>
            </w:r>
            <w:r w:rsidR="00ED493E" w:rsidRPr="00ED493E">
              <w:rPr>
                <w:bCs/>
                <w:color w:val="000000"/>
                <w:sz w:val="22"/>
                <w:szCs w:val="22"/>
              </w:rPr>
              <w:t xml:space="preserve"> lantbrukets sårbarhe</w:t>
            </w:r>
            <w:r w:rsidR="008664D7">
              <w:rPr>
                <w:bCs/>
                <w:color w:val="000000"/>
                <w:sz w:val="22"/>
                <w:szCs w:val="22"/>
              </w:rPr>
              <w:t>t</w:t>
            </w:r>
            <w:r w:rsidR="00ED493E" w:rsidRPr="00ED493E">
              <w:rPr>
                <w:bCs/>
                <w:color w:val="000000"/>
                <w:sz w:val="22"/>
                <w:szCs w:val="22"/>
              </w:rPr>
              <w:t>.</w:t>
            </w:r>
            <w:r w:rsidR="00ED493E">
              <w:rPr>
                <w:bCs/>
                <w:color w:val="000000"/>
                <w:sz w:val="22"/>
                <w:szCs w:val="22"/>
              </w:rPr>
              <w:t xml:space="preserve"> </w:t>
            </w:r>
          </w:p>
          <w:p w:rsidR="00684BE6" w:rsidRDefault="00684BE6" w:rsidP="003522EB">
            <w:pPr>
              <w:widowControl/>
              <w:autoSpaceDE w:val="0"/>
              <w:autoSpaceDN w:val="0"/>
              <w:adjustRightInd w:val="0"/>
              <w:spacing w:after="120"/>
              <w:rPr>
                <w:bCs/>
                <w:color w:val="000000"/>
                <w:sz w:val="22"/>
                <w:szCs w:val="22"/>
              </w:rPr>
            </w:pPr>
          </w:p>
          <w:p w:rsidR="00702C9F" w:rsidRDefault="00ED493E" w:rsidP="00F50E47">
            <w:pPr>
              <w:widowControl/>
              <w:autoSpaceDE w:val="0"/>
              <w:autoSpaceDN w:val="0"/>
              <w:adjustRightInd w:val="0"/>
              <w:rPr>
                <w:bCs/>
                <w:color w:val="000000"/>
                <w:sz w:val="22"/>
                <w:szCs w:val="22"/>
              </w:rPr>
            </w:pPr>
            <w:r>
              <w:rPr>
                <w:bCs/>
                <w:color w:val="000000"/>
                <w:sz w:val="22"/>
                <w:szCs w:val="22"/>
              </w:rPr>
              <w:t>Utskottet beslutade att</w:t>
            </w:r>
            <w:r w:rsidR="005555B4">
              <w:rPr>
                <w:bCs/>
                <w:color w:val="000000"/>
                <w:sz w:val="22"/>
                <w:szCs w:val="22"/>
              </w:rPr>
              <w:t xml:space="preserve"> inleda en </w:t>
            </w:r>
            <w:r w:rsidR="00702C9F">
              <w:rPr>
                <w:bCs/>
                <w:color w:val="000000"/>
                <w:sz w:val="22"/>
                <w:szCs w:val="22"/>
              </w:rPr>
              <w:t>fördjupad uppföljning.</w:t>
            </w:r>
          </w:p>
          <w:p w:rsidR="0059485C" w:rsidRDefault="0059485C" w:rsidP="00F50E47">
            <w:pPr>
              <w:widowControl/>
              <w:autoSpaceDE w:val="0"/>
              <w:autoSpaceDN w:val="0"/>
              <w:adjustRightInd w:val="0"/>
              <w:rPr>
                <w:bCs/>
                <w:color w:val="000000"/>
                <w:sz w:val="22"/>
                <w:szCs w:val="22"/>
              </w:rPr>
            </w:pPr>
          </w:p>
          <w:p w:rsidR="0059485C" w:rsidRDefault="0059485C" w:rsidP="00F50E47">
            <w:pPr>
              <w:widowControl/>
              <w:autoSpaceDE w:val="0"/>
              <w:autoSpaceDN w:val="0"/>
              <w:adjustRightInd w:val="0"/>
              <w:rPr>
                <w:bCs/>
                <w:color w:val="000000"/>
                <w:sz w:val="22"/>
                <w:szCs w:val="22"/>
              </w:rPr>
            </w:pPr>
            <w:r>
              <w:rPr>
                <w:bCs/>
                <w:color w:val="000000"/>
                <w:sz w:val="22"/>
                <w:szCs w:val="22"/>
              </w:rPr>
              <w:t>Ärendet bordlades.</w:t>
            </w:r>
          </w:p>
          <w:p w:rsidR="005555B4" w:rsidRPr="00ED493E" w:rsidRDefault="005555B4" w:rsidP="003522EB">
            <w:pPr>
              <w:widowControl/>
              <w:autoSpaceDE w:val="0"/>
              <w:autoSpaceDN w:val="0"/>
              <w:adjustRightInd w:val="0"/>
              <w:spacing w:after="120"/>
              <w:rPr>
                <w:bCs/>
                <w:color w:val="000000"/>
                <w:sz w:val="22"/>
                <w:szCs w:val="22"/>
              </w:rPr>
            </w:pPr>
          </w:p>
        </w:tc>
      </w:tr>
      <w:tr w:rsidR="00C80875" w:rsidRPr="0089449A" w:rsidTr="00C5706E">
        <w:tc>
          <w:tcPr>
            <w:tcW w:w="567" w:type="dxa"/>
          </w:tcPr>
          <w:p w:rsidR="00C80875" w:rsidRDefault="00C80875" w:rsidP="00C5706E">
            <w:pPr>
              <w:tabs>
                <w:tab w:val="left" w:pos="1701"/>
              </w:tabs>
              <w:rPr>
                <w:b/>
                <w:snapToGrid w:val="0"/>
                <w:sz w:val="22"/>
                <w:szCs w:val="22"/>
              </w:rPr>
            </w:pPr>
            <w:r>
              <w:rPr>
                <w:b/>
                <w:snapToGrid w:val="0"/>
                <w:sz w:val="22"/>
                <w:szCs w:val="22"/>
              </w:rPr>
              <w:t xml:space="preserve">§ 7 </w:t>
            </w:r>
          </w:p>
        </w:tc>
        <w:tc>
          <w:tcPr>
            <w:tcW w:w="6946" w:type="dxa"/>
            <w:gridSpan w:val="2"/>
          </w:tcPr>
          <w:p w:rsidR="00C80875" w:rsidRDefault="00C80875" w:rsidP="003522EB">
            <w:pPr>
              <w:widowControl/>
              <w:autoSpaceDE w:val="0"/>
              <w:autoSpaceDN w:val="0"/>
              <w:adjustRightInd w:val="0"/>
              <w:spacing w:after="120"/>
              <w:rPr>
                <w:b/>
                <w:bCs/>
                <w:color w:val="000000"/>
                <w:sz w:val="22"/>
                <w:szCs w:val="22"/>
              </w:rPr>
            </w:pPr>
            <w:r>
              <w:rPr>
                <w:b/>
                <w:bCs/>
                <w:color w:val="000000"/>
                <w:sz w:val="22"/>
                <w:szCs w:val="22"/>
              </w:rPr>
              <w:t>Inkomna EU-dokument</w:t>
            </w:r>
          </w:p>
          <w:p w:rsidR="00E83F33" w:rsidRPr="008F4E40" w:rsidRDefault="00E83F33" w:rsidP="00E83F33">
            <w:pPr>
              <w:tabs>
                <w:tab w:val="left" w:pos="1701"/>
              </w:tabs>
              <w:rPr>
                <w:snapToGrid w:val="0"/>
                <w:sz w:val="22"/>
                <w:szCs w:val="22"/>
              </w:rPr>
            </w:pPr>
            <w:r w:rsidRPr="008F4E40">
              <w:rPr>
                <w:snapToGrid w:val="0"/>
                <w:sz w:val="22"/>
                <w:szCs w:val="22"/>
              </w:rPr>
              <w:t>Inkomna EU-dokument m.m. enligt bilaga 2 anmäldes</w:t>
            </w:r>
            <w:r w:rsidR="00C45C06">
              <w:rPr>
                <w:snapToGrid w:val="0"/>
                <w:sz w:val="22"/>
                <w:szCs w:val="22"/>
              </w:rPr>
              <w:t xml:space="preserve"> och lades till handlingarna.</w:t>
            </w:r>
          </w:p>
          <w:p w:rsidR="00E83F33" w:rsidRDefault="00E83F33" w:rsidP="003522EB">
            <w:pPr>
              <w:widowControl/>
              <w:autoSpaceDE w:val="0"/>
              <w:autoSpaceDN w:val="0"/>
              <w:adjustRightInd w:val="0"/>
              <w:spacing w:after="120"/>
              <w:rPr>
                <w:b/>
                <w:bCs/>
                <w:color w:val="000000"/>
                <w:sz w:val="22"/>
                <w:szCs w:val="22"/>
              </w:rPr>
            </w:pPr>
          </w:p>
        </w:tc>
      </w:tr>
      <w:tr w:rsidR="00C80875" w:rsidRPr="0089449A" w:rsidTr="00C5706E">
        <w:tc>
          <w:tcPr>
            <w:tcW w:w="567" w:type="dxa"/>
          </w:tcPr>
          <w:p w:rsidR="00C80875" w:rsidRDefault="00C80875" w:rsidP="00C5706E">
            <w:pPr>
              <w:tabs>
                <w:tab w:val="left" w:pos="1701"/>
              </w:tabs>
              <w:rPr>
                <w:b/>
                <w:snapToGrid w:val="0"/>
                <w:sz w:val="22"/>
                <w:szCs w:val="22"/>
              </w:rPr>
            </w:pPr>
            <w:r>
              <w:rPr>
                <w:b/>
                <w:snapToGrid w:val="0"/>
                <w:sz w:val="22"/>
                <w:szCs w:val="22"/>
              </w:rPr>
              <w:t>§ 8</w:t>
            </w:r>
          </w:p>
        </w:tc>
        <w:tc>
          <w:tcPr>
            <w:tcW w:w="6946" w:type="dxa"/>
            <w:gridSpan w:val="2"/>
          </w:tcPr>
          <w:p w:rsidR="00195185" w:rsidRPr="00195185" w:rsidRDefault="00C80875" w:rsidP="005555B4">
            <w:pPr>
              <w:spacing w:after="240"/>
              <w:rPr>
                <w:b/>
                <w:color w:val="000000"/>
                <w:sz w:val="22"/>
                <w:szCs w:val="22"/>
              </w:rPr>
            </w:pPr>
            <w:r w:rsidRPr="0089449A">
              <w:rPr>
                <w:b/>
                <w:color w:val="000000"/>
                <w:sz w:val="22"/>
                <w:szCs w:val="22"/>
              </w:rPr>
              <w:t>Inkomna skrivelser</w:t>
            </w:r>
          </w:p>
          <w:p w:rsidR="00C80875" w:rsidRPr="00195185" w:rsidRDefault="00C80875" w:rsidP="00195185">
            <w:pPr>
              <w:rPr>
                <w:b/>
                <w:color w:val="000000"/>
                <w:sz w:val="22"/>
                <w:szCs w:val="22"/>
              </w:rPr>
            </w:pPr>
            <w:r>
              <w:rPr>
                <w:rFonts w:eastAsiaTheme="minorHAnsi"/>
                <w:bCs/>
                <w:color w:val="000000"/>
                <w:sz w:val="22"/>
                <w:szCs w:val="22"/>
                <w:lang w:eastAsia="en-US"/>
              </w:rPr>
              <w:t>Två</w:t>
            </w:r>
            <w:r w:rsidRPr="0089449A">
              <w:rPr>
                <w:rFonts w:eastAsiaTheme="minorHAnsi"/>
                <w:bCs/>
                <w:color w:val="000000"/>
                <w:sz w:val="22"/>
                <w:szCs w:val="22"/>
                <w:lang w:eastAsia="en-US"/>
              </w:rPr>
              <w:t xml:space="preserve"> inkom</w:t>
            </w:r>
            <w:r>
              <w:rPr>
                <w:rFonts w:eastAsiaTheme="minorHAnsi"/>
                <w:bCs/>
                <w:color w:val="000000"/>
                <w:sz w:val="22"/>
                <w:szCs w:val="22"/>
                <w:lang w:eastAsia="en-US"/>
              </w:rPr>
              <w:t>na</w:t>
            </w:r>
            <w:r w:rsidRPr="0089449A">
              <w:rPr>
                <w:rFonts w:eastAsiaTheme="minorHAnsi"/>
                <w:bCs/>
                <w:color w:val="000000"/>
                <w:sz w:val="22"/>
                <w:szCs w:val="22"/>
                <w:lang w:eastAsia="en-US"/>
              </w:rPr>
              <w:t xml:space="preserve"> skrivelse</w:t>
            </w:r>
            <w:r>
              <w:rPr>
                <w:rFonts w:eastAsiaTheme="minorHAnsi"/>
                <w:bCs/>
                <w:color w:val="000000"/>
                <w:sz w:val="22"/>
                <w:szCs w:val="22"/>
                <w:lang w:eastAsia="en-US"/>
              </w:rPr>
              <w:t>r</w:t>
            </w:r>
            <w:r w:rsidRPr="0089449A">
              <w:rPr>
                <w:rFonts w:eastAsiaTheme="minorHAnsi"/>
                <w:bCs/>
                <w:color w:val="000000"/>
                <w:sz w:val="22"/>
                <w:szCs w:val="22"/>
                <w:lang w:eastAsia="en-US"/>
              </w:rPr>
              <w:t xml:space="preserve"> </w:t>
            </w:r>
            <w:r w:rsidRPr="0089449A">
              <w:rPr>
                <w:snapToGrid w:val="0"/>
                <w:sz w:val="22"/>
                <w:szCs w:val="22"/>
              </w:rPr>
              <w:t xml:space="preserve">enligt bilaga </w:t>
            </w:r>
            <w:r w:rsidR="00E77368">
              <w:rPr>
                <w:snapToGrid w:val="0"/>
                <w:sz w:val="22"/>
                <w:szCs w:val="22"/>
              </w:rPr>
              <w:t>3</w:t>
            </w:r>
            <w:r w:rsidRPr="0089449A">
              <w:rPr>
                <w:snapToGrid w:val="0"/>
                <w:sz w:val="22"/>
                <w:szCs w:val="22"/>
              </w:rPr>
              <w:t xml:space="preserve"> anmäldes </w:t>
            </w:r>
            <w:r w:rsidRPr="0089449A">
              <w:rPr>
                <w:rFonts w:eastAsiaTheme="minorHAnsi"/>
                <w:bCs/>
                <w:color w:val="000000"/>
                <w:sz w:val="22"/>
                <w:szCs w:val="22"/>
                <w:lang w:eastAsia="en-US"/>
              </w:rPr>
              <w:t>och lades till handlingarna.</w:t>
            </w:r>
          </w:p>
          <w:p w:rsidR="00C80875" w:rsidRDefault="00C80875" w:rsidP="003522EB">
            <w:pPr>
              <w:widowControl/>
              <w:autoSpaceDE w:val="0"/>
              <w:autoSpaceDN w:val="0"/>
              <w:adjustRightInd w:val="0"/>
              <w:spacing w:after="120"/>
              <w:rPr>
                <w:b/>
                <w:bCs/>
                <w:color w:val="000000"/>
                <w:sz w:val="22"/>
                <w:szCs w:val="22"/>
              </w:rPr>
            </w:pPr>
          </w:p>
        </w:tc>
      </w:tr>
      <w:tr w:rsidR="00C80875" w:rsidRPr="0089449A" w:rsidTr="00C5706E">
        <w:tc>
          <w:tcPr>
            <w:tcW w:w="567" w:type="dxa"/>
          </w:tcPr>
          <w:p w:rsidR="00C80875" w:rsidRDefault="00C80875" w:rsidP="00C5706E">
            <w:pPr>
              <w:tabs>
                <w:tab w:val="left" w:pos="1701"/>
              </w:tabs>
              <w:rPr>
                <w:b/>
                <w:snapToGrid w:val="0"/>
                <w:sz w:val="22"/>
                <w:szCs w:val="22"/>
              </w:rPr>
            </w:pPr>
            <w:r>
              <w:rPr>
                <w:b/>
                <w:snapToGrid w:val="0"/>
                <w:sz w:val="22"/>
                <w:szCs w:val="22"/>
              </w:rPr>
              <w:t>§ 9</w:t>
            </w:r>
          </w:p>
        </w:tc>
        <w:tc>
          <w:tcPr>
            <w:tcW w:w="6946" w:type="dxa"/>
            <w:gridSpan w:val="2"/>
          </w:tcPr>
          <w:p w:rsidR="005555B4" w:rsidRDefault="005555B4" w:rsidP="00C80875">
            <w:pPr>
              <w:rPr>
                <w:b/>
                <w:color w:val="000000"/>
                <w:sz w:val="22"/>
                <w:szCs w:val="22"/>
              </w:rPr>
            </w:pPr>
            <w:r>
              <w:rPr>
                <w:b/>
                <w:color w:val="000000"/>
                <w:sz w:val="22"/>
                <w:szCs w:val="22"/>
              </w:rPr>
              <w:t xml:space="preserve">Beslut om inhämtande av information </w:t>
            </w:r>
          </w:p>
          <w:p w:rsidR="005555B4" w:rsidRDefault="005555B4" w:rsidP="00C80875">
            <w:pPr>
              <w:rPr>
                <w:b/>
                <w:color w:val="000000"/>
                <w:sz w:val="22"/>
                <w:szCs w:val="22"/>
              </w:rPr>
            </w:pPr>
          </w:p>
          <w:p w:rsidR="00C45C06" w:rsidRDefault="00C45C06" w:rsidP="00C80875">
            <w:pPr>
              <w:rPr>
                <w:rFonts w:eastAsiaTheme="minorHAnsi"/>
                <w:bCs/>
                <w:color w:val="000000"/>
                <w:sz w:val="22"/>
                <w:szCs w:val="22"/>
                <w:lang w:eastAsia="en-US"/>
              </w:rPr>
            </w:pPr>
            <w:r w:rsidRPr="008F4E40">
              <w:rPr>
                <w:rFonts w:eastAsiaTheme="minorHAnsi"/>
                <w:bCs/>
                <w:color w:val="000000"/>
                <w:sz w:val="22"/>
                <w:szCs w:val="22"/>
                <w:lang w:eastAsia="en-US"/>
              </w:rPr>
              <w:t xml:space="preserve">På </w:t>
            </w:r>
            <w:r>
              <w:rPr>
                <w:rFonts w:eastAsiaTheme="minorHAnsi"/>
                <w:bCs/>
                <w:color w:val="000000"/>
                <w:sz w:val="22"/>
                <w:szCs w:val="22"/>
                <w:lang w:eastAsia="en-US"/>
              </w:rPr>
              <w:t>Magnus Oscarssons (KD) respektive Elin Segerlinds (V)</w:t>
            </w:r>
            <w:r w:rsidRPr="008F4E40">
              <w:rPr>
                <w:rFonts w:eastAsiaTheme="minorHAnsi"/>
                <w:bCs/>
                <w:color w:val="000000"/>
                <w:sz w:val="22"/>
                <w:szCs w:val="22"/>
                <w:lang w:eastAsia="en-US"/>
              </w:rPr>
              <w:t xml:space="preserve"> förslag beslutade utskottet att</w:t>
            </w:r>
            <w:r w:rsidR="005B186B">
              <w:rPr>
                <w:rFonts w:eastAsiaTheme="minorHAnsi"/>
                <w:bCs/>
                <w:color w:val="000000"/>
                <w:sz w:val="22"/>
                <w:szCs w:val="22"/>
                <w:lang w:eastAsia="en-US"/>
              </w:rPr>
              <w:t xml:space="preserve"> </w:t>
            </w:r>
            <w:r w:rsidR="0068409E">
              <w:rPr>
                <w:rFonts w:eastAsiaTheme="minorHAnsi"/>
                <w:bCs/>
                <w:color w:val="000000"/>
                <w:sz w:val="22"/>
                <w:szCs w:val="22"/>
                <w:lang w:eastAsia="en-US"/>
              </w:rPr>
              <w:t>bjuda in</w:t>
            </w:r>
            <w:r>
              <w:rPr>
                <w:rFonts w:eastAsiaTheme="minorHAnsi"/>
                <w:bCs/>
                <w:color w:val="000000"/>
                <w:sz w:val="22"/>
                <w:szCs w:val="22"/>
                <w:lang w:eastAsia="en-US"/>
              </w:rPr>
              <w:t>:</w:t>
            </w:r>
          </w:p>
          <w:p w:rsidR="00C45C06" w:rsidRDefault="00C45C06" w:rsidP="00C80875">
            <w:pPr>
              <w:rPr>
                <w:rFonts w:eastAsiaTheme="minorHAnsi"/>
                <w:bCs/>
                <w:color w:val="000000"/>
                <w:sz w:val="22"/>
                <w:szCs w:val="22"/>
                <w:lang w:eastAsia="en-US"/>
              </w:rPr>
            </w:pPr>
          </w:p>
          <w:p w:rsidR="00C45C06" w:rsidRDefault="003A040E" w:rsidP="00C45C06">
            <w:pPr>
              <w:pStyle w:val="Liststycke"/>
              <w:numPr>
                <w:ilvl w:val="0"/>
                <w:numId w:val="5"/>
              </w:numPr>
              <w:rPr>
                <w:color w:val="000000"/>
                <w:sz w:val="22"/>
                <w:szCs w:val="22"/>
              </w:rPr>
            </w:pPr>
            <w:r>
              <w:rPr>
                <w:color w:val="000000"/>
                <w:sz w:val="22"/>
                <w:szCs w:val="22"/>
              </w:rPr>
              <w:t>d</w:t>
            </w:r>
            <w:r w:rsidR="00803365">
              <w:rPr>
                <w:color w:val="000000"/>
                <w:sz w:val="22"/>
                <w:szCs w:val="22"/>
              </w:rPr>
              <w:t xml:space="preserve">els </w:t>
            </w:r>
            <w:r w:rsidR="005555B4" w:rsidRPr="00C45C06">
              <w:rPr>
                <w:color w:val="000000"/>
                <w:sz w:val="22"/>
                <w:szCs w:val="22"/>
              </w:rPr>
              <w:t>Naturvårdverket</w:t>
            </w:r>
            <w:r w:rsidR="00C16249">
              <w:rPr>
                <w:color w:val="000000"/>
                <w:sz w:val="22"/>
                <w:szCs w:val="22"/>
              </w:rPr>
              <w:t>s generaldirektör</w:t>
            </w:r>
            <w:r w:rsidR="0068409E">
              <w:rPr>
                <w:color w:val="000000"/>
                <w:sz w:val="22"/>
                <w:szCs w:val="22"/>
              </w:rPr>
              <w:t xml:space="preserve"> Björn Risinger</w:t>
            </w:r>
            <w:r w:rsidR="005B186B">
              <w:rPr>
                <w:color w:val="000000"/>
                <w:sz w:val="22"/>
                <w:szCs w:val="22"/>
              </w:rPr>
              <w:t>,</w:t>
            </w:r>
          </w:p>
          <w:p w:rsidR="00E83F33" w:rsidRPr="00C45C06" w:rsidRDefault="003A040E" w:rsidP="00C45C06">
            <w:pPr>
              <w:pStyle w:val="Liststycke"/>
              <w:numPr>
                <w:ilvl w:val="0"/>
                <w:numId w:val="5"/>
              </w:numPr>
              <w:rPr>
                <w:color w:val="000000"/>
                <w:sz w:val="22"/>
                <w:szCs w:val="22"/>
              </w:rPr>
            </w:pPr>
            <w:r>
              <w:rPr>
                <w:color w:val="000000"/>
                <w:sz w:val="22"/>
                <w:szCs w:val="22"/>
              </w:rPr>
              <w:t>d</w:t>
            </w:r>
            <w:r w:rsidR="00803365">
              <w:rPr>
                <w:color w:val="000000"/>
                <w:sz w:val="22"/>
                <w:szCs w:val="22"/>
              </w:rPr>
              <w:t xml:space="preserve">els </w:t>
            </w:r>
            <w:r w:rsidR="0068409E">
              <w:rPr>
                <w:color w:val="000000"/>
                <w:sz w:val="22"/>
                <w:szCs w:val="22"/>
              </w:rPr>
              <w:t xml:space="preserve">representanter för </w:t>
            </w:r>
            <w:r w:rsidR="00C45C06">
              <w:rPr>
                <w:color w:val="000000"/>
                <w:sz w:val="22"/>
                <w:szCs w:val="22"/>
              </w:rPr>
              <w:t>Sveriges 3R-center, Jordbruksverket</w:t>
            </w:r>
            <w:r w:rsidR="0068409E">
              <w:rPr>
                <w:color w:val="000000"/>
                <w:sz w:val="22"/>
                <w:szCs w:val="22"/>
              </w:rPr>
              <w:t>.</w:t>
            </w:r>
            <w:r w:rsidR="0068409E" w:rsidRPr="00C45C06">
              <w:rPr>
                <w:color w:val="000000"/>
                <w:sz w:val="22"/>
                <w:szCs w:val="22"/>
              </w:rPr>
              <w:t xml:space="preserve"> </w:t>
            </w:r>
            <w:r w:rsidR="005555B4" w:rsidRPr="00C45C06">
              <w:rPr>
                <w:color w:val="000000"/>
                <w:sz w:val="22"/>
                <w:szCs w:val="22"/>
              </w:rPr>
              <w:br/>
            </w:r>
          </w:p>
        </w:tc>
      </w:tr>
      <w:tr w:rsidR="00C80875" w:rsidRPr="0089449A" w:rsidTr="00C5706E">
        <w:tc>
          <w:tcPr>
            <w:tcW w:w="567" w:type="dxa"/>
          </w:tcPr>
          <w:p w:rsidR="00C80875" w:rsidRDefault="00C80875" w:rsidP="00C5706E">
            <w:pPr>
              <w:tabs>
                <w:tab w:val="left" w:pos="1701"/>
              </w:tabs>
              <w:rPr>
                <w:b/>
                <w:snapToGrid w:val="0"/>
                <w:sz w:val="22"/>
                <w:szCs w:val="22"/>
              </w:rPr>
            </w:pPr>
            <w:r>
              <w:rPr>
                <w:b/>
                <w:snapToGrid w:val="0"/>
                <w:sz w:val="22"/>
                <w:szCs w:val="22"/>
              </w:rPr>
              <w:t xml:space="preserve">§ 10 </w:t>
            </w:r>
          </w:p>
        </w:tc>
        <w:tc>
          <w:tcPr>
            <w:tcW w:w="6946" w:type="dxa"/>
            <w:gridSpan w:val="2"/>
          </w:tcPr>
          <w:p w:rsidR="00C80875" w:rsidRDefault="00C80875" w:rsidP="00F02E0D">
            <w:pPr>
              <w:spacing w:after="240"/>
              <w:rPr>
                <w:b/>
                <w:bCs/>
                <w:color w:val="000000"/>
                <w:sz w:val="22"/>
                <w:szCs w:val="22"/>
              </w:rPr>
            </w:pPr>
            <w:r>
              <w:rPr>
                <w:b/>
                <w:bCs/>
                <w:color w:val="000000"/>
                <w:sz w:val="22"/>
                <w:szCs w:val="22"/>
              </w:rPr>
              <w:t>Information från institutionen för akvatiska resurser vid SLU</w:t>
            </w:r>
          </w:p>
          <w:p w:rsidR="00E83F33" w:rsidRDefault="000B2546" w:rsidP="00F02E0D">
            <w:pPr>
              <w:rPr>
                <w:rFonts w:eastAsiaTheme="minorHAnsi"/>
                <w:bCs/>
                <w:color w:val="000000"/>
                <w:sz w:val="22"/>
                <w:szCs w:val="22"/>
                <w:lang w:eastAsia="en-US"/>
              </w:rPr>
            </w:pPr>
            <w:r>
              <w:rPr>
                <w:rFonts w:eastAsiaTheme="minorHAnsi"/>
                <w:bCs/>
                <w:color w:val="000000"/>
                <w:sz w:val="22"/>
                <w:szCs w:val="22"/>
                <w:lang w:eastAsia="en-US"/>
              </w:rPr>
              <w:t>Joakim Hjelm</w:t>
            </w:r>
            <w:r w:rsidRPr="00932561">
              <w:rPr>
                <w:rFonts w:eastAsiaTheme="minorHAnsi"/>
                <w:bCs/>
                <w:color w:val="000000"/>
                <w:sz w:val="22"/>
                <w:szCs w:val="22"/>
                <w:lang w:eastAsia="en-US"/>
              </w:rPr>
              <w:t xml:space="preserve">, </w:t>
            </w:r>
            <w:r w:rsidR="005555B4">
              <w:rPr>
                <w:rFonts w:eastAsiaTheme="minorHAnsi"/>
                <w:bCs/>
                <w:color w:val="000000"/>
                <w:sz w:val="22"/>
                <w:szCs w:val="22"/>
                <w:lang w:eastAsia="en-US"/>
              </w:rPr>
              <w:t>institutione</w:t>
            </w:r>
            <w:r w:rsidR="00490CCE">
              <w:rPr>
                <w:rFonts w:eastAsiaTheme="minorHAnsi"/>
                <w:bCs/>
                <w:color w:val="000000"/>
                <w:sz w:val="22"/>
                <w:szCs w:val="22"/>
                <w:lang w:eastAsia="en-US"/>
              </w:rPr>
              <w:t>n</w:t>
            </w:r>
            <w:r w:rsidR="005555B4">
              <w:rPr>
                <w:rFonts w:eastAsiaTheme="minorHAnsi"/>
                <w:bCs/>
                <w:color w:val="000000"/>
                <w:sz w:val="22"/>
                <w:szCs w:val="22"/>
                <w:lang w:eastAsia="en-US"/>
              </w:rPr>
              <w:t xml:space="preserve"> för akvatiska resurser, SLU</w:t>
            </w:r>
            <w:r w:rsidR="0059485C">
              <w:rPr>
                <w:rFonts w:eastAsiaTheme="minorHAnsi"/>
                <w:bCs/>
                <w:color w:val="000000"/>
                <w:sz w:val="22"/>
                <w:szCs w:val="22"/>
                <w:lang w:eastAsia="en-US"/>
              </w:rPr>
              <w:t>,</w:t>
            </w:r>
            <w:r w:rsidRPr="00932561">
              <w:rPr>
                <w:rFonts w:eastAsiaTheme="minorHAnsi"/>
                <w:bCs/>
                <w:color w:val="000000"/>
                <w:sz w:val="22"/>
                <w:szCs w:val="22"/>
                <w:lang w:eastAsia="en-US"/>
              </w:rPr>
              <w:t xml:space="preserve"> lämnade information </w:t>
            </w:r>
            <w:r>
              <w:rPr>
                <w:rFonts w:eastAsiaTheme="minorHAnsi"/>
                <w:bCs/>
                <w:color w:val="000000"/>
                <w:sz w:val="22"/>
                <w:szCs w:val="22"/>
                <w:lang w:eastAsia="en-US"/>
              </w:rPr>
              <w:t xml:space="preserve">och svarade på frågor </w:t>
            </w:r>
            <w:r w:rsidR="0068409E">
              <w:rPr>
                <w:rFonts w:eastAsiaTheme="minorHAnsi"/>
                <w:bCs/>
                <w:color w:val="000000"/>
                <w:sz w:val="22"/>
                <w:szCs w:val="22"/>
                <w:lang w:eastAsia="en-US"/>
              </w:rPr>
              <w:t xml:space="preserve">om </w:t>
            </w:r>
            <w:r>
              <w:rPr>
                <w:rFonts w:eastAsiaTheme="minorHAnsi"/>
                <w:bCs/>
                <w:color w:val="000000"/>
                <w:sz w:val="22"/>
                <w:szCs w:val="22"/>
                <w:lang w:eastAsia="en-US"/>
              </w:rPr>
              <w:t>fiskekvoter i Östersjön</w:t>
            </w:r>
            <w:r w:rsidR="0068409E">
              <w:rPr>
                <w:rFonts w:eastAsiaTheme="minorHAnsi"/>
                <w:bCs/>
                <w:color w:val="000000"/>
                <w:sz w:val="22"/>
                <w:szCs w:val="22"/>
                <w:lang w:eastAsia="en-US"/>
              </w:rPr>
              <w:t xml:space="preserve"> m.m</w:t>
            </w:r>
            <w:r>
              <w:rPr>
                <w:rFonts w:eastAsiaTheme="minorHAnsi"/>
                <w:bCs/>
                <w:color w:val="000000"/>
                <w:sz w:val="22"/>
                <w:szCs w:val="22"/>
                <w:lang w:eastAsia="en-US"/>
              </w:rPr>
              <w:t>.</w:t>
            </w:r>
          </w:p>
          <w:p w:rsidR="000B2546" w:rsidRPr="0089449A" w:rsidRDefault="000B2546" w:rsidP="000B2546">
            <w:pPr>
              <w:rPr>
                <w:b/>
                <w:color w:val="000000"/>
                <w:sz w:val="22"/>
                <w:szCs w:val="22"/>
              </w:rPr>
            </w:pPr>
          </w:p>
        </w:tc>
      </w:tr>
      <w:tr w:rsidR="00D87D66" w:rsidRPr="0089449A" w:rsidTr="00C5706E">
        <w:tc>
          <w:tcPr>
            <w:tcW w:w="567" w:type="dxa"/>
          </w:tcPr>
          <w:p w:rsidR="00D87D66" w:rsidRPr="0089449A" w:rsidRDefault="00D87D66" w:rsidP="00C5706E">
            <w:pPr>
              <w:tabs>
                <w:tab w:val="left" w:pos="1701"/>
              </w:tabs>
              <w:rPr>
                <w:b/>
                <w:snapToGrid w:val="0"/>
                <w:sz w:val="22"/>
                <w:szCs w:val="22"/>
              </w:rPr>
            </w:pPr>
            <w:r w:rsidRPr="0089449A">
              <w:rPr>
                <w:b/>
                <w:snapToGrid w:val="0"/>
                <w:sz w:val="22"/>
                <w:szCs w:val="22"/>
              </w:rPr>
              <w:t>§</w:t>
            </w:r>
            <w:r w:rsidR="00C80875">
              <w:rPr>
                <w:b/>
                <w:snapToGrid w:val="0"/>
                <w:sz w:val="22"/>
                <w:szCs w:val="22"/>
              </w:rPr>
              <w:t xml:space="preserve"> 11</w:t>
            </w:r>
            <w:r w:rsidRPr="0089449A">
              <w:rPr>
                <w:b/>
                <w:snapToGrid w:val="0"/>
                <w:sz w:val="22"/>
                <w:szCs w:val="22"/>
              </w:rPr>
              <w:t xml:space="preserve"> </w:t>
            </w:r>
          </w:p>
        </w:tc>
        <w:tc>
          <w:tcPr>
            <w:tcW w:w="6946" w:type="dxa"/>
            <w:gridSpan w:val="2"/>
          </w:tcPr>
          <w:p w:rsidR="00D87D66" w:rsidRPr="0089449A" w:rsidRDefault="005957E5" w:rsidP="002A14AC">
            <w:pPr>
              <w:rPr>
                <w:rFonts w:eastAsiaTheme="minorHAnsi"/>
                <w:bCs/>
                <w:color w:val="000000"/>
                <w:sz w:val="22"/>
                <w:szCs w:val="22"/>
                <w:lang w:eastAsia="en-US"/>
              </w:rPr>
            </w:pPr>
            <w:r w:rsidRPr="0089449A">
              <w:rPr>
                <w:b/>
                <w:bCs/>
                <w:color w:val="000000"/>
                <w:sz w:val="22"/>
                <w:szCs w:val="22"/>
              </w:rPr>
              <w:t>Nästa sammanträde</w:t>
            </w:r>
          </w:p>
          <w:p w:rsidR="005957E5" w:rsidRPr="0089449A" w:rsidRDefault="005957E5" w:rsidP="005555B4">
            <w:pPr>
              <w:spacing w:before="240"/>
              <w:rPr>
                <w:snapToGrid w:val="0"/>
                <w:sz w:val="22"/>
                <w:szCs w:val="22"/>
              </w:rPr>
            </w:pPr>
            <w:r w:rsidRPr="0089449A">
              <w:rPr>
                <w:snapToGrid w:val="0"/>
                <w:sz w:val="22"/>
                <w:szCs w:val="22"/>
              </w:rPr>
              <w:t>Nästa sammanträde äger rum t</w:t>
            </w:r>
            <w:r w:rsidR="00C80875">
              <w:rPr>
                <w:color w:val="000000"/>
                <w:sz w:val="22"/>
                <w:szCs w:val="22"/>
              </w:rPr>
              <w:t>isdagen den 22 oktober 2019 kl. 11.00</w:t>
            </w:r>
            <w:r w:rsidR="00C80875">
              <w:rPr>
                <w:snapToGrid w:val="0"/>
                <w:sz w:val="22"/>
                <w:szCs w:val="22"/>
              </w:rPr>
              <w:t>.</w:t>
            </w:r>
          </w:p>
          <w:p w:rsidR="005957E5" w:rsidRPr="0089449A" w:rsidRDefault="005957E5" w:rsidP="002A14AC">
            <w:pPr>
              <w:rPr>
                <w:rFonts w:eastAsiaTheme="minorHAnsi"/>
                <w:bCs/>
                <w:color w:val="000000"/>
                <w:sz w:val="22"/>
                <w:szCs w:val="22"/>
                <w:lang w:eastAsia="en-US"/>
              </w:rPr>
            </w:pPr>
          </w:p>
        </w:tc>
      </w:tr>
      <w:tr w:rsidR="00D5250E" w:rsidRPr="0089449A" w:rsidTr="002241EF">
        <w:trPr>
          <w:gridAfter w:val="1"/>
          <w:wAfter w:w="357" w:type="dxa"/>
        </w:trPr>
        <w:tc>
          <w:tcPr>
            <w:tcW w:w="7156" w:type="dxa"/>
            <w:gridSpan w:val="2"/>
          </w:tcPr>
          <w:p w:rsidR="00D5250E" w:rsidRPr="0089449A" w:rsidRDefault="00D5250E" w:rsidP="00D5250E">
            <w:pPr>
              <w:tabs>
                <w:tab w:val="left" w:pos="1701"/>
              </w:tabs>
              <w:rPr>
                <w:sz w:val="22"/>
                <w:szCs w:val="22"/>
              </w:rPr>
            </w:pPr>
          </w:p>
          <w:p w:rsidR="00D5250E" w:rsidRPr="0089449A" w:rsidRDefault="00D5250E" w:rsidP="00D5250E">
            <w:pPr>
              <w:tabs>
                <w:tab w:val="left" w:pos="1701"/>
              </w:tabs>
              <w:rPr>
                <w:sz w:val="22"/>
                <w:szCs w:val="22"/>
              </w:rPr>
            </w:pPr>
            <w:r w:rsidRPr="0089449A">
              <w:rPr>
                <w:sz w:val="22"/>
                <w:szCs w:val="22"/>
              </w:rPr>
              <w:t>Vid protokollet</w:t>
            </w:r>
          </w:p>
          <w:p w:rsidR="00D5250E" w:rsidRPr="0089449A" w:rsidRDefault="00D5250E" w:rsidP="00D5250E">
            <w:pPr>
              <w:tabs>
                <w:tab w:val="left" w:pos="1701"/>
              </w:tabs>
              <w:rPr>
                <w:sz w:val="22"/>
                <w:szCs w:val="22"/>
              </w:rPr>
            </w:pPr>
          </w:p>
          <w:p w:rsidR="009C0C9D" w:rsidRPr="0089449A" w:rsidRDefault="009C0C9D" w:rsidP="00D5250E">
            <w:pPr>
              <w:tabs>
                <w:tab w:val="left" w:pos="1701"/>
              </w:tabs>
              <w:rPr>
                <w:sz w:val="22"/>
                <w:szCs w:val="22"/>
              </w:rPr>
            </w:pPr>
          </w:p>
          <w:p w:rsidR="00D5250E" w:rsidRPr="0089449A" w:rsidRDefault="00D5250E" w:rsidP="00D5250E">
            <w:pPr>
              <w:tabs>
                <w:tab w:val="left" w:pos="1701"/>
              </w:tabs>
              <w:rPr>
                <w:sz w:val="22"/>
                <w:szCs w:val="22"/>
              </w:rPr>
            </w:pPr>
            <w:r w:rsidRPr="0089449A">
              <w:rPr>
                <w:sz w:val="22"/>
                <w:szCs w:val="22"/>
              </w:rPr>
              <w:t xml:space="preserve">Justeras den </w:t>
            </w:r>
            <w:r w:rsidR="00C80875">
              <w:rPr>
                <w:sz w:val="22"/>
                <w:szCs w:val="22"/>
              </w:rPr>
              <w:t>22</w:t>
            </w:r>
            <w:r w:rsidR="005957E5" w:rsidRPr="0089449A">
              <w:rPr>
                <w:sz w:val="22"/>
                <w:szCs w:val="22"/>
              </w:rPr>
              <w:t xml:space="preserve"> </w:t>
            </w:r>
            <w:r w:rsidR="00FC1B12" w:rsidRPr="0089449A">
              <w:rPr>
                <w:sz w:val="22"/>
                <w:szCs w:val="22"/>
              </w:rPr>
              <w:t>oktober</w:t>
            </w:r>
            <w:r w:rsidR="00381298" w:rsidRPr="0089449A">
              <w:rPr>
                <w:sz w:val="22"/>
                <w:szCs w:val="22"/>
              </w:rPr>
              <w:t xml:space="preserve"> </w:t>
            </w:r>
            <w:r w:rsidR="001238B9" w:rsidRPr="0089449A">
              <w:rPr>
                <w:sz w:val="22"/>
                <w:szCs w:val="22"/>
              </w:rPr>
              <w:t>2019</w:t>
            </w:r>
          </w:p>
          <w:p w:rsidR="00D5250E" w:rsidRPr="0089449A" w:rsidRDefault="00D5250E" w:rsidP="00D5250E">
            <w:pPr>
              <w:tabs>
                <w:tab w:val="left" w:pos="1701"/>
              </w:tabs>
              <w:rPr>
                <w:sz w:val="22"/>
                <w:szCs w:val="22"/>
              </w:rPr>
            </w:pPr>
          </w:p>
          <w:p w:rsidR="00F143DB" w:rsidRDefault="00F143DB" w:rsidP="00157E3A">
            <w:pPr>
              <w:tabs>
                <w:tab w:val="left" w:pos="1701"/>
              </w:tabs>
              <w:rPr>
                <w:sz w:val="22"/>
                <w:szCs w:val="22"/>
              </w:rPr>
            </w:pPr>
          </w:p>
          <w:p w:rsidR="009C7B10" w:rsidRDefault="009C7B10" w:rsidP="00157E3A">
            <w:pPr>
              <w:tabs>
                <w:tab w:val="left" w:pos="1701"/>
              </w:tabs>
              <w:rPr>
                <w:sz w:val="22"/>
                <w:szCs w:val="22"/>
              </w:rPr>
            </w:pPr>
          </w:p>
          <w:p w:rsidR="009C7B10" w:rsidRPr="0089449A" w:rsidRDefault="009C7B10" w:rsidP="00157E3A">
            <w:pPr>
              <w:tabs>
                <w:tab w:val="left" w:pos="1701"/>
              </w:tabs>
              <w:rPr>
                <w:sz w:val="22"/>
                <w:szCs w:val="22"/>
              </w:rPr>
            </w:pPr>
            <w:r>
              <w:rPr>
                <w:sz w:val="22"/>
                <w:szCs w:val="22"/>
              </w:rPr>
              <w:t>Kristina Yngwe</w:t>
            </w:r>
          </w:p>
        </w:tc>
      </w:tr>
    </w:tbl>
    <w:p w:rsidR="00177FF8" w:rsidRPr="0089449A" w:rsidRDefault="00177FF8">
      <w:pPr>
        <w:tabs>
          <w:tab w:val="left" w:pos="1701"/>
        </w:tabs>
        <w:rPr>
          <w:sz w:val="22"/>
          <w:szCs w:val="22"/>
        </w:rPr>
      </w:pPr>
    </w:p>
    <w:p w:rsidR="00B96E81" w:rsidRPr="0089449A" w:rsidRDefault="00B96E81" w:rsidP="001806D9">
      <w:pPr>
        <w:pStyle w:val="Brdtext"/>
        <w:rPr>
          <w:sz w:val="22"/>
          <w:szCs w:val="22"/>
        </w:rPr>
        <w:sectPr w:rsidR="00B96E81" w:rsidRPr="0089449A"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9449A" w:rsidTr="005A0266">
        <w:trPr>
          <w:gridAfter w:val="1"/>
          <w:wAfter w:w="142" w:type="dxa"/>
        </w:trPr>
        <w:tc>
          <w:tcPr>
            <w:tcW w:w="3969" w:type="dxa"/>
            <w:tcBorders>
              <w:top w:val="nil"/>
              <w:left w:val="nil"/>
              <w:bottom w:val="nil"/>
              <w:right w:val="nil"/>
            </w:tcBorders>
          </w:tcPr>
          <w:p w:rsidR="009823FA" w:rsidRPr="0089449A" w:rsidRDefault="009823FA" w:rsidP="005A0266">
            <w:pPr>
              <w:tabs>
                <w:tab w:val="left" w:pos="1701"/>
              </w:tabs>
              <w:rPr>
                <w:sz w:val="22"/>
                <w:szCs w:val="22"/>
              </w:rPr>
            </w:pPr>
            <w:r w:rsidRPr="0089449A">
              <w:rPr>
                <w:sz w:val="22"/>
                <w:szCs w:val="22"/>
              </w:rPr>
              <w:br w:type="page"/>
            </w:r>
            <w:r w:rsidRPr="0089449A">
              <w:rPr>
                <w:sz w:val="22"/>
                <w:szCs w:val="22"/>
              </w:rPr>
              <w:br w:type="page"/>
              <w:t>MILJÖ- OCH JORDBRUKS- UTSKOTTET</w:t>
            </w:r>
          </w:p>
        </w:tc>
        <w:tc>
          <w:tcPr>
            <w:tcW w:w="3260" w:type="dxa"/>
            <w:gridSpan w:val="8"/>
            <w:tcBorders>
              <w:top w:val="nil"/>
              <w:left w:val="nil"/>
              <w:bottom w:val="nil"/>
              <w:right w:val="nil"/>
            </w:tcBorders>
          </w:tcPr>
          <w:p w:rsidR="009823FA" w:rsidRPr="0089449A" w:rsidRDefault="009823FA" w:rsidP="005A0266">
            <w:pPr>
              <w:tabs>
                <w:tab w:val="left" w:pos="1701"/>
              </w:tabs>
              <w:rPr>
                <w:b/>
                <w:sz w:val="22"/>
                <w:szCs w:val="22"/>
              </w:rPr>
            </w:pPr>
            <w:r w:rsidRPr="0089449A">
              <w:rPr>
                <w:b/>
                <w:sz w:val="22"/>
                <w:szCs w:val="22"/>
              </w:rPr>
              <w:t>NÄRVAROFÖRTECKNING</w:t>
            </w:r>
          </w:p>
        </w:tc>
        <w:tc>
          <w:tcPr>
            <w:tcW w:w="1843" w:type="dxa"/>
            <w:gridSpan w:val="5"/>
            <w:tcBorders>
              <w:top w:val="nil"/>
              <w:left w:val="nil"/>
              <w:bottom w:val="nil"/>
              <w:right w:val="nil"/>
            </w:tcBorders>
          </w:tcPr>
          <w:p w:rsidR="009823FA" w:rsidRPr="0089449A" w:rsidRDefault="009823FA" w:rsidP="005A0266">
            <w:pPr>
              <w:tabs>
                <w:tab w:val="left" w:pos="1701"/>
              </w:tabs>
              <w:rPr>
                <w:sz w:val="22"/>
                <w:szCs w:val="22"/>
              </w:rPr>
            </w:pPr>
            <w:r w:rsidRPr="0089449A">
              <w:rPr>
                <w:b/>
                <w:sz w:val="22"/>
                <w:szCs w:val="22"/>
              </w:rPr>
              <w:t xml:space="preserve">Bilaga 1 </w:t>
            </w:r>
            <w:r w:rsidRPr="0089449A">
              <w:rPr>
                <w:sz w:val="22"/>
                <w:szCs w:val="22"/>
              </w:rPr>
              <w:t xml:space="preserve">till </w:t>
            </w:r>
          </w:p>
          <w:p w:rsidR="009823FA" w:rsidRPr="0089449A" w:rsidRDefault="009823FA" w:rsidP="005A0266">
            <w:pPr>
              <w:tabs>
                <w:tab w:val="left" w:pos="1701"/>
              </w:tabs>
              <w:rPr>
                <w:sz w:val="22"/>
                <w:szCs w:val="22"/>
              </w:rPr>
            </w:pPr>
            <w:r w:rsidRPr="0089449A">
              <w:rPr>
                <w:sz w:val="22"/>
                <w:szCs w:val="22"/>
              </w:rPr>
              <w:t>prot. 201</w:t>
            </w:r>
            <w:r w:rsidR="000E777E" w:rsidRPr="0089449A">
              <w:rPr>
                <w:sz w:val="22"/>
                <w:szCs w:val="22"/>
              </w:rPr>
              <w:t>9</w:t>
            </w:r>
            <w:r w:rsidRPr="0089449A">
              <w:rPr>
                <w:sz w:val="22"/>
                <w:szCs w:val="22"/>
              </w:rPr>
              <w:t>/</w:t>
            </w:r>
            <w:r w:rsidR="000E777E" w:rsidRPr="0089449A">
              <w:rPr>
                <w:sz w:val="22"/>
                <w:szCs w:val="22"/>
              </w:rPr>
              <w:t>20</w:t>
            </w:r>
            <w:r w:rsidRPr="0089449A">
              <w:rPr>
                <w:sz w:val="22"/>
                <w:szCs w:val="22"/>
              </w:rPr>
              <w:t>:</w:t>
            </w:r>
            <w:r w:rsidR="00C80875">
              <w:rPr>
                <w:sz w:val="22"/>
                <w:szCs w:val="22"/>
              </w:rPr>
              <w:t>4</w:t>
            </w: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 xml:space="preserve">§ </w:t>
            </w:r>
            <w:r w:rsidR="005200CB" w:rsidRPr="0089449A">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 xml:space="preserve"> </w:t>
            </w:r>
            <w:r w:rsidR="00FF5852">
              <w:rPr>
                <w:sz w:val="22"/>
                <w:szCs w:val="22"/>
              </w:rPr>
              <w:t xml:space="preserve">§ </w:t>
            </w:r>
            <w:r w:rsidR="00490CCE">
              <w:rPr>
                <w:sz w:val="22"/>
                <w:szCs w:val="22"/>
              </w:rPr>
              <w:t>2–</w:t>
            </w:r>
            <w:r w:rsidR="002F7C49">
              <w:rPr>
                <w:sz w:val="22"/>
                <w:szCs w:val="22"/>
              </w:rPr>
              <w:t>9</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59485C">
              <w:rPr>
                <w:sz w:val="22"/>
                <w:szCs w:val="22"/>
              </w:rPr>
              <w:t>10–11</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sz w:val="22"/>
                <w:szCs w:val="22"/>
              </w:rPr>
              <w:t>V</w:t>
            </w: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9449A">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spacing w:line="256" w:lineRule="auto"/>
              <w:rPr>
                <w:sz w:val="22"/>
                <w:szCs w:val="22"/>
                <w:lang w:eastAsia="en-US"/>
              </w:rPr>
            </w:pPr>
            <w:r w:rsidRPr="0089449A">
              <w:rPr>
                <w:sz w:val="22"/>
                <w:szCs w:val="22"/>
                <w:lang w:eastAsia="en-US"/>
              </w:rPr>
              <w:t>Kristina Yngwe (C),</w:t>
            </w:r>
            <w:r w:rsidRPr="0089449A">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spacing w:line="256" w:lineRule="auto"/>
              <w:rPr>
                <w:sz w:val="22"/>
                <w:szCs w:val="22"/>
                <w:lang w:eastAsia="en-US"/>
              </w:rPr>
            </w:pPr>
            <w:r w:rsidRPr="0089449A">
              <w:rPr>
                <w:sz w:val="22"/>
                <w:szCs w:val="22"/>
                <w:lang w:eastAsia="en-US"/>
              </w:rPr>
              <w:t xml:space="preserve">Maria Gardfjell (MP), </w:t>
            </w:r>
            <w:r w:rsidR="001709AE" w:rsidRPr="0089449A">
              <w:rPr>
                <w:sz w:val="22"/>
                <w:szCs w:val="22"/>
                <w:lang w:eastAsia="en-US"/>
              </w:rPr>
              <w:t xml:space="preserve">förste </w:t>
            </w:r>
            <w:r w:rsidRPr="0089449A">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89449A"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spacing w:line="256" w:lineRule="auto"/>
              <w:rPr>
                <w:sz w:val="22"/>
                <w:szCs w:val="22"/>
                <w:lang w:val="en-US" w:eastAsia="en-US"/>
              </w:rPr>
            </w:pPr>
            <w:r w:rsidRPr="0089449A">
              <w:rPr>
                <w:sz w:val="22"/>
                <w:szCs w:val="22"/>
                <w:lang w:val="en-US" w:eastAsia="en-US"/>
              </w:rPr>
              <w:t>Jessica Rosencrantz (M), andre vice ordf.</w:t>
            </w:r>
          </w:p>
          <w:p w:rsidR="003A006F" w:rsidRPr="00FE296A" w:rsidRDefault="003A006F" w:rsidP="005754E1">
            <w:pPr>
              <w:spacing w:line="256" w:lineRule="auto"/>
              <w:rPr>
                <w:sz w:val="18"/>
                <w:szCs w:val="18"/>
                <w:lang w:val="en-US" w:eastAsia="en-US"/>
              </w:rPr>
            </w:pPr>
            <w:r w:rsidRPr="00FE296A">
              <w:rPr>
                <w:sz w:val="18"/>
                <w:szCs w:val="18"/>
                <w:lang w:val="en-US" w:eastAsia="en-US"/>
              </w:rPr>
              <w:t>tjl. t.o.m. 2020-05-03</w:t>
            </w: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6E5B67"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9449A" w:rsidRDefault="00490CCE"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2F7C49"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9449A"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CF4403">
            <w:pPr>
              <w:spacing w:line="256" w:lineRule="auto"/>
              <w:rPr>
                <w:sz w:val="22"/>
                <w:szCs w:val="22"/>
                <w:lang w:eastAsia="en-US"/>
              </w:rPr>
            </w:pPr>
            <w:r w:rsidRPr="0089449A">
              <w:rPr>
                <w:sz w:val="22"/>
                <w:szCs w:val="22"/>
                <w:lang w:val="en-US" w:eastAsia="en-US"/>
              </w:rPr>
              <w:t>Hanna West</w:t>
            </w:r>
            <w:r w:rsidR="00CF4403" w:rsidRPr="0089449A">
              <w:rPr>
                <w:sz w:val="22"/>
                <w:szCs w:val="22"/>
                <w:lang w:val="en-US" w:eastAsia="en-US"/>
              </w:rPr>
              <w:t>eré</w:t>
            </w:r>
            <w:r w:rsidRPr="0089449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EF4B6A" w:rsidP="00EF4B6A">
            <w:pPr>
              <w:spacing w:line="256" w:lineRule="auto"/>
              <w:rPr>
                <w:sz w:val="22"/>
                <w:szCs w:val="22"/>
                <w:lang w:val="en-US" w:eastAsia="en-US"/>
              </w:rPr>
            </w:pPr>
            <w:r w:rsidRPr="0089449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CE6ED5" w:rsidP="005A0266">
            <w:pPr>
              <w:spacing w:line="256" w:lineRule="auto"/>
              <w:rPr>
                <w:sz w:val="22"/>
                <w:szCs w:val="22"/>
                <w:lang w:eastAsia="en-US"/>
              </w:rPr>
            </w:pPr>
            <w:r w:rsidRPr="0089449A">
              <w:rPr>
                <w:sz w:val="22"/>
                <w:szCs w:val="22"/>
                <w:lang w:eastAsia="en-US"/>
              </w:rPr>
              <w:t>John Widegren</w:t>
            </w:r>
            <w:r w:rsidR="00B35D41" w:rsidRPr="0089449A">
              <w:rPr>
                <w:sz w:val="22"/>
                <w:szCs w:val="22"/>
                <w:lang w:eastAsia="en-US"/>
              </w:rPr>
              <w:t xml:space="preserve"> </w:t>
            </w:r>
            <w:r w:rsidR="009823FA" w:rsidRPr="0089449A">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EF4B6A" w:rsidP="00EF4B6A">
            <w:pPr>
              <w:spacing w:line="256" w:lineRule="auto"/>
              <w:rPr>
                <w:sz w:val="22"/>
                <w:szCs w:val="22"/>
                <w:lang w:eastAsia="en-US"/>
              </w:rPr>
            </w:pPr>
            <w:r w:rsidRPr="0089449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EF4B6A" w:rsidP="00EF4B6A">
            <w:pPr>
              <w:spacing w:line="256" w:lineRule="auto"/>
              <w:rPr>
                <w:sz w:val="22"/>
                <w:szCs w:val="22"/>
                <w:lang w:eastAsia="en-US"/>
              </w:rPr>
            </w:pPr>
            <w:r w:rsidRPr="0089449A">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sz w:val="22"/>
                <w:szCs w:val="22"/>
                <w:lang w:eastAsia="en-US"/>
              </w:rPr>
            </w:pPr>
            <w:r w:rsidRPr="0089449A">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B35D41" w:rsidP="005A0266">
            <w:pPr>
              <w:spacing w:line="256" w:lineRule="auto"/>
              <w:rPr>
                <w:sz w:val="22"/>
                <w:szCs w:val="22"/>
                <w:lang w:eastAsia="en-US"/>
              </w:rPr>
            </w:pPr>
            <w:r w:rsidRPr="0089449A">
              <w:rPr>
                <w:sz w:val="22"/>
                <w:szCs w:val="22"/>
                <w:lang w:eastAsia="en-US"/>
              </w:rPr>
              <w:t>Betty Malmberg</w:t>
            </w:r>
            <w:r w:rsidR="009823FA" w:rsidRPr="0089449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9449A" w:rsidRDefault="00EF4B6A" w:rsidP="005A0266">
            <w:pPr>
              <w:spacing w:line="256" w:lineRule="auto"/>
              <w:rPr>
                <w:sz w:val="22"/>
                <w:szCs w:val="22"/>
                <w:lang w:eastAsia="en-US"/>
              </w:rPr>
            </w:pPr>
            <w:r w:rsidRPr="0089449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FF585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9449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spacing w:line="256" w:lineRule="auto"/>
              <w:rPr>
                <w:sz w:val="22"/>
                <w:szCs w:val="22"/>
                <w:lang w:eastAsia="en-US"/>
              </w:rPr>
            </w:pPr>
            <w:r w:rsidRPr="0089449A">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spacing w:line="256" w:lineRule="auto"/>
              <w:rPr>
                <w:sz w:val="22"/>
                <w:szCs w:val="22"/>
                <w:lang w:eastAsia="en-US"/>
              </w:rPr>
            </w:pPr>
            <w:r w:rsidRPr="0089449A">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B72495"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FF585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sz w:val="22"/>
                <w:szCs w:val="22"/>
                <w:lang w:eastAsia="en-US"/>
              </w:rPr>
            </w:pPr>
            <w:r w:rsidRPr="0089449A">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sz w:val="22"/>
                <w:szCs w:val="22"/>
                <w:lang w:eastAsia="en-US"/>
              </w:rPr>
            </w:pPr>
            <w:r w:rsidRPr="0089449A">
              <w:rPr>
                <w:sz w:val="22"/>
                <w:szCs w:val="22"/>
                <w:lang w:eastAsia="en-US"/>
              </w:rPr>
              <w:t>Tina Acketoft (L)</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sz w:val="22"/>
                <w:szCs w:val="22"/>
                <w:lang w:eastAsia="en-US"/>
              </w:rPr>
            </w:pPr>
            <w:r w:rsidRPr="0089449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sz w:val="22"/>
                <w:szCs w:val="22"/>
                <w:lang w:eastAsia="en-US"/>
              </w:rPr>
            </w:pPr>
            <w:r w:rsidRPr="0089449A">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spacing w:line="256" w:lineRule="auto"/>
              <w:rPr>
                <w:b/>
                <w:i/>
                <w:sz w:val="22"/>
                <w:szCs w:val="22"/>
                <w:lang w:eastAsia="en-US"/>
              </w:rPr>
            </w:pPr>
            <w:r w:rsidRPr="0089449A">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eastAsia="en-US"/>
              </w:rPr>
            </w:pPr>
            <w:r w:rsidRPr="0089449A">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754C4A" w:rsidP="00EF4B6A">
            <w:pPr>
              <w:tabs>
                <w:tab w:val="left" w:pos="2268"/>
                <w:tab w:val="left" w:pos="2977"/>
                <w:tab w:val="left" w:pos="4536"/>
              </w:tabs>
              <w:spacing w:line="256" w:lineRule="auto"/>
              <w:rPr>
                <w:sz w:val="22"/>
                <w:szCs w:val="22"/>
                <w:lang w:eastAsia="en-US"/>
              </w:rPr>
            </w:pPr>
            <w:r w:rsidRPr="0089449A">
              <w:rPr>
                <w:sz w:val="22"/>
                <w:szCs w:val="22"/>
                <w:lang w:eastAsia="en-US"/>
              </w:rPr>
              <w:t>Marlé</w:t>
            </w:r>
            <w:r w:rsidR="00EF4B6A" w:rsidRPr="0089449A">
              <w:rPr>
                <w:sz w:val="22"/>
                <w:szCs w:val="22"/>
                <w:lang w:eastAsia="en-US"/>
              </w:rPr>
              <w:t xml:space="preserve">ne </w:t>
            </w:r>
            <w:r w:rsidR="00886349" w:rsidRPr="0089449A">
              <w:rPr>
                <w:sz w:val="22"/>
                <w:szCs w:val="22"/>
                <w:lang w:eastAsia="en-US"/>
              </w:rPr>
              <w:t xml:space="preserve">Lund </w:t>
            </w:r>
            <w:r w:rsidR="00EF4B6A" w:rsidRPr="0089449A">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eastAsia="en-US"/>
              </w:rPr>
            </w:pPr>
            <w:r w:rsidRPr="0089449A">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7F7A91" w:rsidP="00EF4B6A">
            <w:pPr>
              <w:tabs>
                <w:tab w:val="left" w:pos="2268"/>
                <w:tab w:val="left" w:pos="2977"/>
                <w:tab w:val="left" w:pos="4536"/>
              </w:tabs>
              <w:spacing w:line="256" w:lineRule="auto"/>
              <w:rPr>
                <w:sz w:val="22"/>
                <w:szCs w:val="22"/>
                <w:lang w:eastAsia="en-US"/>
              </w:rPr>
            </w:pPr>
            <w:r w:rsidRPr="0089449A">
              <w:rPr>
                <w:sz w:val="22"/>
                <w:szCs w:val="22"/>
                <w:lang w:eastAsia="en-US"/>
              </w:rPr>
              <w:t>Vakant</w:t>
            </w:r>
            <w:r w:rsidR="00EF4B6A" w:rsidRPr="0089449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rPr>
              <w:t xml:space="preserve">Birger </w:t>
            </w:r>
            <w:r w:rsidRPr="0089449A">
              <w:rPr>
                <w:sz w:val="22"/>
                <w:szCs w:val="22"/>
                <w:lang w:eastAsia="en-US"/>
              </w:rPr>
              <w:t>Lahti</w:t>
            </w:r>
            <w:r w:rsidRPr="0089449A">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eastAsia="en-US"/>
              </w:rPr>
            </w:pPr>
            <w:r w:rsidRPr="0089449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FF5852"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val="en-US" w:eastAsia="en-US"/>
              </w:rPr>
            </w:pPr>
            <w:r w:rsidRPr="0089449A">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eastAsia="en-US"/>
              </w:rPr>
            </w:pPr>
            <w:r w:rsidRPr="0089449A">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6E5B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490CCE"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2F7C4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2268"/>
                <w:tab w:val="left" w:pos="2977"/>
                <w:tab w:val="left" w:pos="4536"/>
              </w:tabs>
              <w:spacing w:line="256" w:lineRule="auto"/>
              <w:rPr>
                <w:sz w:val="22"/>
                <w:szCs w:val="22"/>
                <w:lang w:eastAsia="en-US"/>
              </w:rPr>
            </w:pPr>
            <w:r w:rsidRPr="0089449A">
              <w:rPr>
                <w:sz w:val="22"/>
                <w:szCs w:val="22"/>
                <w:lang w:eastAsia="en-US"/>
              </w:rPr>
              <w:t>Tomas Kronstå</w:t>
            </w:r>
            <w:r w:rsidR="00405162" w:rsidRPr="0089449A">
              <w:rPr>
                <w:sz w:val="22"/>
                <w:szCs w:val="22"/>
                <w:lang w:eastAsia="en-US"/>
              </w:rPr>
              <w:t>h</w:t>
            </w:r>
            <w:r w:rsidRPr="0089449A">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4945A7" w:rsidP="00EF4B6A">
            <w:pPr>
              <w:tabs>
                <w:tab w:val="left" w:pos="2268"/>
                <w:tab w:val="left" w:pos="2977"/>
                <w:tab w:val="left" w:pos="4536"/>
              </w:tabs>
              <w:spacing w:line="256" w:lineRule="auto"/>
              <w:rPr>
                <w:sz w:val="22"/>
                <w:szCs w:val="22"/>
                <w:lang w:eastAsia="en-US"/>
              </w:rPr>
            </w:pPr>
            <w:r w:rsidRPr="0089449A">
              <w:rPr>
                <w:sz w:val="22"/>
                <w:szCs w:val="22"/>
                <w:lang w:eastAsia="en-US"/>
              </w:rPr>
              <w:t>Joar Forssell</w:t>
            </w:r>
            <w:r w:rsidR="00EF4B6A" w:rsidRPr="0089449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9449A" w:rsidRDefault="008B5472" w:rsidP="008B5472">
            <w:pPr>
              <w:tabs>
                <w:tab w:val="left" w:pos="2268"/>
                <w:tab w:val="left" w:pos="2977"/>
                <w:tab w:val="left" w:pos="4536"/>
              </w:tabs>
              <w:spacing w:line="256" w:lineRule="auto"/>
              <w:rPr>
                <w:sz w:val="22"/>
                <w:szCs w:val="22"/>
                <w:lang w:eastAsia="en-US"/>
              </w:rPr>
            </w:pPr>
            <w:r w:rsidRPr="0089449A">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9449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2268"/>
                <w:tab w:val="left" w:pos="2977"/>
                <w:tab w:val="left" w:pos="4536"/>
              </w:tabs>
              <w:spacing w:line="256" w:lineRule="auto"/>
              <w:rPr>
                <w:sz w:val="22"/>
                <w:szCs w:val="22"/>
                <w:lang w:eastAsia="en-US"/>
              </w:rPr>
            </w:pPr>
            <w:r w:rsidRPr="0089449A">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6E5B67"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490CCE"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2F7C4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102F93" w:rsidP="008B5472">
            <w:pPr>
              <w:tabs>
                <w:tab w:val="left" w:pos="2268"/>
                <w:tab w:val="left" w:pos="2977"/>
                <w:tab w:val="left" w:pos="4536"/>
              </w:tabs>
              <w:spacing w:line="256" w:lineRule="auto"/>
              <w:rPr>
                <w:sz w:val="22"/>
                <w:szCs w:val="22"/>
                <w:lang w:eastAsia="en-US"/>
              </w:rPr>
            </w:pPr>
            <w:r w:rsidRPr="0089449A">
              <w:rPr>
                <w:sz w:val="22"/>
                <w:szCs w:val="22"/>
                <w:lang w:eastAsia="en-US"/>
              </w:rPr>
              <w:t>Anders Hansson</w:t>
            </w:r>
            <w:r w:rsidR="008B5472" w:rsidRPr="0089449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3941CA" w:rsidP="008B5472">
            <w:pPr>
              <w:tabs>
                <w:tab w:val="left" w:pos="2268"/>
                <w:tab w:val="left" w:pos="2977"/>
                <w:tab w:val="left" w:pos="4536"/>
              </w:tabs>
              <w:spacing w:line="256" w:lineRule="auto"/>
              <w:rPr>
                <w:sz w:val="22"/>
                <w:szCs w:val="22"/>
              </w:rPr>
            </w:pPr>
            <w:r w:rsidRPr="0089449A">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3941CA" w:rsidP="008B5472">
            <w:pPr>
              <w:tabs>
                <w:tab w:val="left" w:pos="2268"/>
                <w:tab w:val="left" w:pos="2977"/>
                <w:tab w:val="left" w:pos="4536"/>
              </w:tabs>
              <w:spacing w:line="256" w:lineRule="auto"/>
              <w:rPr>
                <w:sz w:val="22"/>
                <w:szCs w:val="22"/>
              </w:rPr>
            </w:pPr>
            <w:r w:rsidRPr="0089449A">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3941CA" w:rsidP="008B5472">
            <w:pPr>
              <w:tabs>
                <w:tab w:val="left" w:pos="2268"/>
                <w:tab w:val="left" w:pos="2977"/>
                <w:tab w:val="left" w:pos="4536"/>
              </w:tabs>
              <w:spacing w:line="256" w:lineRule="auto"/>
              <w:rPr>
                <w:sz w:val="22"/>
                <w:szCs w:val="22"/>
              </w:rPr>
            </w:pPr>
            <w:r w:rsidRPr="0089449A">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9449A" w:rsidRDefault="00CE6ED5" w:rsidP="00BB7941">
            <w:pPr>
              <w:tabs>
                <w:tab w:val="left" w:pos="2268"/>
                <w:tab w:val="left" w:pos="2977"/>
                <w:tab w:val="left" w:pos="4536"/>
              </w:tabs>
              <w:spacing w:line="256" w:lineRule="auto"/>
              <w:rPr>
                <w:sz w:val="22"/>
                <w:szCs w:val="22"/>
              </w:rPr>
            </w:pPr>
            <w:r w:rsidRPr="0089449A">
              <w:rPr>
                <w:sz w:val="22"/>
                <w:szCs w:val="22"/>
              </w:rPr>
              <w:t>Lorentz Tovatt</w:t>
            </w:r>
            <w:r w:rsidR="003941CA" w:rsidRPr="0089449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4A5400" w:rsidP="008B5472">
            <w:pPr>
              <w:tabs>
                <w:tab w:val="left" w:pos="2268"/>
                <w:tab w:val="left" w:pos="2977"/>
                <w:tab w:val="left" w:pos="4536"/>
              </w:tabs>
              <w:spacing w:line="256" w:lineRule="auto"/>
              <w:rPr>
                <w:sz w:val="22"/>
                <w:szCs w:val="22"/>
              </w:rPr>
            </w:pPr>
            <w:r w:rsidRPr="0089449A">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B72495"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FF585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2F7C4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9449A" w:rsidRDefault="009D2985" w:rsidP="008B5472">
            <w:pPr>
              <w:tabs>
                <w:tab w:val="left" w:pos="2268"/>
                <w:tab w:val="left" w:pos="2977"/>
                <w:tab w:val="left" w:pos="4536"/>
              </w:tabs>
              <w:spacing w:line="256" w:lineRule="auto"/>
              <w:rPr>
                <w:sz w:val="22"/>
                <w:szCs w:val="22"/>
              </w:rPr>
            </w:pPr>
            <w:r w:rsidRPr="0089449A">
              <w:rPr>
                <w:sz w:val="22"/>
                <w:szCs w:val="22"/>
              </w:rPr>
              <w:t>Louise Meijer (M)</w:t>
            </w:r>
            <w:r w:rsidR="003A006F" w:rsidRPr="0089449A">
              <w:rPr>
                <w:sz w:val="22"/>
                <w:szCs w:val="22"/>
              </w:rPr>
              <w:t xml:space="preserve">, </w:t>
            </w:r>
            <w:r w:rsidR="003A006F" w:rsidRPr="0089449A">
              <w:rPr>
                <w:sz w:val="22"/>
                <w:szCs w:val="22"/>
                <w:lang w:val="en-US" w:eastAsia="en-US"/>
              </w:rPr>
              <w:t xml:space="preserve">vik. andre vice ordf. </w:t>
            </w:r>
            <w:r w:rsidR="003A006F" w:rsidRPr="00FE296A">
              <w:rPr>
                <w:sz w:val="18"/>
                <w:szCs w:val="18"/>
                <w:lang w:val="en-US" w:eastAsia="en-US"/>
              </w:rPr>
              <w:t>t.o.m 2020-05-03</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6E5B67"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490CCE"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2F7C4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9449A"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449A">
              <w:rPr>
                <w:sz w:val="22"/>
                <w:szCs w:val="22"/>
              </w:rPr>
              <w:t>N = Närvarande</w:t>
            </w:r>
          </w:p>
        </w:tc>
        <w:tc>
          <w:tcPr>
            <w:tcW w:w="5245" w:type="dxa"/>
            <w:gridSpan w:val="14"/>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449A">
              <w:rPr>
                <w:sz w:val="22"/>
                <w:szCs w:val="22"/>
              </w:rPr>
              <w:t>X = ledamöter som deltagit i handläggningen</w:t>
            </w: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449A">
              <w:rPr>
                <w:sz w:val="22"/>
                <w:szCs w:val="22"/>
              </w:rPr>
              <w:t>V = Votering</w:t>
            </w:r>
          </w:p>
        </w:tc>
        <w:tc>
          <w:tcPr>
            <w:tcW w:w="5245" w:type="dxa"/>
            <w:gridSpan w:val="14"/>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449A">
              <w:rPr>
                <w:sz w:val="22"/>
                <w:szCs w:val="22"/>
              </w:rPr>
              <w:t>O = ledamöter som härutöver har varit närvarande</w:t>
            </w:r>
          </w:p>
        </w:tc>
      </w:tr>
      <w:tr w:rsidR="008B5472" w:rsidRPr="0089449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5" w:type="dxa"/>
            <w:gridSpan w:val="14"/>
          </w:tcPr>
          <w:p w:rsidR="008B5472" w:rsidRPr="0089449A"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E77368" w:rsidRDefault="00E77368" w:rsidP="00E77368">
      <w:pPr>
        <w:rPr>
          <w:rFonts w:ascii="Arial" w:hAnsi="Arial" w:cs="Arial"/>
          <w:b/>
          <w:bCs/>
          <w:sz w:val="28"/>
          <w:szCs w:val="28"/>
        </w:rPr>
      </w:pPr>
    </w:p>
    <w:tbl>
      <w:tblPr>
        <w:tblW w:w="5000" w:type="pct"/>
        <w:tblCellMar>
          <w:left w:w="70" w:type="dxa"/>
          <w:right w:w="70" w:type="dxa"/>
        </w:tblCellMar>
        <w:tblLook w:val="0000" w:firstRow="0" w:lastRow="0" w:firstColumn="0" w:lastColumn="0" w:noHBand="0" w:noVBand="0"/>
      </w:tblPr>
      <w:tblGrid>
        <w:gridCol w:w="69"/>
        <w:gridCol w:w="1833"/>
        <w:gridCol w:w="3148"/>
        <w:gridCol w:w="1706"/>
        <w:gridCol w:w="1575"/>
        <w:gridCol w:w="983"/>
        <w:gridCol w:w="324"/>
      </w:tblGrid>
      <w:tr w:rsidR="00E77368" w:rsidRPr="00E77368" w:rsidTr="00E77368">
        <w:trPr>
          <w:gridAfter w:val="2"/>
          <w:wAfter w:w="678" w:type="pct"/>
        </w:trPr>
        <w:tc>
          <w:tcPr>
            <w:tcW w:w="2620" w:type="pct"/>
            <w:gridSpan w:val="3"/>
          </w:tcPr>
          <w:p w:rsidR="00E77368" w:rsidRPr="00E77368" w:rsidRDefault="00E77368" w:rsidP="00E77368">
            <w:pPr>
              <w:tabs>
                <w:tab w:val="left" w:pos="1276"/>
              </w:tabs>
              <w:rPr>
                <w:sz w:val="22"/>
                <w:szCs w:val="22"/>
              </w:rPr>
            </w:pPr>
          </w:p>
          <w:p w:rsidR="00E77368" w:rsidRPr="00E77368" w:rsidRDefault="00E77368" w:rsidP="00E77368">
            <w:pPr>
              <w:tabs>
                <w:tab w:val="left" w:pos="1276"/>
              </w:tabs>
              <w:rPr>
                <w:sz w:val="22"/>
                <w:szCs w:val="22"/>
              </w:rPr>
            </w:pPr>
            <w:r w:rsidRPr="00E77368">
              <w:rPr>
                <w:sz w:val="22"/>
                <w:szCs w:val="22"/>
              </w:rPr>
              <w:br w:type="page"/>
              <w:t>MILJÖ- OCH JORDBRUKSUTSKOTTET</w:t>
            </w:r>
          </w:p>
        </w:tc>
        <w:tc>
          <w:tcPr>
            <w:tcW w:w="885" w:type="pct"/>
          </w:tcPr>
          <w:p w:rsidR="00E77368" w:rsidRPr="00E77368" w:rsidRDefault="00E77368" w:rsidP="00E77368">
            <w:pPr>
              <w:tabs>
                <w:tab w:val="left" w:pos="1276"/>
              </w:tabs>
              <w:rPr>
                <w:sz w:val="22"/>
                <w:szCs w:val="22"/>
              </w:rPr>
            </w:pPr>
          </w:p>
        </w:tc>
        <w:tc>
          <w:tcPr>
            <w:tcW w:w="817" w:type="pct"/>
          </w:tcPr>
          <w:p w:rsidR="00E77368" w:rsidRPr="00E77368" w:rsidRDefault="00E77368" w:rsidP="00E77368">
            <w:pPr>
              <w:tabs>
                <w:tab w:val="left" w:pos="1276"/>
              </w:tabs>
              <w:ind w:right="-212"/>
              <w:rPr>
                <w:b/>
                <w:sz w:val="22"/>
                <w:szCs w:val="22"/>
              </w:rPr>
            </w:pPr>
            <w:r w:rsidRPr="00E77368">
              <w:rPr>
                <w:b/>
                <w:sz w:val="22"/>
                <w:szCs w:val="22"/>
              </w:rPr>
              <w:t>Bilaga 2</w:t>
            </w:r>
          </w:p>
          <w:p w:rsidR="00E77368" w:rsidRPr="00E77368" w:rsidRDefault="00E77368" w:rsidP="00E77368">
            <w:pPr>
              <w:tabs>
                <w:tab w:val="left" w:pos="1276"/>
              </w:tabs>
              <w:ind w:right="-212"/>
              <w:rPr>
                <w:sz w:val="22"/>
                <w:szCs w:val="22"/>
              </w:rPr>
            </w:pPr>
            <w:r w:rsidRPr="00E77368">
              <w:rPr>
                <w:sz w:val="22"/>
                <w:szCs w:val="22"/>
              </w:rPr>
              <w:t>till protokoll</w:t>
            </w:r>
          </w:p>
          <w:p w:rsidR="00E77368" w:rsidRPr="00E77368" w:rsidRDefault="00E77368" w:rsidP="00E77368">
            <w:pPr>
              <w:tabs>
                <w:tab w:val="left" w:pos="1276"/>
              </w:tabs>
              <w:ind w:right="-212"/>
              <w:rPr>
                <w:b/>
                <w:sz w:val="22"/>
                <w:szCs w:val="22"/>
              </w:rPr>
            </w:pPr>
            <w:r w:rsidRPr="00E77368">
              <w:rPr>
                <w:sz w:val="22"/>
                <w:szCs w:val="22"/>
              </w:rPr>
              <w:t>2019/20:</w:t>
            </w:r>
            <w:r>
              <w:rPr>
                <w:sz w:val="22"/>
                <w:szCs w:val="22"/>
              </w:rPr>
              <w:t>4</w:t>
            </w:r>
          </w:p>
        </w:tc>
      </w:tr>
      <w:tr w:rsidR="00E77368" w:rsidRPr="00E77368" w:rsidTr="00E77368">
        <w:trPr>
          <w:gridAfter w:val="1"/>
          <w:wAfter w:w="168" w:type="pct"/>
          <w:trHeight w:val="450"/>
        </w:trPr>
        <w:tc>
          <w:tcPr>
            <w:tcW w:w="4832" w:type="pct"/>
            <w:gridSpan w:val="6"/>
            <w:tcBorders>
              <w:left w:val="nil"/>
              <w:bottom w:val="single" w:sz="4" w:space="0" w:color="A9A9A9"/>
              <w:right w:val="nil"/>
            </w:tcBorders>
            <w:shd w:val="clear" w:color="auto" w:fill="auto"/>
            <w:vAlign w:val="bottom"/>
          </w:tcPr>
          <w:p w:rsidR="00E77368" w:rsidRDefault="00E77368" w:rsidP="00E77368">
            <w:pPr>
              <w:widowControl/>
              <w:rPr>
                <w:rFonts w:ascii="Arial" w:hAnsi="Arial" w:cs="Arial"/>
                <w:b/>
                <w:bCs/>
                <w:sz w:val="22"/>
                <w:szCs w:val="22"/>
              </w:rPr>
            </w:pPr>
          </w:p>
          <w:p w:rsidR="000B6FED" w:rsidRDefault="000B6FED" w:rsidP="00E77368">
            <w:pPr>
              <w:widowControl/>
              <w:rPr>
                <w:rFonts w:ascii="Arial" w:hAnsi="Arial" w:cs="Arial"/>
                <w:b/>
                <w:bCs/>
                <w:sz w:val="22"/>
                <w:szCs w:val="22"/>
              </w:rPr>
            </w:pPr>
          </w:p>
          <w:p w:rsidR="00E77368" w:rsidRPr="00E77368" w:rsidRDefault="00E77368" w:rsidP="00E77368">
            <w:pPr>
              <w:widowControl/>
              <w:rPr>
                <w:rFonts w:ascii="Arial" w:hAnsi="Arial" w:cs="Arial"/>
                <w:b/>
                <w:bCs/>
                <w:sz w:val="22"/>
                <w:szCs w:val="22"/>
              </w:rPr>
            </w:pPr>
            <w:r w:rsidRPr="00E77368">
              <w:rPr>
                <w:rFonts w:ascii="Arial" w:hAnsi="Arial" w:cs="Arial"/>
                <w:b/>
                <w:bCs/>
                <w:sz w:val="22"/>
                <w:szCs w:val="22"/>
              </w:rPr>
              <w:t>Till MJU inkomna EU-dokument m.m. 19 september – 7 oktober</w:t>
            </w:r>
            <w:r>
              <w:rPr>
                <w:rFonts w:ascii="Arial" w:hAnsi="Arial" w:cs="Arial"/>
                <w:b/>
                <w:bCs/>
                <w:sz w:val="22"/>
                <w:szCs w:val="22"/>
              </w:rPr>
              <w:t xml:space="preserve"> </w:t>
            </w:r>
            <w:r w:rsidRPr="00E77368">
              <w:rPr>
                <w:rFonts w:ascii="Arial" w:hAnsi="Arial" w:cs="Arial"/>
                <w:b/>
                <w:bCs/>
                <w:sz w:val="22"/>
                <w:szCs w:val="22"/>
              </w:rPr>
              <w:t>2019</w:t>
            </w:r>
          </w:p>
        </w:tc>
      </w:tr>
      <w:tr w:rsidR="00E77368" w:rsidRPr="00A64BD8"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blHeader/>
        </w:trPr>
        <w:tc>
          <w:tcPr>
            <w:tcW w:w="951" w:type="pct"/>
            <w:shd w:val="clear" w:color="auto" w:fill="auto"/>
            <w:vAlign w:val="center"/>
          </w:tcPr>
          <w:p w:rsidR="00E77368" w:rsidRPr="00A64BD8" w:rsidRDefault="00E77368" w:rsidP="00B16B65">
            <w:pPr>
              <w:rPr>
                <w:b/>
                <w:bCs/>
                <w:sz w:val="22"/>
                <w:szCs w:val="22"/>
              </w:rPr>
            </w:pPr>
            <w:r w:rsidRPr="00A64BD8">
              <w:rPr>
                <w:b/>
                <w:bCs/>
                <w:sz w:val="22"/>
                <w:szCs w:val="22"/>
              </w:rPr>
              <w:t>Beteckning</w:t>
            </w:r>
          </w:p>
        </w:tc>
        <w:tc>
          <w:tcPr>
            <w:tcW w:w="4013" w:type="pct"/>
            <w:gridSpan w:val="5"/>
            <w:shd w:val="clear" w:color="auto" w:fill="auto"/>
            <w:vAlign w:val="center"/>
          </w:tcPr>
          <w:p w:rsidR="00E77368" w:rsidRPr="00A64BD8" w:rsidRDefault="00E77368" w:rsidP="00B16B65">
            <w:pPr>
              <w:rPr>
                <w:b/>
                <w:bCs/>
                <w:sz w:val="22"/>
                <w:szCs w:val="22"/>
              </w:rPr>
            </w:pPr>
            <w:r w:rsidRPr="00A64BD8">
              <w:rPr>
                <w:b/>
                <w:bCs/>
                <w:sz w:val="22"/>
                <w:szCs w:val="22"/>
              </w:rPr>
              <w:t>Rubrik</w:t>
            </w:r>
          </w:p>
        </w:tc>
      </w:tr>
      <w:tr w:rsidR="00E77368" w:rsidRPr="0053213C"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53213C" w:rsidRDefault="00E77368" w:rsidP="00B16B65">
            <w:pPr>
              <w:rPr>
                <w:bCs/>
                <w:sz w:val="22"/>
                <w:szCs w:val="22"/>
              </w:rPr>
            </w:pPr>
            <w:r w:rsidRPr="0053213C">
              <w:rPr>
                <w:bCs/>
                <w:sz w:val="22"/>
                <w:szCs w:val="22"/>
              </w:rPr>
              <w:t>COM(2019)</w:t>
            </w:r>
            <w:r>
              <w:rPr>
                <w:bCs/>
                <w:sz w:val="22"/>
                <w:szCs w:val="22"/>
              </w:rPr>
              <w:t xml:space="preserve"> 422</w:t>
            </w:r>
          </w:p>
        </w:tc>
        <w:tc>
          <w:tcPr>
            <w:tcW w:w="4013" w:type="pct"/>
            <w:gridSpan w:val="5"/>
            <w:shd w:val="clear" w:color="auto" w:fill="auto"/>
            <w:vAlign w:val="center"/>
          </w:tcPr>
          <w:p w:rsidR="00E77368" w:rsidRPr="0053213C" w:rsidRDefault="00E77368" w:rsidP="00B16B65">
            <w:pPr>
              <w:rPr>
                <w:bCs/>
                <w:sz w:val="22"/>
                <w:szCs w:val="22"/>
              </w:rPr>
            </w:pPr>
            <w:r w:rsidRPr="0053213C">
              <w:rPr>
                <w:bCs/>
                <w:sz w:val="22"/>
                <w:szCs w:val="22"/>
              </w:rPr>
              <w:t xml:space="preserve">RAPPORT FRÅN KOMMISSIONEN TILL EUROPAPARLAMENTET OCH RÅDET TOLFTE EKONOMISKA RAPPORTEN FRÅN KOMMISSIONEN TILL EUROPAPARLAMENTET OCH RÅDET om EUROPEISKA JORDBRUKSFONDEN FÖR LANDSBYGDSUTVECKLING (EJFLU) BUDGETÅRET 2018 </w:t>
            </w:r>
          </w:p>
        </w:tc>
      </w:tr>
      <w:tr w:rsidR="00E77368" w:rsidRPr="00CD6E78"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B046EA" w:rsidRDefault="00E77368" w:rsidP="00B16B65">
            <w:pPr>
              <w:rPr>
                <w:bCs/>
                <w:sz w:val="22"/>
                <w:szCs w:val="22"/>
              </w:rPr>
            </w:pPr>
            <w:r>
              <w:rPr>
                <w:bCs/>
                <w:sz w:val="22"/>
                <w:szCs w:val="22"/>
              </w:rPr>
              <w:t>COM(2019) 427</w:t>
            </w:r>
          </w:p>
        </w:tc>
        <w:tc>
          <w:tcPr>
            <w:tcW w:w="4013" w:type="pct"/>
            <w:gridSpan w:val="5"/>
            <w:shd w:val="clear" w:color="auto" w:fill="auto"/>
            <w:vAlign w:val="center"/>
          </w:tcPr>
          <w:p w:rsidR="00E77368" w:rsidRPr="00CD6E78" w:rsidRDefault="00E77368" w:rsidP="00B16B65">
            <w:pPr>
              <w:rPr>
                <w:bCs/>
                <w:sz w:val="22"/>
                <w:szCs w:val="22"/>
              </w:rPr>
            </w:pPr>
            <w:r w:rsidRPr="00454557">
              <w:rPr>
                <w:bCs/>
                <w:sz w:val="22"/>
                <w:szCs w:val="22"/>
              </w:rPr>
              <w:t xml:space="preserve">Förslag till RÅDETS BESLUT om den ståndpunkt som ska intas på Europeiska unionens vägnar i den gemensamma kommitté som inrättats genom avtalet mellan Europeiska unionen och Schweiziska edsförbundet om sammankoppling av deras utsläppshandelssystem för växthusgaser i syfte att ändra bilaga I och II till avtalet </w:t>
            </w:r>
          </w:p>
        </w:tc>
      </w:tr>
      <w:tr w:rsidR="00E77368" w:rsidRPr="00454557"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Default="00E77368" w:rsidP="00B16B65">
            <w:pPr>
              <w:rPr>
                <w:bCs/>
                <w:sz w:val="22"/>
                <w:szCs w:val="22"/>
              </w:rPr>
            </w:pPr>
            <w:r>
              <w:rPr>
                <w:bCs/>
                <w:sz w:val="22"/>
                <w:szCs w:val="22"/>
              </w:rPr>
              <w:t>COM(2019) 428</w:t>
            </w:r>
          </w:p>
        </w:tc>
        <w:tc>
          <w:tcPr>
            <w:tcW w:w="4013" w:type="pct"/>
            <w:gridSpan w:val="5"/>
            <w:shd w:val="clear" w:color="auto" w:fill="auto"/>
            <w:vAlign w:val="center"/>
          </w:tcPr>
          <w:p w:rsidR="00E77368" w:rsidRPr="00454557" w:rsidRDefault="00E77368" w:rsidP="00B16B65">
            <w:pPr>
              <w:rPr>
                <w:bCs/>
                <w:sz w:val="22"/>
                <w:szCs w:val="22"/>
              </w:rPr>
            </w:pPr>
            <w:r w:rsidRPr="00576C59">
              <w:rPr>
                <w:bCs/>
                <w:sz w:val="22"/>
                <w:szCs w:val="22"/>
              </w:rPr>
              <w:t xml:space="preserve">Förslag till RÅDETS BESLUT om den ståndpunkt som ska intas på Europeiska unionens vägnar vid det åttonde mötet i det styrande organet för det internationella fördraget om växtgenetiska resurser för livsmedel och jordbruk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Default="00E77368" w:rsidP="00E77368">
            <w:pPr>
              <w:rPr>
                <w:bCs/>
                <w:sz w:val="22"/>
                <w:szCs w:val="22"/>
              </w:rPr>
            </w:pPr>
            <w:r>
              <w:rPr>
                <w:bCs/>
                <w:sz w:val="22"/>
                <w:szCs w:val="22"/>
              </w:rPr>
              <w:t>COM(2019) 434</w:t>
            </w:r>
          </w:p>
        </w:tc>
        <w:tc>
          <w:tcPr>
            <w:tcW w:w="4013" w:type="pct"/>
            <w:gridSpan w:val="5"/>
            <w:shd w:val="clear" w:color="auto" w:fill="auto"/>
            <w:vAlign w:val="center"/>
          </w:tcPr>
          <w:p w:rsidR="00E77368" w:rsidRPr="00520384" w:rsidRDefault="00E77368" w:rsidP="00E77368">
            <w:pPr>
              <w:rPr>
                <w:bCs/>
                <w:sz w:val="22"/>
                <w:szCs w:val="22"/>
              </w:rPr>
            </w:pPr>
            <w:r w:rsidRPr="0080142E">
              <w:rPr>
                <w:bCs/>
                <w:sz w:val="22"/>
                <w:szCs w:val="22"/>
              </w:rPr>
              <w:t xml:space="preserve">RAPPORT FRÅN KOMMISSIONEN TILL EUROPAPARLAMENTET OCH RÅDET om kommissionens befogenhet att anta delegerade akter enligt Europaparlamentets och rådets förordning (EU) nr 251/2014 av den 26 februari 2014 om definition, beskrivning, presentation och märkning av, samt skydd av geografiska beteckningar för, aromatiserade vinprodukter och om upphävande av rådets förordning (EEG) nr 1601/91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Default="00E77368" w:rsidP="00E77368">
            <w:pPr>
              <w:rPr>
                <w:bCs/>
                <w:sz w:val="22"/>
                <w:szCs w:val="22"/>
              </w:rPr>
            </w:pPr>
            <w:r>
              <w:rPr>
                <w:bCs/>
                <w:sz w:val="22"/>
                <w:szCs w:val="22"/>
              </w:rPr>
              <w:t>COM(2019) 435</w:t>
            </w:r>
          </w:p>
        </w:tc>
        <w:tc>
          <w:tcPr>
            <w:tcW w:w="4013" w:type="pct"/>
            <w:gridSpan w:val="5"/>
            <w:shd w:val="clear" w:color="auto" w:fill="auto"/>
            <w:vAlign w:val="center"/>
          </w:tcPr>
          <w:p w:rsidR="00E77368" w:rsidRPr="00520384" w:rsidRDefault="00E77368" w:rsidP="00E77368">
            <w:pPr>
              <w:rPr>
                <w:bCs/>
                <w:sz w:val="22"/>
                <w:szCs w:val="22"/>
              </w:rPr>
            </w:pPr>
            <w:r w:rsidRPr="0080142E">
              <w:rPr>
                <w:bCs/>
                <w:sz w:val="22"/>
                <w:szCs w:val="22"/>
              </w:rPr>
              <w:t xml:space="preserve">RAPPORT FRÅN KOMMISSIONEN TILL EUROPAPARLAMENTET OCH RÅDET om kommissionens befogenhet att anta delegerade akter enligt Europaparlamentets och rådets direktiv 2000/36/EG av den 23 juni 2000 om kakao- och chokladvaror avsedda som livsmedel, rådets direktiv 2001/110/EG av den 20 december 2001 om honung, rådets direktiv 2001/111/EG av den 20 december 2001 om vissa former av socker avsedda som livsmedel, rådets direktiv 2001/112/EG av den 20 december 2001 om fruktjuice och vissa liknande produkter avsedda som livsmedel och rådets direktiv 2001/113/EG av den 20 december 2001 om sylt, gelé och marmelad samt sötad kastanjepuré avsedda som livsmedel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Default="00E77368" w:rsidP="00E77368">
            <w:pPr>
              <w:rPr>
                <w:bCs/>
                <w:sz w:val="22"/>
                <w:szCs w:val="22"/>
              </w:rPr>
            </w:pPr>
            <w:r>
              <w:rPr>
                <w:bCs/>
                <w:sz w:val="22"/>
                <w:szCs w:val="22"/>
              </w:rPr>
              <w:t>COM(2019) 436</w:t>
            </w:r>
          </w:p>
        </w:tc>
        <w:tc>
          <w:tcPr>
            <w:tcW w:w="4013" w:type="pct"/>
            <w:gridSpan w:val="5"/>
            <w:shd w:val="clear" w:color="auto" w:fill="auto"/>
            <w:vAlign w:val="center"/>
          </w:tcPr>
          <w:p w:rsidR="00E77368" w:rsidRPr="000052C6" w:rsidRDefault="00E77368" w:rsidP="00E77368">
            <w:pPr>
              <w:rPr>
                <w:bCs/>
                <w:sz w:val="22"/>
                <w:szCs w:val="22"/>
              </w:rPr>
            </w:pPr>
            <w:r w:rsidRPr="0080142E">
              <w:rPr>
                <w:bCs/>
                <w:sz w:val="22"/>
                <w:szCs w:val="22"/>
              </w:rPr>
              <w:t xml:space="preserve">RAPPORT FRÅN KOMMISSIONEN TILL EUROPAPARLAMENTET OCH RÅDET om kommissionens befogenhet att anta delegerade akter enligt Europaparlamentets och rådets förordning (EU) nr 228/2013 av den 13 mars 2013 om särskilda åtgärder inom jordbruket till förmån för unionens yttersta randområden och om upphävande av rådets förordning (EG) nr 247/2006 och enligt Europaparlamentets och rådets förordning (EU) nr 229/2013 av den 13 mars 2013 om särskilda åtgärder inom jordbruket till förmån för de mindre Egeiska öarna och om upphävande av rådets förordning (EG) nr 1405/2006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EA3099" w:rsidRDefault="00E77368" w:rsidP="00E77368">
            <w:pPr>
              <w:rPr>
                <w:bCs/>
                <w:sz w:val="22"/>
                <w:szCs w:val="22"/>
              </w:rPr>
            </w:pPr>
            <w:r w:rsidRPr="00EA3099">
              <w:rPr>
                <w:bCs/>
                <w:sz w:val="22"/>
                <w:szCs w:val="22"/>
              </w:rPr>
              <w:t>COM(2019)</w:t>
            </w:r>
            <w:r>
              <w:rPr>
                <w:bCs/>
                <w:sz w:val="22"/>
                <w:szCs w:val="22"/>
              </w:rPr>
              <w:t xml:space="preserve"> 437</w:t>
            </w:r>
          </w:p>
        </w:tc>
        <w:tc>
          <w:tcPr>
            <w:tcW w:w="4013" w:type="pct"/>
            <w:gridSpan w:val="5"/>
            <w:shd w:val="clear" w:color="auto" w:fill="auto"/>
            <w:vAlign w:val="center"/>
          </w:tcPr>
          <w:p w:rsidR="00E77368" w:rsidRPr="00EA3099" w:rsidRDefault="00E77368" w:rsidP="00E77368">
            <w:pPr>
              <w:rPr>
                <w:bCs/>
                <w:sz w:val="22"/>
                <w:szCs w:val="22"/>
              </w:rPr>
            </w:pPr>
            <w:r w:rsidRPr="00176386">
              <w:rPr>
                <w:bCs/>
                <w:sz w:val="22"/>
                <w:szCs w:val="22"/>
              </w:rPr>
              <w:t xml:space="preserve">RAPPORT FRÅN KOMMISSIONEN TILL EUROPAPARLAMENTET OCH RÅDET om kommissionens befogenhet att anta delegerade akter enligt Europaparlamentets och rådets förordning (EU) nr 1144/2014 av den 22 oktober 2014 om informationskampanjer och säljfrämjande åtgärder som avser jordbruksprodukter som genomförs på den inre marknaden och i tredjeland och om upphävande av rådets förordning (EG) nr 3/2008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EA3099" w:rsidRDefault="00E77368" w:rsidP="00E77368">
            <w:pPr>
              <w:rPr>
                <w:bCs/>
                <w:sz w:val="22"/>
                <w:szCs w:val="22"/>
              </w:rPr>
            </w:pPr>
            <w:r w:rsidRPr="00EA3099">
              <w:rPr>
                <w:bCs/>
                <w:sz w:val="22"/>
                <w:szCs w:val="22"/>
              </w:rPr>
              <w:t>COM(2019)</w:t>
            </w:r>
            <w:r>
              <w:rPr>
                <w:bCs/>
                <w:sz w:val="22"/>
                <w:szCs w:val="22"/>
              </w:rPr>
              <w:t xml:space="preserve"> 438</w:t>
            </w:r>
          </w:p>
        </w:tc>
        <w:tc>
          <w:tcPr>
            <w:tcW w:w="4013" w:type="pct"/>
            <w:gridSpan w:val="5"/>
            <w:shd w:val="clear" w:color="auto" w:fill="auto"/>
            <w:vAlign w:val="center"/>
          </w:tcPr>
          <w:p w:rsidR="00E77368" w:rsidRPr="00EA3099" w:rsidRDefault="00E77368" w:rsidP="00E77368">
            <w:pPr>
              <w:rPr>
                <w:bCs/>
                <w:sz w:val="22"/>
                <w:szCs w:val="22"/>
              </w:rPr>
            </w:pPr>
            <w:r w:rsidRPr="009353A2">
              <w:rPr>
                <w:bCs/>
                <w:sz w:val="22"/>
                <w:szCs w:val="22"/>
              </w:rPr>
              <w:t xml:space="preserve">Förslag till RÅDETS BESLUT om den ståndpunkt som ska intas på Europeiska unionens vägnar i gemensamma EES-kommittén beträffande en ändring av protokoll 31 till EES-avtalet om samarbete inom särskilda områden vid sidan om de fyra friheterna [Utvidgat klimatsamarbete EU – Island – Norge]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EA3099" w:rsidRDefault="00E77368" w:rsidP="00E77368">
            <w:pPr>
              <w:rPr>
                <w:bCs/>
                <w:sz w:val="22"/>
                <w:szCs w:val="22"/>
              </w:rPr>
            </w:pPr>
            <w:r w:rsidRPr="00EA3099">
              <w:rPr>
                <w:bCs/>
                <w:sz w:val="22"/>
                <w:szCs w:val="22"/>
              </w:rPr>
              <w:t>COM(2019)</w:t>
            </w:r>
            <w:r>
              <w:rPr>
                <w:bCs/>
                <w:sz w:val="22"/>
                <w:szCs w:val="22"/>
              </w:rPr>
              <w:t xml:space="preserve"> 446</w:t>
            </w:r>
          </w:p>
        </w:tc>
        <w:tc>
          <w:tcPr>
            <w:tcW w:w="4013" w:type="pct"/>
            <w:gridSpan w:val="5"/>
            <w:shd w:val="clear" w:color="auto" w:fill="auto"/>
            <w:vAlign w:val="center"/>
          </w:tcPr>
          <w:p w:rsidR="00E77368" w:rsidRPr="00EA3099" w:rsidRDefault="00E77368" w:rsidP="00E77368">
            <w:pPr>
              <w:rPr>
                <w:bCs/>
                <w:sz w:val="22"/>
                <w:szCs w:val="22"/>
              </w:rPr>
            </w:pPr>
            <w:r w:rsidRPr="00997984">
              <w:rPr>
                <w:bCs/>
                <w:sz w:val="22"/>
                <w:szCs w:val="22"/>
              </w:rPr>
              <w:t xml:space="preserve">Förslag till RÅDETS FÖRORDNING om fördelning av de fiskemöjligheter som föreskrivs i protokollet om fastställande av de fiskemöjligheter och den ekonomiska ersättning som föreskrivs i partnerskapsavtalet om fiske mellan Europeiska gemenskapen och Islamiska republiken Mauretanien för en period om högst ett år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EA3099" w:rsidRDefault="00E77368" w:rsidP="00E77368">
            <w:pPr>
              <w:rPr>
                <w:bCs/>
                <w:sz w:val="22"/>
                <w:szCs w:val="22"/>
              </w:rPr>
            </w:pPr>
            <w:r w:rsidRPr="00EA3099">
              <w:rPr>
                <w:bCs/>
                <w:sz w:val="22"/>
                <w:szCs w:val="22"/>
              </w:rPr>
              <w:t>COM(2019)</w:t>
            </w:r>
            <w:r>
              <w:rPr>
                <w:bCs/>
                <w:sz w:val="22"/>
                <w:szCs w:val="22"/>
              </w:rPr>
              <w:t xml:space="preserve"> 447</w:t>
            </w:r>
          </w:p>
        </w:tc>
        <w:tc>
          <w:tcPr>
            <w:tcW w:w="4013" w:type="pct"/>
            <w:gridSpan w:val="5"/>
            <w:shd w:val="clear" w:color="auto" w:fill="auto"/>
            <w:vAlign w:val="center"/>
          </w:tcPr>
          <w:p w:rsidR="00E77368" w:rsidRPr="00EA3099" w:rsidRDefault="00E77368" w:rsidP="00E77368">
            <w:pPr>
              <w:rPr>
                <w:bCs/>
                <w:sz w:val="22"/>
                <w:szCs w:val="22"/>
              </w:rPr>
            </w:pPr>
            <w:r w:rsidRPr="00766F11">
              <w:rPr>
                <w:bCs/>
                <w:sz w:val="22"/>
                <w:szCs w:val="22"/>
              </w:rPr>
              <w:t xml:space="preserve">Förslag till RÅDETS BESLUT om undertecknande, på Europeiska unionens vägnar, och om provisorisk tillämpning av avtalet genom skriftväxling mellan Europeiska unionen och Islamiska republiken Mauretanien om förlängning av protokollet om fastställande av de fiskemöjligheter och den ekonomiska ersättning som föreskrivs i partnerskapsavtalet om fiske mellan Europeiska gemenskapen och Islamiska republiken Mauretanien, vilket löper ut den 15 november 2019 </w:t>
            </w:r>
          </w:p>
        </w:tc>
      </w:tr>
      <w:tr w:rsidR="00E77368" w:rsidRPr="009F4CFD" w:rsidTr="00E7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 w:type="pct"/>
          <w:trHeight w:val="315"/>
        </w:trPr>
        <w:tc>
          <w:tcPr>
            <w:tcW w:w="951" w:type="pct"/>
            <w:shd w:val="clear" w:color="auto" w:fill="auto"/>
            <w:vAlign w:val="center"/>
          </w:tcPr>
          <w:p w:rsidR="00E77368" w:rsidRPr="00EA3099" w:rsidRDefault="00E77368" w:rsidP="00E77368">
            <w:pPr>
              <w:rPr>
                <w:bCs/>
                <w:sz w:val="22"/>
                <w:szCs w:val="22"/>
              </w:rPr>
            </w:pPr>
            <w:r w:rsidRPr="00EA3099">
              <w:rPr>
                <w:bCs/>
                <w:sz w:val="22"/>
                <w:szCs w:val="22"/>
              </w:rPr>
              <w:t>COM(2019)</w:t>
            </w:r>
            <w:r>
              <w:rPr>
                <w:bCs/>
                <w:sz w:val="22"/>
                <w:szCs w:val="22"/>
              </w:rPr>
              <w:t xml:space="preserve"> 448</w:t>
            </w:r>
          </w:p>
        </w:tc>
        <w:tc>
          <w:tcPr>
            <w:tcW w:w="4013" w:type="pct"/>
            <w:gridSpan w:val="5"/>
            <w:shd w:val="clear" w:color="auto" w:fill="auto"/>
            <w:vAlign w:val="center"/>
          </w:tcPr>
          <w:p w:rsidR="00E77368" w:rsidRPr="00EA3099" w:rsidRDefault="00E77368" w:rsidP="00E77368">
            <w:pPr>
              <w:rPr>
                <w:bCs/>
                <w:sz w:val="22"/>
                <w:szCs w:val="22"/>
              </w:rPr>
            </w:pPr>
            <w:r w:rsidRPr="00960D4C">
              <w:rPr>
                <w:bCs/>
                <w:sz w:val="22"/>
                <w:szCs w:val="22"/>
              </w:rPr>
              <w:t xml:space="preserve">Förslag till RÅDETS BESLUT om ingående av avtalet genom skriftväxling mellan Europeiska unionen och Islamiska republiken Mauretanien om förlängning av protokollet om fastställande av de fiskemöjligheter och den ekonomiska ersättning som föreskrivs i partnerskapsavtalet om fiske mellan Europeiska gemenskapen och Islamiska republiken Mauretanien, vilket löper ut den 15 november 2019 </w:t>
            </w:r>
          </w:p>
        </w:tc>
      </w:tr>
    </w:tbl>
    <w:p w:rsidR="00490CCE" w:rsidRDefault="00490CCE" w:rsidP="00E77368">
      <w:pPr>
        <w:rPr>
          <w:b/>
          <w:kern w:val="32"/>
          <w:sz w:val="22"/>
          <w:szCs w:val="22"/>
        </w:rPr>
      </w:pPr>
    </w:p>
    <w:p w:rsidR="00E77368" w:rsidRDefault="00E77368" w:rsidP="00E77368">
      <w:pPr>
        <w:rPr>
          <w:b/>
          <w:kern w:val="32"/>
          <w:sz w:val="22"/>
          <w:szCs w:val="22"/>
        </w:rPr>
      </w:pPr>
      <w:r>
        <w:rPr>
          <w:b/>
          <w:kern w:val="32"/>
          <w:sz w:val="22"/>
          <w:szCs w:val="22"/>
        </w:rPr>
        <w:t xml:space="preserve">C-dokument för kännedom. (Handlingar som rör rättsakter från kommissionens eget ansvarsområde, bl.a. genomförandeakter och delegerade akter som lämnats till rådet och parlamentet för kännedom.)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8"/>
        <w:gridCol w:w="7860"/>
      </w:tblGrid>
      <w:tr w:rsidR="00E77368" w:rsidRPr="00CB6535" w:rsidTr="00E77368">
        <w:trPr>
          <w:trHeight w:val="572"/>
        </w:trPr>
        <w:tc>
          <w:tcPr>
            <w:tcW w:w="918" w:type="pct"/>
            <w:shd w:val="clear" w:color="auto" w:fill="auto"/>
            <w:vAlign w:val="center"/>
          </w:tcPr>
          <w:p w:rsidR="00E77368" w:rsidRPr="003131FE" w:rsidRDefault="00E77368" w:rsidP="00B16B65">
            <w:pPr>
              <w:rPr>
                <w:bCs/>
                <w:sz w:val="22"/>
                <w:szCs w:val="22"/>
              </w:rPr>
            </w:pPr>
            <w:r>
              <w:rPr>
                <w:bCs/>
                <w:sz w:val="22"/>
                <w:szCs w:val="22"/>
              </w:rPr>
              <w:t>C(2019) 6741</w:t>
            </w:r>
          </w:p>
        </w:tc>
        <w:tc>
          <w:tcPr>
            <w:tcW w:w="4082" w:type="pct"/>
            <w:shd w:val="clear" w:color="auto" w:fill="auto"/>
            <w:vAlign w:val="center"/>
          </w:tcPr>
          <w:p w:rsidR="00E77368" w:rsidRPr="00CB6535" w:rsidRDefault="00E77368" w:rsidP="00B16B65">
            <w:pPr>
              <w:rPr>
                <w:sz w:val="22"/>
                <w:szCs w:val="22"/>
              </w:rPr>
            </w:pPr>
            <w:r w:rsidRPr="00CB6535">
              <w:rPr>
                <w:sz w:val="22"/>
                <w:szCs w:val="22"/>
              </w:rPr>
              <w:t>KOMMISSIONENS BESLUT av den 23.9.2019 om ändring av beslut C(2016) 7857 av den 7 december 2016 om tillstånd till utbetalning av nationellt stöd för produktion och saluföring av renar och renprodukter i Sverige</w:t>
            </w:r>
          </w:p>
        </w:tc>
      </w:tr>
      <w:tr w:rsidR="00E77368" w:rsidRPr="00CB6535" w:rsidTr="00E77368">
        <w:trPr>
          <w:trHeight w:val="572"/>
        </w:trPr>
        <w:tc>
          <w:tcPr>
            <w:tcW w:w="918" w:type="pct"/>
            <w:shd w:val="clear" w:color="auto" w:fill="auto"/>
            <w:vAlign w:val="center"/>
          </w:tcPr>
          <w:p w:rsidR="00E77368" w:rsidRPr="003131FE" w:rsidRDefault="00E77368" w:rsidP="00B16B65">
            <w:pPr>
              <w:rPr>
                <w:bCs/>
                <w:sz w:val="22"/>
                <w:szCs w:val="22"/>
              </w:rPr>
            </w:pPr>
            <w:r>
              <w:rPr>
                <w:bCs/>
                <w:sz w:val="22"/>
                <w:szCs w:val="22"/>
              </w:rPr>
              <w:t>C(2019) 6745</w:t>
            </w:r>
          </w:p>
        </w:tc>
        <w:tc>
          <w:tcPr>
            <w:tcW w:w="4082" w:type="pct"/>
            <w:shd w:val="clear" w:color="auto" w:fill="auto"/>
            <w:vAlign w:val="center"/>
          </w:tcPr>
          <w:p w:rsidR="00E77368" w:rsidRPr="00CB6535" w:rsidRDefault="00E77368" w:rsidP="00B16B65">
            <w:pPr>
              <w:rPr>
                <w:sz w:val="22"/>
                <w:szCs w:val="22"/>
              </w:rPr>
            </w:pPr>
            <w:r w:rsidRPr="00555E82">
              <w:rPr>
                <w:sz w:val="22"/>
                <w:szCs w:val="22"/>
              </w:rPr>
              <w:t>KOMMISSIONENS GENOMFÖRANDEBESLUT av den 23.9.2019 om fastställande av format och periodicitet för uppgifter som medlemsstaterna ska göra tillgängliga vid rapporteringen enligt Europaparlamentets och rådets förordning (EG) nr 166/2006 om upprättande av ett europeiskt register över utsläpp och överföringar av föroreningar och om ändring av rådets direktiv 91/689/EEG och 96/61/EG</w:t>
            </w:r>
          </w:p>
        </w:tc>
      </w:tr>
      <w:tr w:rsidR="00E77368" w:rsidRPr="00B67C14" w:rsidTr="00E77368">
        <w:trPr>
          <w:trHeight w:val="572"/>
        </w:trPr>
        <w:tc>
          <w:tcPr>
            <w:tcW w:w="918" w:type="pct"/>
            <w:shd w:val="clear" w:color="auto" w:fill="auto"/>
            <w:vAlign w:val="center"/>
          </w:tcPr>
          <w:p w:rsidR="00E77368" w:rsidRPr="003131FE" w:rsidRDefault="00E77368" w:rsidP="00B16B65">
            <w:pPr>
              <w:rPr>
                <w:bCs/>
                <w:sz w:val="22"/>
                <w:szCs w:val="22"/>
              </w:rPr>
            </w:pPr>
            <w:r>
              <w:rPr>
                <w:bCs/>
                <w:sz w:val="22"/>
                <w:szCs w:val="22"/>
              </w:rPr>
              <w:t>C(2019) 6875</w:t>
            </w:r>
          </w:p>
        </w:tc>
        <w:tc>
          <w:tcPr>
            <w:tcW w:w="4082" w:type="pct"/>
            <w:shd w:val="clear" w:color="auto" w:fill="auto"/>
            <w:vAlign w:val="center"/>
          </w:tcPr>
          <w:p w:rsidR="00E77368" w:rsidRPr="00B67C14" w:rsidRDefault="00E77368" w:rsidP="00B16B65">
            <w:pPr>
              <w:rPr>
                <w:sz w:val="22"/>
                <w:szCs w:val="22"/>
              </w:rPr>
            </w:pPr>
            <w:r w:rsidRPr="00B67C14">
              <w:rPr>
                <w:sz w:val="22"/>
                <w:szCs w:val="22"/>
              </w:rPr>
              <w:t>KOMMISSIONENS GENOMFÖRANDEBESLUT av den 19.9.2019</w:t>
            </w:r>
            <w:r>
              <w:rPr>
                <w:sz w:val="22"/>
                <w:szCs w:val="22"/>
              </w:rPr>
              <w:t xml:space="preserve"> </w:t>
            </w:r>
            <w:r w:rsidRPr="00B67C14">
              <w:rPr>
                <w:sz w:val="22"/>
                <w:szCs w:val="22"/>
              </w:rPr>
              <w:t>om månatliga utbetalningar från EGFJ för utgifter som verkställts av</w:t>
            </w:r>
            <w:r>
              <w:rPr>
                <w:sz w:val="22"/>
                <w:szCs w:val="22"/>
              </w:rPr>
              <w:t xml:space="preserve"> </w:t>
            </w:r>
            <w:r w:rsidRPr="00B67C14">
              <w:rPr>
                <w:sz w:val="22"/>
                <w:szCs w:val="22"/>
              </w:rPr>
              <w:t>utbetalningsställen i medlemsstaterna i augusti 2019http://lemur.riksdagen.se/Dokument/Visa.aspx?ID=32389</w:t>
            </w:r>
          </w:p>
        </w:tc>
      </w:tr>
      <w:tr w:rsidR="00E77368" w:rsidRPr="00382963" w:rsidTr="00E77368">
        <w:trPr>
          <w:trHeight w:val="572"/>
        </w:trPr>
        <w:tc>
          <w:tcPr>
            <w:tcW w:w="918" w:type="pct"/>
            <w:shd w:val="clear" w:color="auto" w:fill="auto"/>
            <w:vAlign w:val="center"/>
          </w:tcPr>
          <w:p w:rsidR="00E77368" w:rsidRDefault="00E77368" w:rsidP="00B16B65">
            <w:pPr>
              <w:tabs>
                <w:tab w:val="left" w:pos="1416"/>
              </w:tabs>
              <w:rPr>
                <w:bCs/>
                <w:sz w:val="22"/>
                <w:szCs w:val="22"/>
              </w:rPr>
            </w:pPr>
            <w:r>
              <w:rPr>
                <w:bCs/>
                <w:sz w:val="22"/>
                <w:szCs w:val="22"/>
              </w:rPr>
              <w:t>C(2019) 6925</w:t>
            </w:r>
          </w:p>
        </w:tc>
        <w:tc>
          <w:tcPr>
            <w:tcW w:w="4082" w:type="pct"/>
            <w:shd w:val="clear" w:color="auto" w:fill="auto"/>
            <w:vAlign w:val="center"/>
          </w:tcPr>
          <w:p w:rsidR="00E77368" w:rsidRPr="00382963" w:rsidRDefault="00E77368" w:rsidP="00B16B65">
            <w:pPr>
              <w:rPr>
                <w:sz w:val="22"/>
                <w:szCs w:val="22"/>
              </w:rPr>
            </w:pPr>
            <w:r w:rsidRPr="00273E7C">
              <w:rPr>
                <w:sz w:val="22"/>
                <w:szCs w:val="22"/>
              </w:rPr>
              <w:t>KOMMISSIONENS GENOMFÖRANDEBESLUT av den 23.9.2019 om godkännande av ändringen av Sveriges landsbygdsprogram för stöd från Europeiska jordbruksfonden för landsbygdsutveckling och om ändring av genomförandebeslut C(2015) 3485 CCI 2014SE06RDNP001</w:t>
            </w:r>
          </w:p>
        </w:tc>
      </w:tr>
      <w:tr w:rsidR="00E77368" w:rsidRPr="000052C6"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7044</w:t>
            </w:r>
          </w:p>
        </w:tc>
        <w:tc>
          <w:tcPr>
            <w:tcW w:w="4082" w:type="pct"/>
            <w:shd w:val="clear" w:color="auto" w:fill="auto"/>
            <w:vAlign w:val="center"/>
          </w:tcPr>
          <w:p w:rsidR="00E77368" w:rsidRPr="000052C6" w:rsidRDefault="00E77368" w:rsidP="00B16B65">
            <w:pPr>
              <w:rPr>
                <w:sz w:val="22"/>
                <w:szCs w:val="22"/>
              </w:rPr>
            </w:pPr>
            <w:r w:rsidRPr="004237D2">
              <w:rPr>
                <w:sz w:val="22"/>
                <w:szCs w:val="22"/>
              </w:rPr>
              <w:t xml:space="preserve">KOMMISSIONENS GENOMFÖRANDEBESLUT av den 27.9.2019 om ändring av bilagan till genomförandebeslut 2014/709/EU om djurhälsoåtgärder för att bekämpa afrikansk svinpest i vissa medlemsstater </w:t>
            </w:r>
          </w:p>
        </w:tc>
      </w:tr>
      <w:tr w:rsidR="00E77368" w:rsidRPr="004237D2"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7046</w:t>
            </w:r>
          </w:p>
        </w:tc>
        <w:tc>
          <w:tcPr>
            <w:tcW w:w="4082" w:type="pct"/>
            <w:shd w:val="clear" w:color="auto" w:fill="auto"/>
            <w:vAlign w:val="center"/>
          </w:tcPr>
          <w:p w:rsidR="00E77368" w:rsidRPr="004237D2" w:rsidRDefault="00E77368" w:rsidP="00B16B65">
            <w:pPr>
              <w:rPr>
                <w:sz w:val="22"/>
                <w:szCs w:val="22"/>
              </w:rPr>
            </w:pPr>
            <w:r w:rsidRPr="001C66A7">
              <w:rPr>
                <w:sz w:val="22"/>
                <w:szCs w:val="22"/>
              </w:rPr>
              <w:t>KOMMISSIONENS DELEGERADE FÖRORDNING (EU) …/…av den 1.10.2019 om fastställande av närmare bestämmelser för landningsskyldigheten för vissa demersala fisken i sydvästliga vatten för perioden 2020–2021</w:t>
            </w:r>
          </w:p>
        </w:tc>
      </w:tr>
      <w:tr w:rsidR="00E77368" w:rsidRPr="001C66A7"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7048</w:t>
            </w:r>
          </w:p>
        </w:tc>
        <w:tc>
          <w:tcPr>
            <w:tcW w:w="4082" w:type="pct"/>
            <w:shd w:val="clear" w:color="auto" w:fill="auto"/>
            <w:vAlign w:val="center"/>
          </w:tcPr>
          <w:p w:rsidR="00E77368" w:rsidRPr="001C66A7" w:rsidRDefault="00E77368" w:rsidP="00B16B65">
            <w:pPr>
              <w:rPr>
                <w:sz w:val="22"/>
                <w:szCs w:val="22"/>
              </w:rPr>
            </w:pPr>
            <w:r w:rsidRPr="00396E50">
              <w:rPr>
                <w:sz w:val="22"/>
                <w:szCs w:val="22"/>
              </w:rPr>
              <w:t>KOMMISSIONENS DELEGERADE FÖRORDNING (EU) …/… av den 1.10.2019 med fastställande av närmare bestämmelser för landningsskyldigheten för vissa demersala fisken i nordvästliga vatten för perioden 2020–2021</w:t>
            </w:r>
          </w:p>
        </w:tc>
      </w:tr>
      <w:tr w:rsidR="00E77368" w:rsidRPr="00396E50"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7078</w:t>
            </w:r>
          </w:p>
        </w:tc>
        <w:tc>
          <w:tcPr>
            <w:tcW w:w="4082" w:type="pct"/>
            <w:shd w:val="clear" w:color="auto" w:fill="auto"/>
            <w:vAlign w:val="center"/>
          </w:tcPr>
          <w:p w:rsidR="00E77368" w:rsidRPr="00396E50" w:rsidRDefault="00E77368" w:rsidP="00B16B65">
            <w:pPr>
              <w:rPr>
                <w:sz w:val="22"/>
                <w:szCs w:val="22"/>
              </w:rPr>
            </w:pPr>
            <w:r w:rsidRPr="00396E50">
              <w:rPr>
                <w:sz w:val="22"/>
                <w:szCs w:val="22"/>
              </w:rPr>
              <w:t>KOMMISSIONENS DELEGERADE FÖRORDNING (EU) …/… av den 1.10.2019 om fastställande av närmare bestämmelser för genomförandet av landningsskyldigheten för vissa demersala fisken i Nordsjön för perioden 2020–2021</w:t>
            </w:r>
          </w:p>
        </w:tc>
      </w:tr>
      <w:tr w:rsidR="00E77368" w:rsidRPr="00382963"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7089</w:t>
            </w:r>
          </w:p>
        </w:tc>
        <w:tc>
          <w:tcPr>
            <w:tcW w:w="4082" w:type="pct"/>
            <w:shd w:val="clear" w:color="auto" w:fill="auto"/>
            <w:vAlign w:val="center"/>
          </w:tcPr>
          <w:p w:rsidR="00E77368" w:rsidRPr="00382963" w:rsidRDefault="00E77368" w:rsidP="00B16B65">
            <w:pPr>
              <w:rPr>
                <w:sz w:val="22"/>
                <w:szCs w:val="22"/>
              </w:rPr>
            </w:pPr>
            <w:r w:rsidRPr="001C5971">
              <w:rPr>
                <w:sz w:val="22"/>
                <w:szCs w:val="22"/>
              </w:rPr>
              <w:t>KOMMISSIONENS DELEGERADE FÖRORDNING (EU) …/…av den 1.10.2019 om komplettering av Europaparlamentets och rådets förordning (EU) 2019/1241 med närmare regler för genomförandet av realtidsstängningar för fisket efter nordhavsräka i Skagerrak</w:t>
            </w:r>
          </w:p>
        </w:tc>
      </w:tr>
      <w:tr w:rsidR="00E77368" w:rsidRPr="003131FE" w:rsidTr="00E77368">
        <w:trPr>
          <w:trHeight w:val="572"/>
        </w:trPr>
        <w:tc>
          <w:tcPr>
            <w:tcW w:w="918" w:type="pct"/>
            <w:shd w:val="clear" w:color="auto" w:fill="auto"/>
            <w:vAlign w:val="center"/>
          </w:tcPr>
          <w:p w:rsidR="00E77368" w:rsidRDefault="00E77368" w:rsidP="00B16B65">
            <w:pPr>
              <w:rPr>
                <w:bCs/>
                <w:sz w:val="22"/>
                <w:szCs w:val="22"/>
              </w:rPr>
            </w:pPr>
            <w:r>
              <w:rPr>
                <w:bCs/>
                <w:sz w:val="22"/>
                <w:szCs w:val="22"/>
              </w:rPr>
              <w:t>C(2019) 7227</w:t>
            </w:r>
          </w:p>
        </w:tc>
        <w:tc>
          <w:tcPr>
            <w:tcW w:w="4082" w:type="pct"/>
            <w:shd w:val="clear" w:color="auto" w:fill="auto"/>
            <w:vAlign w:val="center"/>
          </w:tcPr>
          <w:p w:rsidR="00E77368" w:rsidRPr="003131FE" w:rsidRDefault="00E77368" w:rsidP="00E77368">
            <w:pPr>
              <w:rPr>
                <w:sz w:val="22"/>
                <w:szCs w:val="22"/>
              </w:rPr>
            </w:pPr>
            <w:r w:rsidRPr="00297796">
              <w:rPr>
                <w:sz w:val="22"/>
                <w:szCs w:val="22"/>
              </w:rPr>
              <w:t>KOMMISSIONENS DELEGERADE FÖRORDNING (EU) …/… av den 4.10.2019 om ändring, för anpassning till den tekniska och vetenskapliga utvecklingen, av Europaparlamentets och rådets förordning (EG) nr 1272/2008 om klassificering, märkning och förpackning av ämnen och blandningar och rättelse av den förordningen</w:t>
            </w:r>
          </w:p>
        </w:tc>
      </w:tr>
      <w:tr w:rsidR="00E77368" w:rsidRPr="000052C6" w:rsidTr="00E77368">
        <w:trPr>
          <w:trHeight w:val="572"/>
        </w:trPr>
        <w:tc>
          <w:tcPr>
            <w:tcW w:w="918" w:type="pct"/>
            <w:shd w:val="clear" w:color="auto" w:fill="auto"/>
            <w:vAlign w:val="center"/>
          </w:tcPr>
          <w:p w:rsidR="00E77368" w:rsidRPr="00CD6E78" w:rsidRDefault="00E77368" w:rsidP="00B16B65">
            <w:pPr>
              <w:rPr>
                <w:bCs/>
                <w:sz w:val="22"/>
                <w:szCs w:val="22"/>
              </w:rPr>
            </w:pPr>
            <w:r>
              <w:rPr>
                <w:bCs/>
                <w:sz w:val="22"/>
                <w:szCs w:val="22"/>
              </w:rPr>
              <w:t>C(2019) 7246</w:t>
            </w:r>
          </w:p>
        </w:tc>
        <w:tc>
          <w:tcPr>
            <w:tcW w:w="4082" w:type="pct"/>
            <w:shd w:val="clear" w:color="auto" w:fill="auto"/>
            <w:vAlign w:val="center"/>
          </w:tcPr>
          <w:p w:rsidR="00E77368" w:rsidRPr="00C40FC3" w:rsidRDefault="00E77368" w:rsidP="00B16B65">
            <w:pPr>
              <w:rPr>
                <w:sz w:val="22"/>
                <w:szCs w:val="22"/>
              </w:rPr>
            </w:pPr>
            <w:r w:rsidRPr="00C40FC3">
              <w:rPr>
                <w:sz w:val="22"/>
                <w:szCs w:val="22"/>
              </w:rPr>
              <w:t>KOMMISSIONENS GENOMFÖRANDEBESLUT av den 4.10.2019</w:t>
            </w:r>
          </w:p>
          <w:p w:rsidR="00E77368" w:rsidRPr="000052C6" w:rsidRDefault="00E77368" w:rsidP="00B16B65">
            <w:pPr>
              <w:rPr>
                <w:sz w:val="22"/>
                <w:szCs w:val="22"/>
              </w:rPr>
            </w:pPr>
            <w:r w:rsidRPr="00C40FC3">
              <w:rPr>
                <w:sz w:val="22"/>
                <w:szCs w:val="22"/>
              </w:rPr>
              <w:t>om ändring av bilagan till genomförandebeslut 2014/709/EU om djurhälsoåtgärder för att bekämpa afrikansk svinpest i vissa medlemsstater</w:t>
            </w:r>
          </w:p>
        </w:tc>
      </w:tr>
    </w:tbl>
    <w:p w:rsidR="00E77368" w:rsidRDefault="00E77368" w:rsidP="00E77368">
      <w:pPr>
        <w:rPr>
          <w:rFonts w:ascii="Arial" w:hAnsi="Arial" w:cs="Arial"/>
          <w:b/>
          <w:bCs/>
          <w:sz w:val="28"/>
          <w:szCs w:val="28"/>
        </w:rPr>
      </w:pPr>
    </w:p>
    <w:p w:rsidR="00E77368" w:rsidRDefault="00E77368" w:rsidP="00E77368">
      <w:pPr>
        <w:rPr>
          <w:rFonts w:ascii="Arial" w:hAnsi="Arial" w:cs="Arial"/>
          <w:b/>
          <w:bCs/>
          <w:sz w:val="28"/>
          <w:szCs w:val="28"/>
        </w:rPr>
      </w:pPr>
    </w:p>
    <w:p w:rsidR="00E77368" w:rsidRDefault="00E77368" w:rsidP="00E77368">
      <w:pPr>
        <w:rPr>
          <w:b/>
          <w:kern w:val="32"/>
          <w:sz w:val="22"/>
          <w:szCs w:val="22"/>
        </w:rPr>
      </w:pPr>
      <w:r w:rsidRPr="009E02E9">
        <w:rPr>
          <w:b/>
          <w:kern w:val="32"/>
          <w:sz w:val="22"/>
          <w:szCs w:val="22"/>
        </w:rPr>
        <w:t>Övriga överlämnade dokument som rör EU-arbetet</w:t>
      </w:r>
      <w:r>
        <w:rPr>
          <w:b/>
          <w:kern w:val="32"/>
          <w:sz w:val="22"/>
          <w:szCs w:val="22"/>
        </w:rPr>
        <w:t xml:space="preserve"> för kännedom.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8"/>
        <w:gridCol w:w="7860"/>
      </w:tblGrid>
      <w:tr w:rsidR="00E77368" w:rsidTr="00E77368">
        <w:trPr>
          <w:trHeight w:val="572"/>
        </w:trPr>
        <w:tc>
          <w:tcPr>
            <w:tcW w:w="918" w:type="pct"/>
            <w:shd w:val="clear" w:color="auto" w:fill="auto"/>
            <w:vAlign w:val="center"/>
          </w:tcPr>
          <w:p w:rsidR="00E77368" w:rsidRPr="002E5267" w:rsidRDefault="00E77368" w:rsidP="00B16B65">
            <w:pPr>
              <w:rPr>
                <w:b/>
                <w:bCs/>
                <w:sz w:val="22"/>
                <w:szCs w:val="22"/>
              </w:rPr>
            </w:pPr>
            <w:r w:rsidRPr="002E5267">
              <w:rPr>
                <w:b/>
                <w:bCs/>
                <w:sz w:val="22"/>
                <w:szCs w:val="22"/>
              </w:rPr>
              <w:t>F</w:t>
            </w:r>
            <w:r>
              <w:rPr>
                <w:b/>
                <w:bCs/>
                <w:sz w:val="22"/>
                <w:szCs w:val="22"/>
              </w:rPr>
              <w:t>ärdplaner</w:t>
            </w:r>
          </w:p>
        </w:tc>
        <w:tc>
          <w:tcPr>
            <w:tcW w:w="4082" w:type="pct"/>
            <w:shd w:val="clear" w:color="auto" w:fill="auto"/>
            <w:vAlign w:val="center"/>
          </w:tcPr>
          <w:p w:rsidR="00E77368" w:rsidRDefault="00E77368" w:rsidP="00B16B65">
            <w:pPr>
              <w:rPr>
                <w:bCs/>
                <w:sz w:val="22"/>
                <w:szCs w:val="22"/>
              </w:rPr>
            </w:pPr>
          </w:p>
        </w:tc>
      </w:tr>
      <w:tr w:rsidR="00E77368" w:rsidTr="00E77368">
        <w:trPr>
          <w:trHeight w:val="572"/>
        </w:trPr>
        <w:tc>
          <w:tcPr>
            <w:tcW w:w="918" w:type="pct"/>
            <w:shd w:val="clear" w:color="auto" w:fill="auto"/>
            <w:vAlign w:val="center"/>
          </w:tcPr>
          <w:p w:rsidR="00E77368" w:rsidRDefault="00E77368" w:rsidP="00B16B65">
            <w:pPr>
              <w:rPr>
                <w:bCs/>
                <w:sz w:val="22"/>
                <w:szCs w:val="22"/>
              </w:rPr>
            </w:pPr>
            <w:r w:rsidRPr="00FB256B">
              <w:rPr>
                <w:bCs/>
                <w:sz w:val="22"/>
                <w:szCs w:val="22"/>
              </w:rPr>
              <w:t>Färdplan fiske efter djuphavsbestånd i Nordostatlanten</w:t>
            </w:r>
          </w:p>
        </w:tc>
        <w:tc>
          <w:tcPr>
            <w:tcW w:w="4082" w:type="pct"/>
            <w:shd w:val="clear" w:color="auto" w:fill="auto"/>
            <w:vAlign w:val="center"/>
          </w:tcPr>
          <w:p w:rsidR="00E77368" w:rsidRDefault="00E77368" w:rsidP="00B16B65">
            <w:pPr>
              <w:rPr>
                <w:bCs/>
                <w:sz w:val="22"/>
                <w:szCs w:val="22"/>
              </w:rPr>
            </w:pPr>
            <w:r w:rsidRPr="00FB256B">
              <w:rPr>
                <w:bCs/>
                <w:sz w:val="22"/>
                <w:szCs w:val="22"/>
              </w:rPr>
              <w:t>Utvärdering av förordning om särskilda villkor för fiske efter djuphavsbestånd i Nordostatlanten och bestämmelser för fiske i Nordostatlantens internationella vatten</w:t>
            </w:r>
          </w:p>
        </w:tc>
      </w:tr>
      <w:tr w:rsidR="00E77368" w:rsidRPr="00FB256B" w:rsidTr="00E77368">
        <w:trPr>
          <w:trHeight w:val="572"/>
        </w:trPr>
        <w:tc>
          <w:tcPr>
            <w:tcW w:w="918" w:type="pct"/>
            <w:shd w:val="clear" w:color="auto" w:fill="auto"/>
            <w:vAlign w:val="center"/>
          </w:tcPr>
          <w:p w:rsidR="00E77368" w:rsidRDefault="00E77368" w:rsidP="00B16B65">
            <w:pPr>
              <w:rPr>
                <w:bCs/>
                <w:sz w:val="22"/>
                <w:szCs w:val="22"/>
              </w:rPr>
            </w:pPr>
            <w:r w:rsidRPr="00FB256B">
              <w:rPr>
                <w:bCs/>
                <w:sz w:val="22"/>
                <w:szCs w:val="22"/>
              </w:rPr>
              <w:t xml:space="preserve">Färdplan </w:t>
            </w:r>
            <w:r w:rsidRPr="00DD387E">
              <w:rPr>
                <w:bCs/>
                <w:sz w:val="22"/>
                <w:szCs w:val="22"/>
              </w:rPr>
              <w:t>förhandlings</w:t>
            </w:r>
            <w:r>
              <w:rPr>
                <w:bCs/>
                <w:sz w:val="22"/>
                <w:szCs w:val="22"/>
              </w:rPr>
              <w:t>-</w:t>
            </w:r>
            <w:r w:rsidRPr="00DD387E">
              <w:rPr>
                <w:bCs/>
                <w:sz w:val="22"/>
                <w:szCs w:val="22"/>
              </w:rPr>
              <w:t>mandat och utvärdering av protokoll till fiskeavtal</w:t>
            </w:r>
          </w:p>
        </w:tc>
        <w:tc>
          <w:tcPr>
            <w:tcW w:w="4082" w:type="pct"/>
            <w:shd w:val="clear" w:color="auto" w:fill="auto"/>
            <w:vAlign w:val="center"/>
          </w:tcPr>
          <w:p w:rsidR="00E77368" w:rsidRPr="00DD387E" w:rsidRDefault="00E77368" w:rsidP="00B16B65">
            <w:pPr>
              <w:rPr>
                <w:bCs/>
                <w:sz w:val="22"/>
                <w:szCs w:val="22"/>
              </w:rPr>
            </w:pPr>
            <w:r w:rsidRPr="00DD387E">
              <w:rPr>
                <w:bCs/>
                <w:sz w:val="22"/>
                <w:szCs w:val="22"/>
              </w:rPr>
              <w:t xml:space="preserve">Meddelande om färdplan om förhandlingsmandat för nytt protokoll till  partnerskapsavtal om hållbart fiske mellan EU och Cooköarna och om utvärdering av nuvarande protokoll </w:t>
            </w:r>
          </w:p>
          <w:p w:rsidR="00E77368" w:rsidRPr="00FB256B" w:rsidRDefault="00E77368" w:rsidP="00E77368">
            <w:pPr>
              <w:rPr>
                <w:bCs/>
                <w:sz w:val="22"/>
                <w:szCs w:val="22"/>
              </w:rPr>
            </w:pPr>
          </w:p>
        </w:tc>
      </w:tr>
      <w:tr w:rsidR="00E77368" w:rsidRPr="00DD387E" w:rsidTr="00E77368">
        <w:trPr>
          <w:trHeight w:val="572"/>
        </w:trPr>
        <w:tc>
          <w:tcPr>
            <w:tcW w:w="918" w:type="pct"/>
            <w:shd w:val="clear" w:color="auto" w:fill="auto"/>
            <w:vAlign w:val="center"/>
          </w:tcPr>
          <w:p w:rsidR="00E77368" w:rsidRPr="00331BB7" w:rsidRDefault="00E77368" w:rsidP="00B16B65">
            <w:pPr>
              <w:rPr>
                <w:b/>
                <w:bCs/>
                <w:sz w:val="22"/>
                <w:szCs w:val="22"/>
              </w:rPr>
            </w:pPr>
            <w:r>
              <w:rPr>
                <w:b/>
                <w:bCs/>
                <w:sz w:val="22"/>
                <w:szCs w:val="22"/>
              </w:rPr>
              <w:t>Fakta-PM</w:t>
            </w:r>
          </w:p>
        </w:tc>
        <w:tc>
          <w:tcPr>
            <w:tcW w:w="4082" w:type="pct"/>
            <w:shd w:val="clear" w:color="auto" w:fill="auto"/>
            <w:vAlign w:val="center"/>
          </w:tcPr>
          <w:p w:rsidR="00E77368" w:rsidRPr="00DD387E" w:rsidRDefault="00E77368" w:rsidP="00B16B65">
            <w:pPr>
              <w:rPr>
                <w:bCs/>
                <w:sz w:val="22"/>
                <w:szCs w:val="22"/>
              </w:rPr>
            </w:pPr>
          </w:p>
        </w:tc>
      </w:tr>
      <w:tr w:rsidR="00E77368" w:rsidRPr="00DD387E" w:rsidTr="00E77368">
        <w:trPr>
          <w:trHeight w:val="572"/>
        </w:trPr>
        <w:tc>
          <w:tcPr>
            <w:tcW w:w="918" w:type="pct"/>
            <w:shd w:val="clear" w:color="auto" w:fill="auto"/>
            <w:vAlign w:val="center"/>
          </w:tcPr>
          <w:p w:rsidR="00E77368" w:rsidRPr="00FB256B" w:rsidRDefault="00E77368" w:rsidP="00B16B65">
            <w:pPr>
              <w:rPr>
                <w:bCs/>
                <w:sz w:val="22"/>
                <w:szCs w:val="22"/>
              </w:rPr>
            </w:pPr>
            <w:r w:rsidRPr="00331BB7">
              <w:rPr>
                <w:bCs/>
                <w:sz w:val="22"/>
                <w:szCs w:val="22"/>
              </w:rPr>
              <w:t>2019/20:FPM3</w:t>
            </w:r>
          </w:p>
        </w:tc>
        <w:tc>
          <w:tcPr>
            <w:tcW w:w="4082" w:type="pct"/>
            <w:shd w:val="clear" w:color="auto" w:fill="auto"/>
            <w:vAlign w:val="center"/>
          </w:tcPr>
          <w:p w:rsidR="00E77368" w:rsidRPr="00DD387E" w:rsidRDefault="00E77368" w:rsidP="00B16B65">
            <w:pPr>
              <w:rPr>
                <w:bCs/>
                <w:sz w:val="22"/>
                <w:szCs w:val="22"/>
              </w:rPr>
            </w:pPr>
            <w:r w:rsidRPr="00331BB7">
              <w:rPr>
                <w:bCs/>
                <w:sz w:val="22"/>
                <w:szCs w:val="22"/>
              </w:rPr>
              <w:t>Förordning om fiskemöjligheter i Östersjön 2020</w:t>
            </w:r>
          </w:p>
        </w:tc>
      </w:tr>
    </w:tbl>
    <w:p w:rsidR="00E77368" w:rsidRDefault="00E77368">
      <w:pPr>
        <w:widowControl/>
      </w:pPr>
    </w:p>
    <w:sectPr w:rsidR="00E77368"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78D2">
      <w:rPr>
        <w:rStyle w:val="Sidnummer"/>
        <w:noProof/>
      </w:rPr>
      <w:t>7</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1B39EC"/>
    <w:multiLevelType w:val="multilevel"/>
    <w:tmpl w:val="F5C649F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 w15:restartNumberingAfterBreak="0">
    <w:nsid w:val="65930B18"/>
    <w:multiLevelType w:val="hybridMultilevel"/>
    <w:tmpl w:val="8916A95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843ED"/>
    <w:rsid w:val="00091EA6"/>
    <w:rsid w:val="000A29E4"/>
    <w:rsid w:val="000B2546"/>
    <w:rsid w:val="000B6FED"/>
    <w:rsid w:val="000E402E"/>
    <w:rsid w:val="000E777E"/>
    <w:rsid w:val="000F6792"/>
    <w:rsid w:val="000F7D9B"/>
    <w:rsid w:val="00102D5B"/>
    <w:rsid w:val="00102F93"/>
    <w:rsid w:val="001107C9"/>
    <w:rsid w:val="001201A1"/>
    <w:rsid w:val="001238B9"/>
    <w:rsid w:val="0014421B"/>
    <w:rsid w:val="00154537"/>
    <w:rsid w:val="00156C90"/>
    <w:rsid w:val="001576B4"/>
    <w:rsid w:val="00157C48"/>
    <w:rsid w:val="00157E3A"/>
    <w:rsid w:val="00161710"/>
    <w:rsid w:val="00164491"/>
    <w:rsid w:val="001709AE"/>
    <w:rsid w:val="00176F71"/>
    <w:rsid w:val="00177FF8"/>
    <w:rsid w:val="001806D9"/>
    <w:rsid w:val="001807DF"/>
    <w:rsid w:val="00183F5A"/>
    <w:rsid w:val="00190D5B"/>
    <w:rsid w:val="00195185"/>
    <w:rsid w:val="001A35A0"/>
    <w:rsid w:val="001B16FE"/>
    <w:rsid w:val="001D7100"/>
    <w:rsid w:val="001E1F27"/>
    <w:rsid w:val="001F0044"/>
    <w:rsid w:val="001F3F30"/>
    <w:rsid w:val="001F641B"/>
    <w:rsid w:val="00200F8B"/>
    <w:rsid w:val="0021176A"/>
    <w:rsid w:val="00212A8D"/>
    <w:rsid w:val="00215B54"/>
    <w:rsid w:val="00216C70"/>
    <w:rsid w:val="002241EF"/>
    <w:rsid w:val="0023053D"/>
    <w:rsid w:val="00231475"/>
    <w:rsid w:val="002378CC"/>
    <w:rsid w:val="0025203B"/>
    <w:rsid w:val="00254C5A"/>
    <w:rsid w:val="00254F2B"/>
    <w:rsid w:val="0025725D"/>
    <w:rsid w:val="00267A73"/>
    <w:rsid w:val="002830F4"/>
    <w:rsid w:val="00286C79"/>
    <w:rsid w:val="00287223"/>
    <w:rsid w:val="00291836"/>
    <w:rsid w:val="002968EE"/>
    <w:rsid w:val="002A14AC"/>
    <w:rsid w:val="002A3C5F"/>
    <w:rsid w:val="002A4600"/>
    <w:rsid w:val="002C1D92"/>
    <w:rsid w:val="002C5FED"/>
    <w:rsid w:val="002D06F9"/>
    <w:rsid w:val="002D20B8"/>
    <w:rsid w:val="002D5CC4"/>
    <w:rsid w:val="002E07DA"/>
    <w:rsid w:val="002F25FD"/>
    <w:rsid w:val="002F7C49"/>
    <w:rsid w:val="00302EBE"/>
    <w:rsid w:val="00305501"/>
    <w:rsid w:val="003100F5"/>
    <w:rsid w:val="003127B4"/>
    <w:rsid w:val="003220D7"/>
    <w:rsid w:val="00322167"/>
    <w:rsid w:val="00335837"/>
    <w:rsid w:val="00335938"/>
    <w:rsid w:val="00342CC6"/>
    <w:rsid w:val="003443ED"/>
    <w:rsid w:val="003522EB"/>
    <w:rsid w:val="00381298"/>
    <w:rsid w:val="003828FD"/>
    <w:rsid w:val="00387440"/>
    <w:rsid w:val="003941CA"/>
    <w:rsid w:val="00396766"/>
    <w:rsid w:val="003A006F"/>
    <w:rsid w:val="003A040E"/>
    <w:rsid w:val="003E21B4"/>
    <w:rsid w:val="003E2DA5"/>
    <w:rsid w:val="003F5018"/>
    <w:rsid w:val="003F7963"/>
    <w:rsid w:val="00402A6F"/>
    <w:rsid w:val="00405162"/>
    <w:rsid w:val="00416E51"/>
    <w:rsid w:val="00417CF8"/>
    <w:rsid w:val="00420D39"/>
    <w:rsid w:val="004310CA"/>
    <w:rsid w:val="00440E5D"/>
    <w:rsid w:val="00447720"/>
    <w:rsid w:val="00463E6E"/>
    <w:rsid w:val="00470F4B"/>
    <w:rsid w:val="004763AE"/>
    <w:rsid w:val="0047654D"/>
    <w:rsid w:val="00481A80"/>
    <w:rsid w:val="00481AE3"/>
    <w:rsid w:val="00482D9A"/>
    <w:rsid w:val="00485C5B"/>
    <w:rsid w:val="00490CCE"/>
    <w:rsid w:val="004945A7"/>
    <w:rsid w:val="004A5400"/>
    <w:rsid w:val="004A6982"/>
    <w:rsid w:val="004B0915"/>
    <w:rsid w:val="004B1E7E"/>
    <w:rsid w:val="004C58F4"/>
    <w:rsid w:val="004D6725"/>
    <w:rsid w:val="004E030E"/>
    <w:rsid w:val="004E0E27"/>
    <w:rsid w:val="004E4C8B"/>
    <w:rsid w:val="004E7DCE"/>
    <w:rsid w:val="00501F97"/>
    <w:rsid w:val="005118EF"/>
    <w:rsid w:val="00516B3D"/>
    <w:rsid w:val="005200CB"/>
    <w:rsid w:val="005249C1"/>
    <w:rsid w:val="00530BD4"/>
    <w:rsid w:val="005555B4"/>
    <w:rsid w:val="00573E17"/>
    <w:rsid w:val="00573F9E"/>
    <w:rsid w:val="005855D5"/>
    <w:rsid w:val="0059485C"/>
    <w:rsid w:val="005957E5"/>
    <w:rsid w:val="005A3E8B"/>
    <w:rsid w:val="005A5302"/>
    <w:rsid w:val="005B186B"/>
    <w:rsid w:val="005B1B2C"/>
    <w:rsid w:val="005B3F7B"/>
    <w:rsid w:val="005D7C2B"/>
    <w:rsid w:val="005E6A1F"/>
    <w:rsid w:val="005E6D9B"/>
    <w:rsid w:val="005F6C39"/>
    <w:rsid w:val="0060083A"/>
    <w:rsid w:val="006135A6"/>
    <w:rsid w:val="0061435D"/>
    <w:rsid w:val="006227E2"/>
    <w:rsid w:val="00623CB2"/>
    <w:rsid w:val="006241B5"/>
    <w:rsid w:val="00624DF2"/>
    <w:rsid w:val="00626575"/>
    <w:rsid w:val="00631728"/>
    <w:rsid w:val="00632A02"/>
    <w:rsid w:val="00635CA6"/>
    <w:rsid w:val="00640EEA"/>
    <w:rsid w:val="0064109C"/>
    <w:rsid w:val="00646730"/>
    <w:rsid w:val="00647558"/>
    <w:rsid w:val="0065168B"/>
    <w:rsid w:val="0065489C"/>
    <w:rsid w:val="00657FD1"/>
    <w:rsid w:val="00675F6F"/>
    <w:rsid w:val="0068409E"/>
    <w:rsid w:val="00684BE6"/>
    <w:rsid w:val="006A63A7"/>
    <w:rsid w:val="006D05CF"/>
    <w:rsid w:val="006D6067"/>
    <w:rsid w:val="006E02BF"/>
    <w:rsid w:val="006E15D9"/>
    <w:rsid w:val="006E5B67"/>
    <w:rsid w:val="006F4672"/>
    <w:rsid w:val="00702C9F"/>
    <w:rsid w:val="00715978"/>
    <w:rsid w:val="00716686"/>
    <w:rsid w:val="00721C53"/>
    <w:rsid w:val="007453FF"/>
    <w:rsid w:val="00754C4A"/>
    <w:rsid w:val="00760B49"/>
    <w:rsid w:val="00762508"/>
    <w:rsid w:val="007719E4"/>
    <w:rsid w:val="00796426"/>
    <w:rsid w:val="007B1F72"/>
    <w:rsid w:val="007B26F0"/>
    <w:rsid w:val="007E14E2"/>
    <w:rsid w:val="007E7280"/>
    <w:rsid w:val="007F12BB"/>
    <w:rsid w:val="007F7A91"/>
    <w:rsid w:val="008032FE"/>
    <w:rsid w:val="00803365"/>
    <w:rsid w:val="008072FF"/>
    <w:rsid w:val="008124A2"/>
    <w:rsid w:val="00821792"/>
    <w:rsid w:val="00834E22"/>
    <w:rsid w:val="0084464A"/>
    <w:rsid w:val="008458B4"/>
    <w:rsid w:val="008504EB"/>
    <w:rsid w:val="00856389"/>
    <w:rsid w:val="00865C85"/>
    <w:rsid w:val="008664D7"/>
    <w:rsid w:val="008856C5"/>
    <w:rsid w:val="00886349"/>
    <w:rsid w:val="0089449A"/>
    <w:rsid w:val="00894743"/>
    <w:rsid w:val="00894936"/>
    <w:rsid w:val="0089673E"/>
    <w:rsid w:val="008A1D1B"/>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C7B10"/>
    <w:rsid w:val="009D2985"/>
    <w:rsid w:val="009D4D1A"/>
    <w:rsid w:val="009D6236"/>
    <w:rsid w:val="009E0D7F"/>
    <w:rsid w:val="009E2FEF"/>
    <w:rsid w:val="009E3810"/>
    <w:rsid w:val="009F1689"/>
    <w:rsid w:val="00A029A6"/>
    <w:rsid w:val="00A03943"/>
    <w:rsid w:val="00A25D52"/>
    <w:rsid w:val="00A34130"/>
    <w:rsid w:val="00A375CF"/>
    <w:rsid w:val="00A37731"/>
    <w:rsid w:val="00A438D1"/>
    <w:rsid w:val="00A51307"/>
    <w:rsid w:val="00A645AD"/>
    <w:rsid w:val="00A64CA0"/>
    <w:rsid w:val="00A6580E"/>
    <w:rsid w:val="00A65C53"/>
    <w:rsid w:val="00A702BD"/>
    <w:rsid w:val="00A71AF0"/>
    <w:rsid w:val="00A746E4"/>
    <w:rsid w:val="00A83ACB"/>
    <w:rsid w:val="00A846AA"/>
    <w:rsid w:val="00AB1421"/>
    <w:rsid w:val="00AB2883"/>
    <w:rsid w:val="00AB316E"/>
    <w:rsid w:val="00AC0C85"/>
    <w:rsid w:val="00AD2143"/>
    <w:rsid w:val="00AD2B50"/>
    <w:rsid w:val="00AD4D95"/>
    <w:rsid w:val="00AE0071"/>
    <w:rsid w:val="00AE6FBC"/>
    <w:rsid w:val="00AF3D50"/>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495"/>
    <w:rsid w:val="00B7289B"/>
    <w:rsid w:val="00B80318"/>
    <w:rsid w:val="00B86868"/>
    <w:rsid w:val="00B96E81"/>
    <w:rsid w:val="00BA4937"/>
    <w:rsid w:val="00BA55CE"/>
    <w:rsid w:val="00BB34FC"/>
    <w:rsid w:val="00BB375E"/>
    <w:rsid w:val="00BB59A8"/>
    <w:rsid w:val="00BB5D88"/>
    <w:rsid w:val="00BB7941"/>
    <w:rsid w:val="00BC03D5"/>
    <w:rsid w:val="00BC679D"/>
    <w:rsid w:val="00BD374B"/>
    <w:rsid w:val="00BE1EBF"/>
    <w:rsid w:val="00BF0D09"/>
    <w:rsid w:val="00C013F6"/>
    <w:rsid w:val="00C11E5F"/>
    <w:rsid w:val="00C16249"/>
    <w:rsid w:val="00C20B9F"/>
    <w:rsid w:val="00C20F78"/>
    <w:rsid w:val="00C32347"/>
    <w:rsid w:val="00C45C06"/>
    <w:rsid w:val="00C55442"/>
    <w:rsid w:val="00C55553"/>
    <w:rsid w:val="00C65F27"/>
    <w:rsid w:val="00C6697A"/>
    <w:rsid w:val="00C674DC"/>
    <w:rsid w:val="00C80875"/>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75EEE"/>
    <w:rsid w:val="00E77368"/>
    <w:rsid w:val="00E83F33"/>
    <w:rsid w:val="00E94837"/>
    <w:rsid w:val="00EA5C1E"/>
    <w:rsid w:val="00EB5801"/>
    <w:rsid w:val="00EC7E9B"/>
    <w:rsid w:val="00ED493E"/>
    <w:rsid w:val="00EE0BF7"/>
    <w:rsid w:val="00EE6E7B"/>
    <w:rsid w:val="00EF1B0A"/>
    <w:rsid w:val="00EF4ADF"/>
    <w:rsid w:val="00EF4B6A"/>
    <w:rsid w:val="00F02E0D"/>
    <w:rsid w:val="00F143DB"/>
    <w:rsid w:val="00F25AFF"/>
    <w:rsid w:val="00F278D2"/>
    <w:rsid w:val="00F50E47"/>
    <w:rsid w:val="00F65F54"/>
    <w:rsid w:val="00F66FF9"/>
    <w:rsid w:val="00F73CB8"/>
    <w:rsid w:val="00F73D67"/>
    <w:rsid w:val="00F755B2"/>
    <w:rsid w:val="00F82610"/>
    <w:rsid w:val="00F832D2"/>
    <w:rsid w:val="00F86DDF"/>
    <w:rsid w:val="00F902C3"/>
    <w:rsid w:val="00FA6C99"/>
    <w:rsid w:val="00FB0559"/>
    <w:rsid w:val="00FB5AF3"/>
    <w:rsid w:val="00FC1B12"/>
    <w:rsid w:val="00FE296A"/>
    <w:rsid w:val="00FF58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162990">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2B1C-DD8B-47F1-8095-F7A85447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14219</Characters>
  <Application>Microsoft Office Word</Application>
  <DocSecurity>4</DocSecurity>
  <Lines>1093</Lines>
  <Paragraphs>335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2019-10-23T06:23:00Z</cp:lastPrinted>
  <dcterms:created xsi:type="dcterms:W3CDTF">2019-10-25T08:23:00Z</dcterms:created>
  <dcterms:modified xsi:type="dcterms:W3CDTF">2019-10-25T08:23:00Z</dcterms:modified>
</cp:coreProperties>
</file>