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0D4" w:rsidRPr="009040D4" w:rsidRDefault="009040D4">
      <w:pPr>
        <w:pStyle w:val="Frslagsrubrik"/>
        <w:shd w:val="clear" w:color="000000" w:fill="auto"/>
      </w:pPr>
      <w:r w:rsidRPr="009040D4">
        <w:t>Förslag till riksdagsbeslut</w:t>
      </w:r>
    </w:p>
    <w:p w:rsidR="009040D4" w:rsidRPr="009040D4" w:rsidRDefault="009040D4">
      <w:pPr>
        <w:pStyle w:val="Hemstlatt"/>
        <w:shd w:val="clear" w:color="000000" w:fill="auto"/>
      </w:pPr>
      <w:r w:rsidRPr="009040D4">
        <w:t>Riksdagen anvisar till utgiftsområde 4 Rättsväsendet 994 000 000 kr utöver vad regeringen föreslagit för budgetåret 2011 eller således 37 752 000 000 kr.</w:t>
      </w:r>
    </w:p>
    <w:p w:rsidR="009040D4" w:rsidRPr="009040D4" w:rsidRDefault="009040D4">
      <w:pPr>
        <w:pStyle w:val="Rubrik1"/>
        <w:shd w:val="clear" w:color="000000" w:fill="auto"/>
      </w:pPr>
      <w:r w:rsidRPr="009040D4">
        <w:t>Motivering</w:t>
      </w:r>
    </w:p>
    <w:p w:rsidR="009040D4" w:rsidRPr="009040D4" w:rsidRDefault="009040D4">
      <w:pPr>
        <w:shd w:val="clear" w:color="000000" w:fill="auto"/>
      </w:pPr>
      <w:r w:rsidRPr="009040D4">
        <w:rPr>
          <w:rStyle w:val="T7"/>
          <w:rFonts w:ascii="Times New Roman" w:hAnsi="Times New Roman"/>
        </w:rPr>
        <w:t>Sverigedemokraterna anslår medel för att åstadkomma en kraftig straffskär</w:t>
      </w:r>
      <w:r w:rsidRPr="009040D4">
        <w:rPr>
          <w:rStyle w:val="T7"/>
          <w:rFonts w:ascii="Times New Roman" w:hAnsi="Times New Roman"/>
        </w:rPr>
        <w:t>p</w:t>
      </w:r>
      <w:r w:rsidRPr="009040D4">
        <w:rPr>
          <w:rStyle w:val="T7"/>
          <w:rFonts w:ascii="Times New Roman" w:hAnsi="Times New Roman"/>
        </w:rPr>
        <w:t xml:space="preserve">ning för grova och upprepade brott </w:t>
      </w:r>
      <w:r w:rsidRPr="009040D4">
        <w:rPr>
          <w:rStyle w:val="T1"/>
          <w:rFonts w:ascii="Times New Roman" w:hAnsi="Times New Roman"/>
        </w:rPr>
        <w:t>genom bland annat införandet av verkliga livstidsstraff utan möjlighet till tidsbestämning eller benådning för de farl</w:t>
      </w:r>
      <w:r w:rsidRPr="009040D4">
        <w:rPr>
          <w:rStyle w:val="T1"/>
          <w:rFonts w:ascii="Times New Roman" w:hAnsi="Times New Roman"/>
        </w:rPr>
        <w:t>i</w:t>
      </w:r>
      <w:r w:rsidRPr="009040D4">
        <w:rPr>
          <w:rStyle w:val="T1"/>
          <w:rFonts w:ascii="Times New Roman" w:hAnsi="Times New Roman"/>
        </w:rPr>
        <w:t xml:space="preserve">gaste brottslingarna, obligatorisk utvisning av alla utländska medborgare som begår grövre brott samt ett omedelbart avskaffande av nuvarande praxis där domstolarna ger återfallsförbrytare mängdrabatter på brott. </w:t>
      </w:r>
    </w:p>
    <w:p w:rsidR="009040D4" w:rsidRPr="009040D4" w:rsidRDefault="009040D4">
      <w:pPr>
        <w:pStyle w:val="Normaltindrag"/>
        <w:shd w:val="clear" w:color="000000" w:fill="auto"/>
        <w:rPr>
          <w:rStyle w:val="T1"/>
          <w:rFonts w:ascii="Times New Roman" w:hAnsi="Times New Roman"/>
        </w:rPr>
      </w:pPr>
      <w:r w:rsidRPr="009040D4">
        <w:rPr>
          <w:rStyle w:val="T1"/>
          <w:rFonts w:ascii="Times New Roman" w:hAnsi="Times New Roman"/>
        </w:rPr>
        <w:t>Vi satsar också på e</w:t>
      </w:r>
      <w:r w:rsidRPr="009040D4">
        <w:rPr>
          <w:rStyle w:val="T7"/>
          <w:rFonts w:ascii="Times New Roman" w:hAnsi="Times New Roman"/>
        </w:rPr>
        <w:t>tt nytt system för utbetalningar av skadestånd</w:t>
      </w:r>
      <w:r w:rsidRPr="009040D4">
        <w:rPr>
          <w:rStyle w:val="T1"/>
          <w:rFonts w:ascii="Times New Roman" w:hAnsi="Times New Roman"/>
        </w:rPr>
        <w:t>, där st</w:t>
      </w:r>
      <w:r w:rsidRPr="009040D4">
        <w:rPr>
          <w:rStyle w:val="T1"/>
          <w:rFonts w:ascii="Times New Roman" w:hAnsi="Times New Roman"/>
        </w:rPr>
        <w:t>a</w:t>
      </w:r>
      <w:r w:rsidRPr="009040D4">
        <w:rPr>
          <w:rStyle w:val="T1"/>
          <w:rFonts w:ascii="Times New Roman" w:hAnsi="Times New Roman"/>
        </w:rPr>
        <w:t>ten garanterar brottsoffren den ersättning de har rätt till, oavsett gärningsma</w:t>
      </w:r>
      <w:r w:rsidRPr="009040D4">
        <w:rPr>
          <w:rStyle w:val="T1"/>
          <w:rFonts w:ascii="Times New Roman" w:hAnsi="Times New Roman"/>
        </w:rPr>
        <w:t>n</w:t>
      </w:r>
      <w:r w:rsidRPr="009040D4">
        <w:rPr>
          <w:rStyle w:val="T1"/>
          <w:rFonts w:ascii="Times New Roman" w:hAnsi="Times New Roman"/>
        </w:rPr>
        <w:t xml:space="preserve">nens vilja eller förmåga till betalning. </w:t>
      </w:r>
      <w:r w:rsidRPr="009040D4">
        <w:rPr>
          <w:rStyle w:val="T7"/>
          <w:rFonts w:ascii="Times New Roman" w:hAnsi="Times New Roman"/>
        </w:rPr>
        <w:t>Ett offentligt register över dömda ped</w:t>
      </w:r>
      <w:r w:rsidRPr="009040D4">
        <w:rPr>
          <w:rStyle w:val="T7"/>
          <w:rFonts w:ascii="Times New Roman" w:hAnsi="Times New Roman"/>
        </w:rPr>
        <w:t>o</w:t>
      </w:r>
      <w:r w:rsidRPr="009040D4">
        <w:rPr>
          <w:rStyle w:val="T7"/>
          <w:rFonts w:ascii="Times New Roman" w:hAnsi="Times New Roman"/>
        </w:rPr>
        <w:t xml:space="preserve">filer </w:t>
      </w:r>
      <w:r w:rsidRPr="009040D4">
        <w:rPr>
          <w:rStyle w:val="T1"/>
          <w:rFonts w:ascii="Times New Roman" w:hAnsi="Times New Roman"/>
        </w:rPr>
        <w:t xml:space="preserve">samt brottsprovokation under välreglerade former i jakten på så kallade nätpedofiler skall också genomföras, liksom ett krafttag mot den organiserade brottsligheten, snabbare domstolsförfarande, garanterat vittnesskydd och ett utökat stöd till utsatta invandrarkvinnor. </w:t>
      </w:r>
    </w:p>
    <w:p w:rsidR="009040D4" w:rsidRPr="009040D4" w:rsidRDefault="009040D4">
      <w:pPr>
        <w:shd w:val="clear" w:color="000000" w:fill="auto"/>
        <w:rPr>
          <w:b/>
        </w:rPr>
      </w:pPr>
      <w:r w:rsidRPr="009040D4">
        <w:rPr>
          <w:b/>
        </w:rPr>
        <w:t xml:space="preserve">Anslagsförslag 2011 </w:t>
      </w:r>
      <w:r w:rsidRPr="009040D4">
        <w:rPr>
          <w:b/>
        </w:rPr>
        <w:t>för utgiftsområde 4 Rättsväsendet (SD)</w:t>
      </w:r>
    </w:p>
    <w:p w:rsidR="009040D4" w:rsidRPr="009040D4" w:rsidRDefault="009040D4">
      <w:pPr>
        <w:pStyle w:val="Normaltindrag"/>
        <w:shd w:val="clear" w:color="000000" w:fill="auto"/>
        <w:ind w:firstLine="57"/>
      </w:pPr>
      <w:r w:rsidRPr="009040D4">
        <w:rPr>
          <w:i/>
          <w:iCs/>
          <w:sz w:val="16"/>
          <w:szCs w:val="16"/>
        </w:rPr>
        <w:t>Tusental kronor</w:t>
      </w: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3648"/>
        <w:gridCol w:w="892"/>
        <w:gridCol w:w="962"/>
      </w:tblGrid>
      <w:tr w:rsidR="00000000" w:rsidRPr="009040D4">
        <w:trPr>
          <w:tblHeader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Regerin</w:t>
            </w:r>
            <w:r w:rsidRPr="009040D4">
              <w:rPr>
                <w:b/>
                <w:bCs/>
                <w:sz w:val="16"/>
                <w:szCs w:val="16"/>
              </w:rPr>
              <w:t>g</w:t>
            </w:r>
            <w:r w:rsidRPr="009040D4">
              <w:rPr>
                <w:b/>
                <w:bCs/>
                <w:sz w:val="16"/>
                <w:szCs w:val="16"/>
              </w:rPr>
              <w:t>ens förslag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Avvikelse gentemot regeringens förslag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Polisorganisationen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19 687 663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–154 485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Säkerhetspolisen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951 795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Åklagarmyndigheten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1 184 292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+120 707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Ekobrottsmyndigheten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427 707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lastRenderedPageBreak/>
              <w:t>1:5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Sveriges Domstolar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4 741 718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+454 793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Kriminalvården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7 449 802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+442 543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Brottsförebyggande rådet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68 931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+30 000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Rättsmedicinalverket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312 013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Gentekniknämnden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4 288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Brottsoffermyndigheten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33 700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+114 736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Ersättning för skador på grund av brott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89 474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–702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Rättsliga biträden m.m.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1 725 657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–13 541</w:t>
            </w: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Kostnader för vissa skaderegleringar m.m.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33 163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Avgifter till vissa internationella sammanslutningar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20 674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Bidrag till lokalt brottsförebyggande arbete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7 157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Säkerhets- och integritetsskyddsnämnden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12 619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1:17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Domarnämnden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7 000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36 757 653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040D4">
              <w:rPr>
                <w:b/>
                <w:bCs/>
                <w:sz w:val="16"/>
                <w:szCs w:val="16"/>
              </w:rPr>
              <w:t>+994 051</w:t>
            </w:r>
          </w:p>
        </w:tc>
      </w:tr>
    </w:tbl>
    <w:p w:rsidR="009040D4" w:rsidRPr="009040D4" w:rsidRDefault="009040D4">
      <w:pPr>
        <w:pStyle w:val="Normaltindrag"/>
        <w:shd w:val="clear" w:color="000000" w:fill="auto"/>
        <w:rPr>
          <w:sz w:val="16"/>
          <w:szCs w:val="16"/>
        </w:rPr>
      </w:pP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929"/>
        <w:gridCol w:w="1368"/>
      </w:tblGrid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Specifikation av anslag 1.3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Ökad ram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+130 000</w:t>
            </w:r>
          </w:p>
        </w:tc>
      </w:tr>
      <w:tr w:rsidR="00000000" w:rsidRPr="009040D4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Minskad ram med hänsyn till minskad brottslighet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–9 293</w:t>
            </w:r>
          </w:p>
        </w:tc>
      </w:tr>
      <w:tr w:rsidR="00000000" w:rsidRPr="009040D4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Summa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+120 707</w:t>
            </w:r>
          </w:p>
        </w:tc>
      </w:tr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Specifikation av anslag 1.5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Ökad ram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+492 000</w:t>
            </w:r>
          </w:p>
        </w:tc>
      </w:tr>
      <w:tr w:rsidR="00000000" w:rsidRPr="009040D4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Minskad ram med hänsyn till minskad brottslighet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–37 207</w:t>
            </w:r>
          </w:p>
        </w:tc>
      </w:tr>
      <w:tr w:rsidR="00000000" w:rsidRPr="009040D4">
        <w:tc>
          <w:tcPr>
            <w:tcW w:w="4586" w:type="dxa"/>
            <w:gridSpan w:val="2"/>
            <w:tcBorders>
              <w:top w:val="nil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Summa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+454 793</w:t>
            </w:r>
          </w:p>
        </w:tc>
      </w:tr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Specifikation av anslag 1.6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000000" w:rsidRPr="009040D4"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Ökad ram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+501 000</w:t>
            </w:r>
          </w:p>
        </w:tc>
      </w:tr>
      <w:tr w:rsidR="00000000" w:rsidRPr="009040D4">
        <w:tc>
          <w:tcPr>
            <w:tcW w:w="3657" w:type="dxa"/>
            <w:tcBorders>
              <w:top w:val="nil"/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Minskad ram med hänsyn till minskad brottslighet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040D4">
              <w:rPr>
                <w:sz w:val="16"/>
                <w:szCs w:val="16"/>
              </w:rPr>
              <w:t>–58 457</w:t>
            </w:r>
          </w:p>
        </w:tc>
      </w:tr>
      <w:tr w:rsidR="00000000" w:rsidRPr="009040D4"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Summa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</w:tcPr>
          <w:p w:rsidR="009040D4" w:rsidRPr="009040D4" w:rsidRDefault="009040D4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9040D4">
              <w:rPr>
                <w:b/>
                <w:sz w:val="16"/>
                <w:szCs w:val="16"/>
              </w:rPr>
              <w:t>+442 543</w:t>
            </w:r>
          </w:p>
        </w:tc>
      </w:tr>
    </w:tbl>
    <w:p w:rsidR="009040D4" w:rsidRPr="009040D4" w:rsidRDefault="009040D4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40D4">
        <w:trPr>
          <w:cantSplit/>
        </w:trPr>
        <w:tc>
          <w:tcPr>
            <w:tcW w:w="3046" w:type="dxa"/>
          </w:tcPr>
          <w:p w:rsidR="009040D4" w:rsidRPr="009040D4" w:rsidRDefault="009040D4">
            <w:pPr>
              <w:pStyle w:val="UnderskriftDatum"/>
              <w:shd w:val="clear" w:color="000000" w:fill="auto"/>
              <w:spacing w:before="240"/>
            </w:pPr>
            <w:r w:rsidRPr="009040D4">
              <w:t>Stockholm den 25 oktober 2010</w:t>
            </w:r>
          </w:p>
        </w:tc>
        <w:tc>
          <w:tcPr>
            <w:tcW w:w="3047" w:type="dxa"/>
          </w:tcPr>
          <w:p w:rsidR="009040D4" w:rsidRPr="009040D4" w:rsidRDefault="009040D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040D4">
        <w:trPr>
          <w:cantSplit/>
        </w:trPr>
        <w:tc>
          <w:tcPr>
            <w:tcW w:w="3046" w:type="dxa"/>
          </w:tcPr>
          <w:p w:rsidR="009040D4" w:rsidRPr="009040D4" w:rsidRDefault="009040D4">
            <w:pPr>
              <w:pStyle w:val="Underskrifter"/>
              <w:shd w:val="clear" w:color="000000" w:fill="auto"/>
            </w:pPr>
            <w:r w:rsidRPr="009040D4">
              <w:t>Johnny Skalin (SD)</w:t>
            </w:r>
          </w:p>
        </w:tc>
        <w:tc>
          <w:tcPr>
            <w:tcW w:w="3046" w:type="dxa"/>
          </w:tcPr>
          <w:p w:rsidR="009040D4" w:rsidRPr="009040D4" w:rsidRDefault="009040D4">
            <w:pPr>
              <w:pStyle w:val="Underskrifter"/>
              <w:shd w:val="clear" w:color="000000" w:fill="auto"/>
            </w:pPr>
            <w:r w:rsidRPr="009040D4">
              <w:t>Björn Söder (SD)</w:t>
            </w:r>
          </w:p>
        </w:tc>
      </w:tr>
    </w:tbl>
    <w:p w:rsidR="009040D4" w:rsidRPr="009040D4" w:rsidRDefault="009040D4">
      <w:pPr>
        <w:pStyle w:val="Normaltindrag"/>
        <w:shd w:val="clear" w:color="000000" w:fill="auto"/>
      </w:pPr>
    </w:p>
    <w:sectPr w:rsidR="00000000" w:rsidRPr="0090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0D4" w:rsidRPr="009040D4" w:rsidRDefault="009040D4">
      <w:r w:rsidRPr="009040D4">
        <w:separator/>
      </w:r>
    </w:p>
  </w:endnote>
  <w:endnote w:type="continuationSeparator" w:id="0">
    <w:p w:rsidR="009040D4" w:rsidRPr="009040D4" w:rsidRDefault="009040D4">
      <w:r w:rsidRPr="009040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Sidfot"/>
    </w:pPr>
    <w:r w:rsidRPr="009040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3898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0D4" w:rsidRDefault="009040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40D4" w:rsidRDefault="009040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Sidfot"/>
    </w:pPr>
    <w:r w:rsidRPr="009040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408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0D4" w:rsidRDefault="009040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0D4" w:rsidRDefault="009040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Sidfot"/>
    </w:pPr>
    <w:r w:rsidRPr="009040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250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0D4" w:rsidRDefault="009040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0D4" w:rsidRDefault="009040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0D4" w:rsidRPr="009040D4" w:rsidRDefault="009040D4">
      <w:r w:rsidRPr="009040D4">
        <w:separator/>
      </w:r>
    </w:p>
  </w:footnote>
  <w:footnote w:type="continuationSeparator" w:id="0">
    <w:p w:rsidR="009040D4" w:rsidRPr="009040D4" w:rsidRDefault="009040D4">
      <w:r w:rsidRPr="009040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Sidhuvud"/>
    </w:pPr>
    <w:r w:rsidRPr="009040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961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0D4" w:rsidRDefault="009040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40D4" w:rsidRDefault="009040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Sidhuvud"/>
    </w:pPr>
    <w:r w:rsidRPr="009040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4664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0D4" w:rsidRDefault="009040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40D4" w:rsidRDefault="009040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D4" w:rsidRPr="009040D4" w:rsidRDefault="009040D4">
    <w:pPr>
      <w:pStyle w:val="FSHNormal"/>
      <w:tabs>
        <w:tab w:val="right" w:pos="5840"/>
      </w:tabs>
    </w:pPr>
    <w:r w:rsidRPr="009040D4">
      <w:br/>
    </w:r>
    <w:r w:rsidRPr="009040D4">
      <w:fldChar w:fldCharType="begin" w:fldLock="1"/>
    </w:r>
    <w:r w:rsidRPr="009040D4">
      <w:instrText xml:space="preserve"> DOCPROPERTY</w:instrText>
    </w:r>
    <w:r w:rsidRPr="009040D4">
      <w:rPr>
        <w:sz w:val="18"/>
      </w:rPr>
      <w:instrText xml:space="preserve"> "YearUser" *\charformat </w:instrText>
    </w:r>
    <w:r w:rsidRPr="009040D4">
      <w:fldChar w:fldCharType="separate"/>
    </w:r>
    <w:r w:rsidRPr="009040D4">
      <w:t>2010/11</w:t>
    </w:r>
    <w:r w:rsidRPr="009040D4">
      <w:fldChar w:fldCharType="end"/>
    </w:r>
    <w:r w:rsidRPr="009040D4">
      <w:t xml:space="preserve"> </w:t>
    </w:r>
    <w:r w:rsidRPr="009040D4">
      <w:tab/>
      <w:t xml:space="preserve">mnr: </w:t>
    </w:r>
    <w:r w:rsidRPr="009040D4">
      <w:fldChar w:fldCharType="begin" w:fldLock="1"/>
    </w:r>
    <w:r w:rsidRPr="009040D4">
      <w:instrText xml:space="preserve"> DOCPROPERTY</w:instrText>
    </w:r>
    <w:r w:rsidRPr="009040D4">
      <w:rPr>
        <w:sz w:val="18"/>
      </w:rPr>
      <w:instrText xml:space="preserve"> "Motionsnummer" *\charformat </w:instrText>
    </w:r>
    <w:r w:rsidRPr="009040D4">
      <w:fldChar w:fldCharType="separate"/>
    </w:r>
    <w:r w:rsidRPr="009040D4">
      <w:t>Ju388</w:t>
    </w:r>
    <w:r w:rsidRPr="009040D4">
      <w:fldChar w:fldCharType="end"/>
    </w:r>
    <w:r w:rsidRPr="009040D4">
      <w:br/>
    </w:r>
    <w:r w:rsidRPr="009040D4">
      <w:fldChar w:fldCharType="begin" w:fldLock="1"/>
    </w:r>
    <w:r w:rsidRPr="009040D4">
      <w:instrText xml:space="preserve"> DOCPROPERTY</w:instrText>
    </w:r>
    <w:r w:rsidRPr="009040D4">
      <w:rPr>
        <w:sz w:val="18"/>
      </w:rPr>
      <w:instrText xml:space="preserve"> "Samling" *\charformat </w:instrText>
    </w:r>
    <w:r w:rsidRPr="009040D4">
      <w:fldChar w:fldCharType="end"/>
    </w:r>
    <w:r w:rsidRPr="009040D4">
      <w:tab/>
      <w:t xml:space="preserve">pnr: </w:t>
    </w:r>
    <w:r w:rsidRPr="009040D4">
      <w:fldChar w:fldCharType="begin" w:fldLock="1"/>
    </w:r>
    <w:r w:rsidRPr="009040D4">
      <w:instrText xml:space="preserve"> DOCPROPERTY</w:instrText>
    </w:r>
    <w:r w:rsidRPr="009040D4">
      <w:rPr>
        <w:sz w:val="18"/>
      </w:rPr>
      <w:instrText xml:space="preserve"> "Partinummer" *\charformat </w:instrText>
    </w:r>
    <w:r w:rsidRPr="009040D4">
      <w:fldChar w:fldCharType="separate"/>
    </w:r>
    <w:r w:rsidRPr="009040D4">
      <w:t>SD183</w:t>
    </w:r>
    <w:r w:rsidRPr="009040D4">
      <w:fldChar w:fldCharType="end"/>
    </w:r>
  </w:p>
  <w:p w:rsidR="009040D4" w:rsidRPr="009040D4" w:rsidRDefault="009040D4">
    <w:pPr>
      <w:pStyle w:val="FSHRub1"/>
    </w:pPr>
    <w:r w:rsidRPr="009040D4">
      <w:t>Motion till riksdagen</w:t>
    </w:r>
    <w:r w:rsidRPr="009040D4">
      <w:br/>
    </w:r>
    <w:r w:rsidRPr="009040D4">
      <w:fldChar w:fldCharType="begin" w:fldLock="1"/>
    </w:r>
    <w:r w:rsidRPr="009040D4">
      <w:instrText xml:space="preserve"> DOCPROPERTY "YearUser" *\charformat </w:instrText>
    </w:r>
    <w:r w:rsidRPr="009040D4">
      <w:fldChar w:fldCharType="separate"/>
    </w:r>
    <w:r w:rsidRPr="009040D4">
      <w:t>2010/11</w:t>
    </w:r>
    <w:r w:rsidRPr="009040D4">
      <w:fldChar w:fldCharType="end"/>
    </w:r>
    <w:r w:rsidRPr="009040D4">
      <w:t>:</w:t>
    </w:r>
    <w:r w:rsidRPr="009040D4">
      <w:fldChar w:fldCharType="begin" w:fldLock="1"/>
    </w:r>
    <w:r w:rsidRPr="009040D4">
      <w:instrText xml:space="preserve"> DOCPROPERTY "Motionsnummer" *\charformat </w:instrText>
    </w:r>
    <w:r w:rsidRPr="009040D4">
      <w:fldChar w:fldCharType="separate"/>
    </w:r>
    <w:r w:rsidRPr="009040D4">
      <w:t>Ju388</w:t>
    </w:r>
    <w:r w:rsidRPr="009040D4">
      <w:fldChar w:fldCharType="end"/>
    </w:r>
  </w:p>
  <w:p w:rsidR="009040D4" w:rsidRPr="009040D4" w:rsidRDefault="009040D4">
    <w:pPr>
      <w:pStyle w:val="FSHNormalS5"/>
    </w:pPr>
    <w:r w:rsidRPr="009040D4">
      <w:fldChar w:fldCharType="begin" w:fldLock="1"/>
    </w:r>
    <w:r w:rsidRPr="009040D4">
      <w:instrText xml:space="preserve"> DOCPROPERTY "MotionarText" *\charformat </w:instrText>
    </w:r>
    <w:r w:rsidRPr="009040D4">
      <w:fldChar w:fldCharType="separate"/>
    </w:r>
    <w:r w:rsidRPr="009040D4">
      <w:t>av Johnny Skalin och Björn Söder (SD)</w:t>
    </w:r>
    <w:r w:rsidRPr="009040D4">
      <w:fldChar w:fldCharType="end"/>
    </w:r>
    <w:r w:rsidRPr="009040D4">
      <w:br/>
    </w:r>
    <w:r w:rsidRPr="009040D4">
      <w:fldChar w:fldCharType="begin" w:fldLock="1"/>
    </w:r>
    <w:r w:rsidRPr="009040D4">
      <w:instrText xml:space="preserve"> DOCPROPERTY "SvarFrasKort" *\charformat </w:instrText>
    </w:r>
    <w:r w:rsidRPr="009040D4">
      <w:fldChar w:fldCharType="end"/>
    </w:r>
  </w:p>
  <w:p w:rsidR="009040D4" w:rsidRPr="009040D4" w:rsidRDefault="009040D4">
    <w:pPr>
      <w:pStyle w:val="FSHTitel"/>
    </w:pPr>
    <w:r w:rsidRPr="009040D4">
      <w:fldChar w:fldCharType="begin" w:fldLock="1"/>
    </w:r>
    <w:r w:rsidRPr="009040D4">
      <w:instrText xml:space="preserve"> DOCPROPERTY</w:instrText>
    </w:r>
    <w:r w:rsidRPr="009040D4">
      <w:rPr>
        <w:sz w:val="18"/>
      </w:rPr>
      <w:instrText xml:space="preserve"> "RubrikSvar" *\charformat </w:instrText>
    </w:r>
    <w:r w:rsidRPr="009040D4">
      <w:fldChar w:fldCharType="separate"/>
    </w:r>
    <w:r w:rsidRPr="009040D4">
      <w:t>Utgiftsområde 4 Rättsväsendet</w:t>
    </w:r>
    <w:r w:rsidRPr="009040D4">
      <w:fldChar w:fldCharType="end"/>
    </w:r>
  </w:p>
  <w:p w:rsidR="009040D4" w:rsidRPr="009040D4" w:rsidRDefault="009040D4">
    <w:pPr>
      <w:pStyle w:val="Normal00"/>
    </w:pPr>
  </w:p>
  <w:p w:rsidR="009040D4" w:rsidRPr="009040D4" w:rsidRDefault="009040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402861">
    <w:abstractNumId w:val="3"/>
  </w:num>
  <w:num w:numId="2" w16cid:durableId="638847396">
    <w:abstractNumId w:val="2"/>
  </w:num>
  <w:num w:numId="3" w16cid:durableId="361905779">
    <w:abstractNumId w:val="1"/>
  </w:num>
  <w:num w:numId="4" w16cid:durableId="2080976559">
    <w:abstractNumId w:val="0"/>
  </w:num>
  <w:num w:numId="5" w16cid:durableId="934627544">
    <w:abstractNumId w:val="7"/>
  </w:num>
  <w:num w:numId="6" w16cid:durableId="1395272242">
    <w:abstractNumId w:val="6"/>
  </w:num>
  <w:num w:numId="7" w16cid:durableId="1941331425">
    <w:abstractNumId w:val="5"/>
  </w:num>
  <w:num w:numId="8" w16cid:durableId="1257522317">
    <w:abstractNumId w:val="4"/>
  </w:num>
  <w:num w:numId="9" w16cid:durableId="365057323">
    <w:abstractNumId w:val="8"/>
  </w:num>
  <w:num w:numId="10" w16cid:durableId="280038650">
    <w:abstractNumId w:val="9"/>
  </w:num>
  <w:num w:numId="11" w16cid:durableId="224801631">
    <w:abstractNumId w:val="10"/>
  </w:num>
  <w:num w:numId="12" w16cid:durableId="2135322364">
    <w:abstractNumId w:val="13"/>
  </w:num>
  <w:num w:numId="13" w16cid:durableId="115411337">
    <w:abstractNumId w:val="15"/>
  </w:num>
  <w:num w:numId="14" w16cid:durableId="1875577284">
    <w:abstractNumId w:val="16"/>
  </w:num>
  <w:num w:numId="15" w16cid:durableId="1590965469">
    <w:abstractNumId w:val="11"/>
  </w:num>
  <w:num w:numId="16" w16cid:durableId="1159687935">
    <w:abstractNumId w:val="18"/>
  </w:num>
  <w:num w:numId="17" w16cid:durableId="30227315">
    <w:abstractNumId w:val="17"/>
  </w:num>
  <w:num w:numId="18" w16cid:durableId="1647202935">
    <w:abstractNumId w:val="14"/>
  </w:num>
  <w:num w:numId="19" w16cid:durableId="1783837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D897251-768B-4F79-A746-942424C0E48F},{C8E093A7-EDD6-43FF-8CD7-70C04D240193}"/>
  </w:docVars>
  <w:rsids>
    <w:rsidRoot w:val="001B7151"/>
    <w:rsid w:val="001B7151"/>
    <w:rsid w:val="009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241462-5E35-42F3-850B-E985024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1">
    <w:name w:val="T1"/>
    <w:hidden/>
    <w:rPr>
      <w:rFonts w:ascii="Georgia" w:hAnsi="Georgia"/>
    </w:rPr>
  </w:style>
  <w:style w:type="character" w:customStyle="1" w:styleId="T7">
    <w:name w:val="T7"/>
    <w:hidden/>
    <w:rPr>
      <w:rFonts w:ascii="Georgia" w:hAnsi="Georgi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2190</Characters>
  <Application>Microsoft Office Word</Application>
  <DocSecurity>4</DocSecurity>
  <Lines>146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sd183</vt:lpstr>
    </vt:vector>
  </TitlesOfParts>
  <Company>Riksdagen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sd183</dc:title>
  <dc:subject>sd183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2010-11-11T14:26:00Z</cp:lastPrinted>
  <dcterms:created xsi:type="dcterms:W3CDTF">2025-12-18T00:58:00Z</dcterms:created>
  <dcterms:modified xsi:type="dcterms:W3CDTF">2025-12-18T00:58:00Z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4 Rättsväsendet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4 Rättsväsendet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20102011000001150100000001830080</vt:lpwstr>
  </property>
  <property fmtid="{D5CDD505-2E9C-101B-9397-08002B2CF9AE}" pid="47" name="datum">
    <vt:lpwstr>101025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20102011000001150100000001830080</vt:lpwstr>
  </property>
  <property fmtid="{D5CDD505-2E9C-101B-9397-08002B2CF9AE}" pid="50" name="nummer">
    <vt:lpwstr>388</vt:lpwstr>
  </property>
  <property fmtid="{D5CDD505-2E9C-101B-9397-08002B2CF9AE}" pid="51" name="utskottsbeteckning">
    <vt:lpwstr>Ju</vt:lpwstr>
  </property>
  <property fmtid="{D5CDD505-2E9C-101B-9397-08002B2CF9AE}" pid="52" name="GlobalUID">
    <vt:lpwstr>{A546F633-2E9A-49D4-821F-447F705FB747}</vt:lpwstr>
  </property>
  <property fmtid="{D5CDD505-2E9C-101B-9397-08002B2CF9AE}" pid="53" name="Överföringar">
    <vt:i4>0</vt:i4>
  </property>
  <property fmtid="{D5CDD505-2E9C-101B-9397-08002B2CF9AE}" pid="54" name="Checksum">
    <vt:lpwstr>*1011188899224*</vt:lpwstr>
  </property>
  <property fmtid="{D5CDD505-2E9C-101B-9397-08002B2CF9AE}" pid="55" name="skuggnummer">
    <vt:lpwstr>2810</vt:lpwstr>
  </property>
  <property fmtid="{D5CDD505-2E9C-101B-9397-08002B2CF9AE}" pid="56" name="urixVersion">
    <vt:lpwstr>4.3.0.0</vt:lpwstr>
  </property>
  <property fmtid="{D5CDD505-2E9C-101B-9397-08002B2CF9AE}" pid="57" name="urixOrigin">
    <vt:lpwstr>101115 09:32:32.550</vt:lpwstr>
  </property>
  <property fmtid="{D5CDD505-2E9C-101B-9397-08002B2CF9AE}" pid="58" name="urixGuid">
    <vt:lpwstr>{406E15EB-7C4E-496B-9CF6-8DB7214860B3}</vt:lpwstr>
  </property>
</Properties>
</file>