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45045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Fö2016/01223/SUND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450450" w:rsidP="00486880">
            <w:pPr>
              <w:pStyle w:val="Avsndare"/>
              <w:framePr w:h="2483" w:wrap="notBeside" w:x="1504" w:y="2551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Försvarsdepartementet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450450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  <w:r>
              <w:rPr>
                <w:bCs/>
                <w:iCs/>
              </w:rPr>
              <w:t>Försvarsministern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450450" w:rsidRDefault="00450450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</w:p>
        </w:tc>
      </w:tr>
      <w:tr w:rsidR="006E4E11" w:rsidTr="00486880">
        <w:trPr>
          <w:trHeight w:val="1123"/>
        </w:trPr>
        <w:tc>
          <w:tcPr>
            <w:tcW w:w="4911" w:type="dxa"/>
          </w:tcPr>
          <w:p w:rsidR="006E4E11" w:rsidRDefault="006E4E11" w:rsidP="00486880">
            <w:pPr>
              <w:pStyle w:val="Avsndare"/>
              <w:framePr w:h="2483" w:wrap="notBeside" w:x="1504" w:y="2551"/>
              <w:rPr>
                <w:bCs/>
                <w:iCs/>
              </w:rPr>
            </w:pPr>
          </w:p>
        </w:tc>
      </w:tr>
    </w:tbl>
    <w:p w:rsidR="006E4E11" w:rsidRDefault="00450450">
      <w:pPr>
        <w:framePr w:w="4400" w:h="2523" w:wrap="notBeside" w:vAnchor="page" w:hAnchor="page" w:x="6453" w:y="2445"/>
        <w:ind w:left="142"/>
      </w:pPr>
      <w:r>
        <w:t>Till riksdagen</w:t>
      </w:r>
    </w:p>
    <w:p w:rsidR="00D07431" w:rsidRDefault="00D07431">
      <w:pPr>
        <w:framePr w:w="4400" w:h="2523" w:wrap="notBeside" w:vAnchor="page" w:hAnchor="page" w:x="6453" w:y="2445"/>
        <w:ind w:left="142"/>
      </w:pPr>
    </w:p>
    <w:p w:rsidR="006E4E11" w:rsidRDefault="00450450" w:rsidP="00450450">
      <w:pPr>
        <w:pStyle w:val="RKrubrik"/>
        <w:pBdr>
          <w:bottom w:val="single" w:sz="4" w:space="1" w:color="auto"/>
        </w:pBdr>
        <w:spacing w:before="0" w:after="0"/>
      </w:pPr>
      <w:r>
        <w:t>Svar på fråga 2016/17:30 av Hans Wallmark (M) Ryskt spionage mot svensk militär verksamhet</w:t>
      </w:r>
    </w:p>
    <w:p w:rsidR="006E4E11" w:rsidRDefault="006E4E11">
      <w:pPr>
        <w:pStyle w:val="RKnormal"/>
      </w:pPr>
    </w:p>
    <w:p w:rsidR="006E4E11" w:rsidRDefault="00450450">
      <w:pPr>
        <w:pStyle w:val="RKnormal"/>
      </w:pPr>
      <w:r>
        <w:t>Hans Wallmark har frågat mig vilka initiativ jag är beredd att ta för att kartlägga och för att vidta åtgärder mot det ökade spionaget mot svensk militär verksamhet.</w:t>
      </w:r>
    </w:p>
    <w:p w:rsidR="00450450" w:rsidRDefault="00450450">
      <w:pPr>
        <w:pStyle w:val="RKnormal"/>
      </w:pPr>
    </w:p>
    <w:p w:rsidR="00D07431" w:rsidRDefault="001E528B">
      <w:pPr>
        <w:pStyle w:val="RKnormal"/>
      </w:pPr>
      <w:r>
        <w:t>Jag kan konstatera att vi har ett för</w:t>
      </w:r>
      <w:r w:rsidR="00710F38">
        <w:t>sämrat</w:t>
      </w:r>
      <w:r>
        <w:t xml:space="preserve"> säkerhetsläge i Sveriges närområd</w:t>
      </w:r>
      <w:r w:rsidR="00105711">
        <w:t>e sedan en tid tillbaka. D</w:t>
      </w:r>
      <w:r>
        <w:t>en underrättelseverksamhet som riktas mot Försvarsmakten och dess skyddsvärden har ökat under sena</w:t>
      </w:r>
      <w:r w:rsidR="00A70539">
        <w:t>re år</w:t>
      </w:r>
      <w:r>
        <w:t xml:space="preserve">. </w:t>
      </w:r>
      <w:r w:rsidR="00EF49D0">
        <w:t>Sannolikt har a</w:t>
      </w:r>
      <w:r>
        <w:t>ntalet inrapporterade händelser</w:t>
      </w:r>
      <w:r w:rsidR="00A70539">
        <w:t xml:space="preserve"> som rör Försvarsmakten</w:t>
      </w:r>
      <w:r w:rsidR="00EF49D0">
        <w:t xml:space="preserve"> </w:t>
      </w:r>
      <w:r>
        <w:t xml:space="preserve">också ökat de senaste åren till följd av en ökad </w:t>
      </w:r>
      <w:r w:rsidR="00A70539">
        <w:t xml:space="preserve">nationell </w:t>
      </w:r>
      <w:r>
        <w:t>debatt och medvetenhet om hotet från frä</w:t>
      </w:r>
      <w:r w:rsidR="00710F38">
        <w:t>mmande underrättelseverksamhet. Det är positivt att benägenheten att rapportera händelser är hög.</w:t>
      </w:r>
    </w:p>
    <w:p w:rsidR="001E528B" w:rsidRDefault="001E528B">
      <w:pPr>
        <w:pStyle w:val="RKnormal"/>
      </w:pPr>
    </w:p>
    <w:p w:rsidR="00710F38" w:rsidRDefault="001E528B">
      <w:pPr>
        <w:pStyle w:val="RKnormal"/>
      </w:pPr>
      <w:r>
        <w:t xml:space="preserve">Försvarsmakten </w:t>
      </w:r>
      <w:r w:rsidR="000D0BFC">
        <w:t xml:space="preserve">skrev i sin årsöversikt för 2015 att den främmande underrättelseverksamhet som bedrivs i Sverige är omfattande, att det förekommer kartläggning samt </w:t>
      </w:r>
      <w:r w:rsidR="00A70539">
        <w:t xml:space="preserve">ett ökat intresse för </w:t>
      </w:r>
      <w:r w:rsidR="000D0BFC">
        <w:t xml:space="preserve">Försvarsmaktens verksamhet. </w:t>
      </w:r>
      <w:r w:rsidR="00710F38">
        <w:t xml:space="preserve"> Även Säkerhetspolisen skrev i sin årsbok för 2015 att det pågår kartläggning av både civil och militär infrastruktur </w:t>
      </w:r>
      <w:r w:rsidR="00360832">
        <w:t>från främmande makt i Sverige. Regeringen slår i budget</w:t>
      </w:r>
      <w:r w:rsidR="00710F38">
        <w:t xml:space="preserve">propositionen för 2017 fast att den ser ett behov av att Säkerhetspolisen bland annat ges möjlighet att intensifiera arbetet </w:t>
      </w:r>
      <w:r w:rsidR="00EF49D0">
        <w:t xml:space="preserve">med </w:t>
      </w:r>
      <w:r w:rsidR="00710F38">
        <w:t>att motverka främmande makts underrättelse</w:t>
      </w:r>
      <w:r w:rsidR="00FE6C84">
        <w:t>-</w:t>
      </w:r>
      <w:r w:rsidR="00710F38">
        <w:t xml:space="preserve"> verksamhet.</w:t>
      </w:r>
    </w:p>
    <w:p w:rsidR="00710F38" w:rsidRDefault="00710F38">
      <w:pPr>
        <w:pStyle w:val="RKnormal"/>
      </w:pPr>
    </w:p>
    <w:p w:rsidR="001E528B" w:rsidRDefault="000D0BFC">
      <w:pPr>
        <w:pStyle w:val="RKnormal"/>
      </w:pPr>
      <w:r>
        <w:t xml:space="preserve">Försvarsmakten arbetar ständigt med bedömningar samt vidtar åtgärder för att reducera sårbarheter och risker. </w:t>
      </w:r>
      <w:r w:rsidR="004A2AFA">
        <w:t>Detaljer avseende hot och vilka åtgärder som myndigheten vidtar kan av sekretesskäl inte kommenteras.</w:t>
      </w:r>
    </w:p>
    <w:p w:rsidR="000D0BFC" w:rsidRDefault="000D0BFC">
      <w:pPr>
        <w:pStyle w:val="RKnormal"/>
      </w:pPr>
    </w:p>
    <w:p w:rsidR="004A2AFA" w:rsidRDefault="004A2AFA">
      <w:pPr>
        <w:pStyle w:val="RKnormal"/>
      </w:pPr>
    </w:p>
    <w:p w:rsidR="004A2AFA" w:rsidRDefault="004A2AFA">
      <w:pPr>
        <w:pStyle w:val="RKnormal"/>
      </w:pPr>
    </w:p>
    <w:p w:rsidR="004A2AFA" w:rsidRDefault="004A2AFA">
      <w:pPr>
        <w:pStyle w:val="RKnormal"/>
      </w:pPr>
    </w:p>
    <w:p w:rsidR="00486880" w:rsidRDefault="00486880">
      <w:pPr>
        <w:pStyle w:val="RKnormal"/>
      </w:pPr>
    </w:p>
    <w:p w:rsidR="00105711" w:rsidRDefault="00105711">
      <w:pPr>
        <w:pStyle w:val="RKnormal"/>
      </w:pPr>
    </w:p>
    <w:p w:rsidR="00105711" w:rsidRDefault="00105711">
      <w:pPr>
        <w:pStyle w:val="RKnormal"/>
      </w:pPr>
    </w:p>
    <w:p w:rsidR="000D0BFC" w:rsidRDefault="00297E82">
      <w:pPr>
        <w:pStyle w:val="RKnormal"/>
      </w:pPr>
      <w:r>
        <w:t>Försvarsmakten och Säkerhetspolisen arbetar kontinuerligt med åtgärder för att förebygga och motverka spionage.</w:t>
      </w:r>
    </w:p>
    <w:p w:rsidR="000D0BFC" w:rsidRDefault="000D0BFC">
      <w:pPr>
        <w:pStyle w:val="RKnormal"/>
      </w:pPr>
    </w:p>
    <w:p w:rsidR="00450450" w:rsidRDefault="00450450">
      <w:pPr>
        <w:pStyle w:val="RKnormal"/>
      </w:pPr>
      <w:r>
        <w:t xml:space="preserve">Stockholm den </w:t>
      </w:r>
      <w:r w:rsidR="000D0BFC">
        <w:t>28 september</w:t>
      </w:r>
      <w:r w:rsidR="00A70539">
        <w:t xml:space="preserve"> 2016</w:t>
      </w:r>
    </w:p>
    <w:p w:rsidR="00450450" w:rsidRDefault="00450450">
      <w:pPr>
        <w:pStyle w:val="RKnormal"/>
      </w:pPr>
    </w:p>
    <w:p w:rsidR="00450450" w:rsidRDefault="00450450">
      <w:pPr>
        <w:pStyle w:val="RKnormal"/>
      </w:pPr>
    </w:p>
    <w:p w:rsidR="00105711" w:rsidRDefault="00105711">
      <w:pPr>
        <w:pStyle w:val="RKnormal"/>
      </w:pPr>
    </w:p>
    <w:p w:rsidR="00450450" w:rsidRDefault="00450450">
      <w:pPr>
        <w:pStyle w:val="RKnormal"/>
      </w:pPr>
      <w:r>
        <w:t>Peter Hultqvist</w:t>
      </w:r>
    </w:p>
    <w:sectPr w:rsidR="00450450">
      <w:headerReference w:type="even" r:id="rId8"/>
      <w:headerReference w:type="default" r:id="rId9"/>
      <w:headerReference w:type="first" r:id="rId10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0450" w:rsidRDefault="00450450">
      <w:r>
        <w:separator/>
      </w:r>
    </w:p>
  </w:endnote>
  <w:endnote w:type="continuationSeparator" w:id="0">
    <w:p w:rsidR="00450450" w:rsidRDefault="00450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0450" w:rsidRDefault="00450450">
      <w:r>
        <w:separator/>
      </w:r>
    </w:p>
  </w:footnote>
  <w:footnote w:type="continuationSeparator" w:id="0">
    <w:p w:rsidR="00450450" w:rsidRDefault="00450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3E1C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0450" w:rsidRDefault="0045045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450"/>
    <w:rsid w:val="000D0BFC"/>
    <w:rsid w:val="00105711"/>
    <w:rsid w:val="00150384"/>
    <w:rsid w:val="00160901"/>
    <w:rsid w:val="001805B7"/>
    <w:rsid w:val="001E528B"/>
    <w:rsid w:val="00297E82"/>
    <w:rsid w:val="00360832"/>
    <w:rsid w:val="00367B1C"/>
    <w:rsid w:val="00394A5A"/>
    <w:rsid w:val="003E1C54"/>
    <w:rsid w:val="00450450"/>
    <w:rsid w:val="00486880"/>
    <w:rsid w:val="004A2AFA"/>
    <w:rsid w:val="004A328D"/>
    <w:rsid w:val="0058762B"/>
    <w:rsid w:val="00634279"/>
    <w:rsid w:val="006E4E11"/>
    <w:rsid w:val="00710F38"/>
    <w:rsid w:val="007242A3"/>
    <w:rsid w:val="007A081F"/>
    <w:rsid w:val="007A6855"/>
    <w:rsid w:val="00902D30"/>
    <w:rsid w:val="0092027A"/>
    <w:rsid w:val="00955E31"/>
    <w:rsid w:val="00992E72"/>
    <w:rsid w:val="00A70539"/>
    <w:rsid w:val="00AF26D1"/>
    <w:rsid w:val="00B76FDC"/>
    <w:rsid w:val="00D07431"/>
    <w:rsid w:val="00D133D7"/>
    <w:rsid w:val="00E80146"/>
    <w:rsid w:val="00E904D0"/>
    <w:rsid w:val="00EB4F1D"/>
    <w:rsid w:val="00EC25F9"/>
    <w:rsid w:val="00ED583F"/>
    <w:rsid w:val="00EF49D0"/>
    <w:rsid w:val="00FE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7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74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074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D0743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07431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D074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7206f544-2d59-4f63-94c7-62b3d617cdb8</RD_Svarsid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677C8E-B2AF-466E-A515-11A1CCF0E83D}"/>
</file>

<file path=customXml/itemProps2.xml><?xml version="1.0" encoding="utf-8"?>
<ds:datastoreItem xmlns:ds="http://schemas.openxmlformats.org/officeDocument/2006/customXml" ds:itemID="{ADF8D793-C23F-406A-B1E0-0B75272331A7}"/>
</file>

<file path=customXml/itemProps3.xml><?xml version="1.0" encoding="utf-8"?>
<ds:datastoreItem xmlns:ds="http://schemas.openxmlformats.org/officeDocument/2006/customXml" ds:itemID="{87273FD8-928F-4B29-A596-83D2564474D7}"/>
</file>

<file path=customXml/itemProps4.xml><?xml version="1.0" encoding="utf-8"?>
<ds:datastoreItem xmlns:ds="http://schemas.openxmlformats.org/officeDocument/2006/customXml" ds:itemID="{33189E56-43BD-4A86-A2E9-2EF57B4B91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Ruthberg</dc:creator>
  <cp:lastModifiedBy>Elisabeth Eklind</cp:lastModifiedBy>
  <cp:revision>2</cp:revision>
  <cp:lastPrinted>2016-09-28T08:35:00Z</cp:lastPrinted>
  <dcterms:created xsi:type="dcterms:W3CDTF">2016-09-28T08:45:00Z</dcterms:created>
  <dcterms:modified xsi:type="dcterms:W3CDTF">2016-09-28T08:45:00Z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4;0;0;506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</Properties>
</file>