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9D68E1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D05E2B">
              <w:rPr>
                <w:b/>
              </w:rPr>
              <w:t>12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9215BD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06626">
              <w:t>-11-07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D09910E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C93D48">
              <w:t>.</w:t>
            </w:r>
            <w:r w:rsidR="002349AE" w:rsidRPr="00C93D48">
              <w:t xml:space="preserve"> </w:t>
            </w:r>
            <w:r w:rsidR="00506626" w:rsidRPr="00C93D48">
              <w:t>10.30-</w:t>
            </w:r>
            <w:r w:rsidR="00C93D48" w:rsidRPr="00C93D48">
              <w:t>11</w:t>
            </w:r>
            <w:r w:rsidR="00C93D48">
              <w:t>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506626">
        <w:tc>
          <w:tcPr>
            <w:tcW w:w="567" w:type="dxa"/>
            <w:shd w:val="clear" w:color="auto" w:fill="auto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506626">
              <w:rPr>
                <w:b/>
              </w:rPr>
              <w:t xml:space="preserve">§ </w:t>
            </w:r>
            <w:r w:rsidR="00C92C53" w:rsidRPr="00506626">
              <w:rPr>
                <w:b/>
              </w:rPr>
              <w:t>1</w:t>
            </w:r>
          </w:p>
        </w:tc>
        <w:tc>
          <w:tcPr>
            <w:tcW w:w="7655" w:type="dxa"/>
          </w:tcPr>
          <w:p w14:paraId="0D8229BC" w14:textId="4CFD903A" w:rsidR="000F36C8" w:rsidRDefault="00506626" w:rsidP="00A214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/>
              </w:rPr>
              <w:t>EU:s årsbudget 2025</w:t>
            </w:r>
            <w:r>
              <w:rPr>
                <w:b/>
              </w:rPr>
              <w:br/>
            </w:r>
            <w:r w:rsidRPr="00506626">
              <w:rPr>
                <w:bCs/>
              </w:rPr>
              <w:t xml:space="preserve">Utskottet överlade med </w:t>
            </w:r>
            <w:r>
              <w:rPr>
                <w:bCs/>
              </w:rPr>
              <w:t>statssekreterare Johanna Lybeck Lilja, biträdd av medarbetare från Finansdepartementet.</w:t>
            </w:r>
            <w:r>
              <w:rPr>
                <w:bCs/>
              </w:rPr>
              <w:br/>
            </w:r>
          </w:p>
          <w:p w14:paraId="62B62414" w14:textId="28D86967" w:rsidR="00A2143E" w:rsidRDefault="00506626" w:rsidP="00A214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2143E">
              <w:rPr>
                <w:bCs/>
              </w:rPr>
              <w:t xml:space="preserve">Underlaget utgjordes av </w:t>
            </w:r>
            <w:r w:rsidR="000F36C8">
              <w:rPr>
                <w:bCs/>
              </w:rPr>
              <w:t xml:space="preserve">Regeringskansliets </w:t>
            </w:r>
            <w:r w:rsidR="00A2143E" w:rsidRPr="00A2143E">
              <w:rPr>
                <w:bCs/>
              </w:rPr>
              <w:t xml:space="preserve">överläggningspromemoria </w:t>
            </w:r>
            <w:r w:rsidR="00A2143E">
              <w:rPr>
                <w:bCs/>
              </w:rPr>
              <w:t xml:space="preserve">om EU:s årsbudget för 2025 </w:t>
            </w:r>
            <w:r w:rsidR="00A2143E">
              <w:rPr>
                <w:szCs w:val="23"/>
              </w:rPr>
              <w:t>(dnr.</w:t>
            </w:r>
            <w:r w:rsidR="00A2143E" w:rsidRPr="00921C1B">
              <w:rPr>
                <w:szCs w:val="23"/>
              </w:rPr>
              <w:t xml:space="preserve"> 184–2024/25</w:t>
            </w:r>
            <w:r w:rsidR="00A2143E">
              <w:rPr>
                <w:szCs w:val="23"/>
              </w:rPr>
              <w:t>).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Statssekreteraren</w:t>
            </w:r>
            <w:r w:rsidR="003C04A3">
              <w:rPr>
                <w:bCs/>
              </w:rPr>
              <w:t xml:space="preserve"> </w:t>
            </w:r>
            <w:r>
              <w:rPr>
                <w:bCs/>
              </w:rPr>
              <w:t xml:space="preserve">redogjorde för regeringens ståndpunkt i enlighet </w:t>
            </w:r>
            <w:r w:rsidRPr="00A2143E">
              <w:rPr>
                <w:bCs/>
              </w:rPr>
              <w:t>med överläggningspromemorian</w:t>
            </w:r>
            <w:r w:rsidR="00A2143E">
              <w:rPr>
                <w:bCs/>
              </w:rPr>
              <w:t>:</w:t>
            </w:r>
            <w:r w:rsidR="00A2143E">
              <w:rPr>
                <w:bCs/>
              </w:rPr>
              <w:br/>
            </w:r>
          </w:p>
          <w:p w14:paraId="162E6DA6" w14:textId="2043C3AA" w:rsidR="00A2143E" w:rsidRDefault="00A2143E" w:rsidP="00A2143E">
            <w:pPr>
              <w:overflowPunct w:val="0"/>
              <w:autoSpaceDE w:val="0"/>
              <w:autoSpaceDN w:val="0"/>
              <w:adjustRightInd w:val="0"/>
              <w:ind w:left="291"/>
              <w:textAlignment w:val="baseline"/>
            </w:pPr>
            <w:r w:rsidRPr="009D0A68">
              <w:t xml:space="preserve">Sverige verkar för en effektiv och återhållsam budgetpolitik inom EU, i enlighet med prop. 1994/95:40. Målet innebär att regeringen ska verka för en kostnadseffektiv användning av EU:s medel och att närhetsprincipen ska tillämpas på budgetområdet. </w:t>
            </w:r>
            <w:r>
              <w:t>Finansiering ska ske genom omprioriteringar och d</w:t>
            </w:r>
            <w:r w:rsidRPr="009D0A68">
              <w:t xml:space="preserve">et innebär också </w:t>
            </w:r>
            <w:r>
              <w:t xml:space="preserve">iakttagande av </w:t>
            </w:r>
            <w:r w:rsidRPr="009D0A68">
              <w:t>strikt budgetdisciplin, d</w:t>
            </w:r>
            <w:r>
              <w:t>vs.</w:t>
            </w:r>
            <w:r w:rsidRPr="009D0A68">
              <w:t xml:space="preserve"> att verka för </w:t>
            </w:r>
            <w:r>
              <w:t xml:space="preserve">goda marginaler genom </w:t>
            </w:r>
            <w:r w:rsidRPr="009D0A68">
              <w:t xml:space="preserve">en begränsning av EU:s utgifter inom budgetramen och därmed </w:t>
            </w:r>
            <w:r>
              <w:t xml:space="preserve">av </w:t>
            </w:r>
            <w:r w:rsidRPr="009D0A68">
              <w:t xml:space="preserve">den svenska avgiften till EU. </w:t>
            </w:r>
            <w:r w:rsidRPr="00C638BE">
              <w:t>Betalningsanslagen ska baseras på realistiska och väl underbyggda och verifierade prognoser och spegla tidigare genomförande.</w:t>
            </w:r>
          </w:p>
          <w:p w14:paraId="17EE5049" w14:textId="134A6902" w:rsidR="00A44FE3" w:rsidRPr="00C92C53" w:rsidRDefault="00A2143E" w:rsidP="002349AE">
            <w:pPr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="001C6F38" w:rsidRPr="00002467">
              <w:rPr>
                <w:szCs w:val="24"/>
              </w:rPr>
              <w:t>Ordföranden konstaterade att det fanns stöd för regeringens ståndpunkt.</w:t>
            </w:r>
            <w:r w:rsidR="00506626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6B4506BA" w14:textId="115051F0" w:rsidR="000F36C8" w:rsidRDefault="00506626" w:rsidP="00506626">
            <w:pPr>
              <w:outlineLvl w:val="0"/>
              <w:rPr>
                <w:b/>
              </w:rPr>
            </w:pPr>
            <w:r w:rsidRPr="00506626">
              <w:rPr>
                <w:b/>
              </w:rPr>
              <w:t>Aktuella EU-frågor</w:t>
            </w:r>
            <w:r>
              <w:rPr>
                <w:b/>
              </w:rPr>
              <w:br/>
            </w:r>
            <w:r>
              <w:rPr>
                <w:bCs/>
              </w:rPr>
              <w:t>Statssekreterare Johanna Lybeck Lilja informerade utskottet om följande aktuella EU-frågor: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50662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825392">
              <w:rPr>
                <w:bCs/>
              </w:rPr>
              <w:t>s</w:t>
            </w:r>
            <w:r w:rsidR="00B42722" w:rsidRPr="00B42722">
              <w:rPr>
                <w:bCs/>
              </w:rPr>
              <w:t>töd till Ukraina</w:t>
            </w:r>
          </w:p>
          <w:p w14:paraId="779AB62E" w14:textId="58DA8770" w:rsidR="00506626" w:rsidRPr="00506626" w:rsidRDefault="000F36C8" w:rsidP="00506626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- </w:t>
            </w:r>
            <w:r w:rsidR="00825392">
              <w:rPr>
                <w:bCs/>
              </w:rPr>
              <w:t>g</w:t>
            </w:r>
            <w:r w:rsidR="00506626" w:rsidRPr="00506626">
              <w:rPr>
                <w:bCs/>
              </w:rPr>
              <w:t xml:space="preserve">enomförandet av faciliteten för återhämtning och </w:t>
            </w:r>
            <w:proofErr w:type="spellStart"/>
            <w:r w:rsidR="00506626" w:rsidRPr="00506626">
              <w:rPr>
                <w:bCs/>
              </w:rPr>
              <w:t>resiliens</w:t>
            </w:r>
            <w:proofErr w:type="spellEnd"/>
            <w:r w:rsidR="00506626" w:rsidRPr="00506626">
              <w:rPr>
                <w:bCs/>
              </w:rPr>
              <w:t xml:space="preserve"> (RRF)</w:t>
            </w:r>
          </w:p>
          <w:p w14:paraId="36E14318" w14:textId="1E1A46BE" w:rsidR="000F36C8" w:rsidRDefault="00506626" w:rsidP="00506626">
            <w:pPr>
              <w:outlineLvl w:val="0"/>
              <w:rPr>
                <w:bCs/>
              </w:rPr>
            </w:pPr>
            <w:r w:rsidRPr="0050662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825392">
              <w:rPr>
                <w:bCs/>
              </w:rPr>
              <w:t>g</w:t>
            </w:r>
            <w:r w:rsidRPr="00506626">
              <w:rPr>
                <w:bCs/>
              </w:rPr>
              <w:t xml:space="preserve">enomförandet av stabilitets- och tillväxtpakten, </w:t>
            </w:r>
            <w:r w:rsidR="00825392">
              <w:rPr>
                <w:bCs/>
              </w:rPr>
              <w:t>STP</w:t>
            </w:r>
          </w:p>
          <w:p w14:paraId="054BE864" w14:textId="3912BF99" w:rsidR="00506626" w:rsidRPr="00506626" w:rsidRDefault="000F36C8" w:rsidP="00506626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06626" w:rsidRPr="00506626">
              <w:rPr>
                <w:bCs/>
              </w:rPr>
              <w:t>konkurrenskraft och</w:t>
            </w:r>
            <w:r w:rsidR="00506626">
              <w:rPr>
                <w:bCs/>
              </w:rPr>
              <w:t xml:space="preserve"> </w:t>
            </w:r>
            <w:proofErr w:type="spellStart"/>
            <w:r w:rsidR="00506626">
              <w:rPr>
                <w:bCs/>
              </w:rPr>
              <w:t>Draghi</w:t>
            </w:r>
            <w:proofErr w:type="spellEnd"/>
            <w:r w:rsidR="00506626">
              <w:rPr>
                <w:bCs/>
              </w:rPr>
              <w:t>-rapporten</w:t>
            </w:r>
          </w:p>
          <w:p w14:paraId="14DD40BE" w14:textId="484C1961" w:rsidR="00DC5A2B" w:rsidRPr="00506626" w:rsidRDefault="00506626" w:rsidP="00506626">
            <w:pPr>
              <w:outlineLvl w:val="0"/>
              <w:rPr>
                <w:b/>
              </w:rPr>
            </w:pPr>
            <w:r w:rsidRPr="0050662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825392">
              <w:rPr>
                <w:bCs/>
              </w:rPr>
              <w:t>k</w:t>
            </w:r>
            <w:r w:rsidRPr="00506626">
              <w:rPr>
                <w:bCs/>
              </w:rPr>
              <w:t>ommande rådsbeslut angående EIB:s begäran att ändra i sina stadgar</w:t>
            </w:r>
            <w:r w:rsidRPr="00506626">
              <w:rPr>
                <w:bCs/>
              </w:rPr>
              <w:br/>
            </w:r>
          </w:p>
        </w:tc>
      </w:tr>
      <w:tr w:rsidR="00506626" w14:paraId="3E13E50C" w14:textId="77777777" w:rsidTr="008035C8">
        <w:tc>
          <w:tcPr>
            <w:tcW w:w="567" w:type="dxa"/>
          </w:tcPr>
          <w:p w14:paraId="428626EB" w14:textId="6658560C" w:rsidR="00506626" w:rsidRDefault="0050662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2F8FE368" w14:textId="61EED399" w:rsidR="00506626" w:rsidRPr="00C92C53" w:rsidRDefault="00506626" w:rsidP="000E6D32">
            <w:pPr>
              <w:outlineLvl w:val="0"/>
              <w:rPr>
                <w:bCs/>
              </w:rPr>
            </w:pPr>
            <w:r w:rsidRPr="00506626">
              <w:rPr>
                <w:b/>
              </w:rPr>
              <w:t>Aktuella frågor, Riksbanken</w:t>
            </w:r>
            <w:r>
              <w:rPr>
                <w:b/>
              </w:rPr>
              <w:br/>
            </w:r>
            <w:r>
              <w:rPr>
                <w:bCs/>
              </w:rPr>
              <w:t>Vice riksbankschef Aino Bunge lämnade informat</w:t>
            </w:r>
            <w:r w:rsidR="00C67515">
              <w:rPr>
                <w:bCs/>
              </w:rPr>
              <w:t>ion om aktuella frågor på betalningsområdet.</w:t>
            </w:r>
            <w:r>
              <w:rPr>
                <w:b/>
              </w:rPr>
              <w:br/>
            </w:r>
          </w:p>
        </w:tc>
      </w:tr>
      <w:tr w:rsidR="00506626" w14:paraId="39E6CBA7" w14:textId="77777777" w:rsidTr="008035C8">
        <w:tc>
          <w:tcPr>
            <w:tcW w:w="567" w:type="dxa"/>
          </w:tcPr>
          <w:p w14:paraId="6E9A7562" w14:textId="1FB7325E" w:rsidR="00506626" w:rsidRPr="00C93D48" w:rsidRDefault="0050662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3D48">
              <w:rPr>
                <w:b/>
                <w:snapToGrid w:val="0"/>
              </w:rPr>
              <w:t xml:space="preserve">§ </w:t>
            </w:r>
            <w:r w:rsidR="00C93D48" w:rsidRPr="00C93D4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6962A70" w14:textId="15CF3943" w:rsidR="00506626" w:rsidRPr="00C92C53" w:rsidRDefault="00506626" w:rsidP="000E6D32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>
              <w:rPr>
                <w:bCs/>
              </w:rPr>
              <w:br/>
              <w:t xml:space="preserve">En inkommen skrivelse </w:t>
            </w:r>
            <w:r w:rsidR="00C93D48">
              <w:rPr>
                <w:bCs/>
              </w:rPr>
              <w:t xml:space="preserve">(dnr </w:t>
            </w:r>
            <w:r w:rsidR="00C67515">
              <w:rPr>
                <w:bCs/>
              </w:rPr>
              <w:t>435–2024</w:t>
            </w:r>
            <w:r w:rsidR="00C93D48">
              <w:rPr>
                <w:bCs/>
              </w:rPr>
              <w:t xml:space="preserve">/25) </w:t>
            </w:r>
            <w:r w:rsidR="000F36C8">
              <w:rPr>
                <w:bCs/>
              </w:rPr>
              <w:t xml:space="preserve">och två hemställan </w:t>
            </w:r>
            <w:r w:rsidR="00C93D48">
              <w:rPr>
                <w:bCs/>
              </w:rPr>
              <w:t xml:space="preserve">(dnr </w:t>
            </w:r>
            <w:r w:rsidR="00C67515">
              <w:rPr>
                <w:bCs/>
              </w:rPr>
              <w:t>340–2024</w:t>
            </w:r>
            <w:r w:rsidR="00C93D48">
              <w:rPr>
                <w:bCs/>
              </w:rPr>
              <w:t xml:space="preserve">/25) </w:t>
            </w:r>
            <w:r>
              <w:rPr>
                <w:bCs/>
              </w:rPr>
              <w:t>anmäldes.</w:t>
            </w:r>
            <w:r>
              <w:rPr>
                <w:bCs/>
              </w:rPr>
              <w:br/>
            </w:r>
          </w:p>
        </w:tc>
      </w:tr>
      <w:tr w:rsidR="00506626" w14:paraId="428D650C" w14:textId="77777777" w:rsidTr="008035C8">
        <w:tc>
          <w:tcPr>
            <w:tcW w:w="567" w:type="dxa"/>
          </w:tcPr>
          <w:p w14:paraId="0CD71FDB" w14:textId="5214132B" w:rsidR="00506626" w:rsidRPr="00C93D48" w:rsidRDefault="0050662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3D48">
              <w:rPr>
                <w:b/>
                <w:snapToGrid w:val="0"/>
              </w:rPr>
              <w:t xml:space="preserve">§ </w:t>
            </w:r>
            <w:r w:rsidR="00C93D4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EDBD8C" w14:textId="0E58238B" w:rsidR="00506626" w:rsidRPr="00C92C53" w:rsidRDefault="00506626" w:rsidP="000E6D32">
            <w:pPr>
              <w:outlineLvl w:val="0"/>
              <w:rPr>
                <w:bCs/>
              </w:rPr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Pr="00506626">
              <w:rPr>
                <w:bCs/>
              </w:rPr>
              <w:t>Utskottet justerade protokoll nr 2024/25:11</w:t>
            </w:r>
            <w:r>
              <w:rPr>
                <w:bCs/>
              </w:rPr>
              <w:t>.</w:t>
            </w:r>
            <w:r w:rsidRPr="00506626">
              <w:rPr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27C0DBE" w14:textId="77777777" w:rsidR="000F36C8" w:rsidRPr="00C93D48" w:rsidRDefault="000F36C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7F1B71" w14:textId="77777777" w:rsidR="000F36C8" w:rsidRPr="00C93D48" w:rsidRDefault="000F36C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9E1604" w14:textId="67303C59" w:rsidR="009476AF" w:rsidRPr="00C93D48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3D48">
              <w:rPr>
                <w:b/>
                <w:snapToGrid w:val="0"/>
              </w:rPr>
              <w:t xml:space="preserve">§ </w:t>
            </w:r>
            <w:r w:rsidR="00C93D48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1AF4366D" w14:textId="77777777" w:rsidR="000F36C8" w:rsidRDefault="000F36C8" w:rsidP="000E6D32">
            <w:pPr>
              <w:outlineLvl w:val="0"/>
              <w:rPr>
                <w:b/>
                <w:bCs/>
              </w:rPr>
            </w:pPr>
          </w:p>
          <w:p w14:paraId="0612389C" w14:textId="77777777" w:rsidR="000F36C8" w:rsidRDefault="000F36C8" w:rsidP="000E6D32">
            <w:pPr>
              <w:outlineLvl w:val="0"/>
              <w:rPr>
                <w:b/>
                <w:bCs/>
              </w:rPr>
            </w:pPr>
          </w:p>
          <w:p w14:paraId="1BBF50B3" w14:textId="3209CCDE" w:rsidR="00DC5A2B" w:rsidRPr="00C92C53" w:rsidRDefault="00506626" w:rsidP="000E6D32">
            <w:pPr>
              <w:outlineLvl w:val="0"/>
              <w:rPr>
                <w:bCs/>
              </w:rPr>
            </w:pPr>
            <w:r w:rsidRPr="009B12D2">
              <w:rPr>
                <w:b/>
                <w:bCs/>
              </w:rPr>
              <w:t>Europeiska gröna obligationer (FiU7)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Utskottet fortsatte beredningen av proposition 2024/25:21.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4045E317" w:rsidR="000E6D32" w:rsidRPr="00C93D48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3D48">
              <w:rPr>
                <w:b/>
                <w:snapToGrid w:val="0"/>
              </w:rPr>
              <w:t>§</w:t>
            </w:r>
            <w:r w:rsidR="00C93D48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3CE1FBF0" w14:textId="7D2820E3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C93D48">
              <w:rPr>
                <w:b/>
                <w:bCs/>
              </w:rPr>
              <w:br/>
            </w:r>
            <w:r w:rsidR="00C93D48">
              <w:t>Utskottet beslutade att bjuda in statsråd</w:t>
            </w:r>
            <w:r w:rsidR="007E6708">
              <w:t>et</w:t>
            </w:r>
            <w:r w:rsidR="00C93D48">
              <w:t xml:space="preserve"> Niklas </w:t>
            </w:r>
            <w:proofErr w:type="spellStart"/>
            <w:r w:rsidR="00C93D48">
              <w:t>Wykman</w:t>
            </w:r>
            <w:proofErr w:type="spellEnd"/>
            <w:r w:rsidR="007E6708">
              <w:t xml:space="preserve"> till ett kommande sammanträde</w:t>
            </w:r>
            <w:r w:rsidR="003C04A3">
              <w:t xml:space="preserve"> för att informera om Finansinspektionens granskning av Pensionsmyndighetens riskkontroll</w:t>
            </w:r>
            <w:r w:rsidR="007E6708">
              <w:t>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425C2AB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3D48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74B5CD7A" w:rsidR="002A5D58" w:rsidRPr="00506626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506626">
              <w:rPr>
                <w:b/>
              </w:rPr>
              <w:br/>
            </w:r>
            <w:r w:rsidR="00506626">
              <w:rPr>
                <w:bCs/>
              </w:rPr>
              <w:t>Tisdag 12 november kl. 11.00.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274DDAD" w14:textId="77777777" w:rsidR="00DC5A2B" w:rsidRDefault="00DC5A2B" w:rsidP="002C538C">
            <w:pPr>
              <w:outlineLvl w:val="0"/>
            </w:pPr>
          </w:p>
          <w:p w14:paraId="2F50798C" w14:textId="4381D0EB" w:rsidR="00C92C53" w:rsidRDefault="00C92C53" w:rsidP="002C538C">
            <w:pPr>
              <w:outlineLvl w:val="0"/>
            </w:pPr>
          </w:p>
          <w:p w14:paraId="6638AFE5" w14:textId="27C0CCF1" w:rsidR="00EB0231" w:rsidRDefault="00EB0231" w:rsidP="002C538C">
            <w:pPr>
              <w:outlineLvl w:val="0"/>
            </w:pPr>
          </w:p>
          <w:p w14:paraId="2A8310D8" w14:textId="77777777" w:rsidR="00EB0231" w:rsidRDefault="00EB0231" w:rsidP="002C538C">
            <w:pPr>
              <w:outlineLvl w:val="0"/>
            </w:pPr>
          </w:p>
          <w:p w14:paraId="520A7E65" w14:textId="77777777" w:rsidR="00EB0231" w:rsidRDefault="00C92C53" w:rsidP="00EB0231">
            <w:pPr>
              <w:outlineLvl w:val="0"/>
            </w:pPr>
            <w:r>
              <w:t>Justera</w:t>
            </w:r>
            <w:r w:rsidR="00EB0231">
              <w:t xml:space="preserve">t </w:t>
            </w:r>
            <w:r w:rsidR="00DC5A2B">
              <w:t>den</w:t>
            </w:r>
            <w:r w:rsidR="000E6D32">
              <w:t xml:space="preserve"> </w:t>
            </w:r>
            <w:r w:rsidR="00506626">
              <w:t>12 november 2024</w:t>
            </w:r>
            <w:r w:rsidR="00DC5A2B">
              <w:t xml:space="preserve"> </w:t>
            </w:r>
            <w:r w:rsidR="000E6D32">
              <w:t>av</w:t>
            </w:r>
            <w:r w:rsidR="00EB0231">
              <w:t xml:space="preserve"> Edward </w:t>
            </w:r>
            <w:proofErr w:type="spellStart"/>
            <w:r w:rsidR="00EB0231">
              <w:t>Riedl</w:t>
            </w:r>
            <w:proofErr w:type="spellEnd"/>
          </w:p>
          <w:p w14:paraId="7B13580B" w14:textId="779FC5D3" w:rsidR="00C92C53" w:rsidRPr="00BD39D1" w:rsidRDefault="00506626" w:rsidP="0047175B">
            <w:pPr>
              <w:outlineLvl w:val="0"/>
            </w:pPr>
            <w:r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A6D530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506626">
        <w:rPr>
          <w:sz w:val="22"/>
          <w:szCs w:val="22"/>
        </w:rPr>
        <w:t>12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354DDB2" w:rsidR="00EF6F88" w:rsidRPr="000E151F" w:rsidRDefault="0050662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C93D48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9C9DDF7" w:rsidR="00EF6F88" w:rsidRPr="000E151F" w:rsidRDefault="00C93D4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93D48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93D48" w:rsidRPr="00A946FF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6D3A3E1B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93D48" w:rsidRPr="00A946FF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E6D79F5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93D48" w:rsidRPr="000E151F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8EC986C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7F111E8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EBB904C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C9B94DF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648B46B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06C7659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C93D48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C04DAEB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93D48" w:rsidRPr="000E151F" w:rsidRDefault="00C93D48" w:rsidP="00C93D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14F581E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C93D48" w:rsidRPr="000E151F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E3E3D1F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93D48" w:rsidRPr="000E151F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56E63FC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93D48" w:rsidRPr="000E151F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6FE6D7F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93D48" w:rsidRPr="000E151F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9BB8EC2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93D48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B60786D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C93D4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C93D48" w:rsidRPr="000E151F" w:rsidRDefault="00C93D48" w:rsidP="00C93D4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EF8C02B" w:rsidR="00C93D48" w:rsidRPr="000E151F" w:rsidRDefault="00C93D48" w:rsidP="00C93D48">
            <w:pPr>
              <w:rPr>
                <w:sz w:val="22"/>
                <w:szCs w:val="22"/>
              </w:rPr>
            </w:pPr>
            <w:r w:rsidRPr="00CA0ED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C93D48" w:rsidRPr="000E151F" w:rsidRDefault="00C93D48" w:rsidP="00C93D48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4BB9658" w:rsidR="000E2953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0F3940D" w:rsidR="000E2953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91844C9" w:rsidR="000E2953" w:rsidRPr="000E151F" w:rsidRDefault="00EE5DAF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3E7CB333" w:rsidR="000E2953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3B837DC5" w:rsidR="000E2953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B839F79" w:rsidR="000E2953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389BC3F" w:rsidR="003A581E" w:rsidRPr="000E151F" w:rsidRDefault="00C93D4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0F36C8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6F38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4A3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0662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6708"/>
    <w:rsid w:val="007F080A"/>
    <w:rsid w:val="008035C8"/>
    <w:rsid w:val="00804511"/>
    <w:rsid w:val="00805D17"/>
    <w:rsid w:val="00813862"/>
    <w:rsid w:val="00822922"/>
    <w:rsid w:val="008231F4"/>
    <w:rsid w:val="00825025"/>
    <w:rsid w:val="00825392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143E"/>
    <w:rsid w:val="00A25498"/>
    <w:rsid w:val="00A257B8"/>
    <w:rsid w:val="00A401A5"/>
    <w:rsid w:val="00A40A44"/>
    <w:rsid w:val="00A44FE3"/>
    <w:rsid w:val="00A46556"/>
    <w:rsid w:val="00A5323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2722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67515"/>
    <w:rsid w:val="00C74946"/>
    <w:rsid w:val="00C81586"/>
    <w:rsid w:val="00C82D0B"/>
    <w:rsid w:val="00C8766C"/>
    <w:rsid w:val="00C92C53"/>
    <w:rsid w:val="00C93236"/>
    <w:rsid w:val="00C93D48"/>
    <w:rsid w:val="00CA3B1E"/>
    <w:rsid w:val="00CA4B47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5E2B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0231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E5DAF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504</Words>
  <Characters>3732</Characters>
  <Application>Microsoft Office Word</Application>
  <DocSecurity>0</DocSecurity>
  <Lines>1244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2024-10-31T14:15:00Z</dcterms:created>
  <dcterms:modified xsi:type="dcterms:W3CDTF">2024-11-12T12:47:00Z</dcterms:modified>
</cp:coreProperties>
</file>