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44BB0">
        <w:tblPrEx>
          <w:tblCellMar>
            <w:top w:w="0" w:type="dxa"/>
            <w:bottom w:w="0" w:type="dxa"/>
          </w:tblCellMar>
        </w:tblPrEx>
        <w:tc>
          <w:tcPr>
            <w:tcW w:w="2268" w:type="dxa"/>
          </w:tcPr>
          <w:p w:rsidR="005F1820" w:rsidRPr="00144BB0" w:rsidRDefault="005F1820">
            <w:pPr>
              <w:framePr w:w="4400" w:h="1644" w:wrap="notBeside" w:vAnchor="page" w:hAnchor="page" w:x="6573" w:y="721"/>
              <w:rPr>
                <w:rFonts w:ascii="TradeGothic" w:hAnsi="TradeGothic"/>
                <w:i/>
                <w:sz w:val="18"/>
              </w:rPr>
            </w:pPr>
          </w:p>
        </w:tc>
        <w:tc>
          <w:tcPr>
            <w:tcW w:w="2347" w:type="dxa"/>
            <w:gridSpan w:val="2"/>
          </w:tcPr>
          <w:p w:rsidR="005F1820" w:rsidRPr="00144BB0" w:rsidRDefault="005F1820">
            <w:pPr>
              <w:framePr w:w="4400" w:h="1644" w:wrap="notBeside" w:vAnchor="page" w:hAnchor="page" w:x="6573" w:y="721"/>
              <w:rPr>
                <w:rFonts w:ascii="TradeGothic" w:hAnsi="TradeGothic"/>
                <w:i/>
                <w:sz w:val="18"/>
              </w:rPr>
            </w:pPr>
          </w:p>
        </w:tc>
      </w:tr>
      <w:tr w:rsidR="005F1820" w:rsidRPr="00144BB0">
        <w:tblPrEx>
          <w:tblCellMar>
            <w:top w:w="0" w:type="dxa"/>
            <w:bottom w:w="0" w:type="dxa"/>
          </w:tblCellMar>
        </w:tblPrEx>
        <w:tc>
          <w:tcPr>
            <w:tcW w:w="2268" w:type="dxa"/>
          </w:tcPr>
          <w:p w:rsidR="005F1820" w:rsidRPr="00144BB0" w:rsidRDefault="005F1820">
            <w:pPr>
              <w:framePr w:w="4400" w:h="1644" w:wrap="notBeside" w:vAnchor="page" w:hAnchor="page" w:x="6573" w:y="721"/>
              <w:rPr>
                <w:rFonts w:ascii="TradeGothic" w:hAnsi="TradeGothic"/>
                <w:b/>
                <w:sz w:val="22"/>
              </w:rPr>
            </w:pPr>
            <w:r w:rsidRPr="00144BB0">
              <w:rPr>
                <w:rFonts w:ascii="TradeGothic" w:hAnsi="TradeGothic"/>
                <w:b/>
                <w:sz w:val="22"/>
              </w:rPr>
              <w:t>Promemoria</w:t>
            </w:r>
          </w:p>
        </w:tc>
        <w:tc>
          <w:tcPr>
            <w:tcW w:w="2347" w:type="dxa"/>
            <w:gridSpan w:val="2"/>
          </w:tcPr>
          <w:p w:rsidR="005F1820" w:rsidRPr="00144BB0" w:rsidRDefault="005F1820">
            <w:pPr>
              <w:framePr w:w="4400" w:h="1644" w:wrap="notBeside" w:vAnchor="page" w:hAnchor="page" w:x="6573" w:y="721"/>
              <w:rPr>
                <w:rFonts w:ascii="TradeGothic" w:hAnsi="TradeGothic"/>
                <w:b/>
                <w:sz w:val="22"/>
              </w:rPr>
            </w:pPr>
          </w:p>
        </w:tc>
      </w:tr>
      <w:tr w:rsidR="005F1820" w:rsidRPr="00144BB0">
        <w:tblPrEx>
          <w:tblCellMar>
            <w:top w:w="0" w:type="dxa"/>
            <w:bottom w:w="0" w:type="dxa"/>
          </w:tblCellMar>
        </w:tblPrEx>
        <w:trPr>
          <w:trHeight w:val="343"/>
        </w:trPr>
        <w:tc>
          <w:tcPr>
            <w:tcW w:w="3402" w:type="dxa"/>
            <w:gridSpan w:val="2"/>
          </w:tcPr>
          <w:p w:rsidR="005F1820" w:rsidRPr="00144BB0" w:rsidRDefault="005F1820">
            <w:pPr>
              <w:framePr w:w="4400" w:h="1644" w:wrap="notBeside" w:vAnchor="page" w:hAnchor="page" w:x="6573" w:y="721"/>
            </w:pPr>
          </w:p>
        </w:tc>
        <w:tc>
          <w:tcPr>
            <w:tcW w:w="1213" w:type="dxa"/>
          </w:tcPr>
          <w:p w:rsidR="005F1820" w:rsidRPr="00144BB0" w:rsidRDefault="005F1820">
            <w:pPr>
              <w:framePr w:w="4400" w:h="1644" w:wrap="notBeside" w:vAnchor="page" w:hAnchor="page" w:x="6573" w:y="721"/>
            </w:pPr>
          </w:p>
        </w:tc>
      </w:tr>
      <w:tr w:rsidR="005F1820" w:rsidRPr="00144BB0">
        <w:tblPrEx>
          <w:tblCellMar>
            <w:top w:w="0" w:type="dxa"/>
            <w:bottom w:w="0" w:type="dxa"/>
          </w:tblCellMar>
        </w:tblPrEx>
        <w:tc>
          <w:tcPr>
            <w:tcW w:w="2268" w:type="dxa"/>
          </w:tcPr>
          <w:p w:rsidR="005F1820" w:rsidRPr="00144BB0" w:rsidRDefault="00927CE6">
            <w:pPr>
              <w:framePr w:w="4400" w:h="1644" w:wrap="notBeside" w:vAnchor="page" w:hAnchor="page" w:x="6573" w:y="721"/>
            </w:pPr>
            <w:r w:rsidRPr="00144BB0">
              <w:t>2011-10-19</w:t>
            </w:r>
          </w:p>
        </w:tc>
        <w:tc>
          <w:tcPr>
            <w:tcW w:w="2347" w:type="dxa"/>
            <w:gridSpan w:val="2"/>
          </w:tcPr>
          <w:p w:rsidR="005F1820" w:rsidRPr="00144BB0" w:rsidRDefault="005F1820">
            <w:pPr>
              <w:framePr w:w="4400" w:h="1644" w:wrap="notBeside" w:vAnchor="page" w:hAnchor="page" w:x="6573" w:y="721"/>
            </w:pPr>
          </w:p>
        </w:tc>
      </w:tr>
      <w:tr w:rsidR="005F1820" w:rsidRPr="00144BB0">
        <w:tblPrEx>
          <w:tblCellMar>
            <w:top w:w="0" w:type="dxa"/>
            <w:bottom w:w="0" w:type="dxa"/>
          </w:tblCellMar>
        </w:tblPrEx>
        <w:tc>
          <w:tcPr>
            <w:tcW w:w="2268" w:type="dxa"/>
          </w:tcPr>
          <w:p w:rsidR="005F1820" w:rsidRPr="00144BB0" w:rsidRDefault="005F1820">
            <w:pPr>
              <w:framePr w:w="4400" w:h="1644" w:wrap="notBeside" w:vAnchor="page" w:hAnchor="page" w:x="6573" w:y="721"/>
            </w:pPr>
          </w:p>
        </w:tc>
        <w:tc>
          <w:tcPr>
            <w:tcW w:w="2347" w:type="dxa"/>
            <w:gridSpan w:val="2"/>
          </w:tcPr>
          <w:p w:rsidR="005F1820" w:rsidRPr="00144BB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44BB0">
        <w:tblPrEx>
          <w:tblCellMar>
            <w:top w:w="0" w:type="dxa"/>
            <w:bottom w:w="0" w:type="dxa"/>
          </w:tblCellMar>
        </w:tblPrEx>
        <w:trPr>
          <w:trHeight w:val="2400"/>
        </w:trPr>
        <w:tc>
          <w:tcPr>
            <w:tcW w:w="4911" w:type="dxa"/>
          </w:tcPr>
          <w:p w:rsidR="005F1820" w:rsidRPr="00144BB0" w:rsidRDefault="005F1820">
            <w:pPr>
              <w:pStyle w:val="Avsndare"/>
              <w:framePr w:h="2483" w:wrap="notBeside" w:x="1504"/>
              <w:rPr>
                <w:b/>
                <w:i w:val="0"/>
                <w:sz w:val="22"/>
              </w:rPr>
            </w:pPr>
            <w:r w:rsidRPr="00144BB0">
              <w:rPr>
                <w:b/>
                <w:i w:val="0"/>
                <w:sz w:val="22"/>
              </w:rPr>
              <w:t>Statsrådsberedningen</w:t>
            </w:r>
          </w:p>
          <w:p w:rsidR="005F1820" w:rsidRPr="00144BB0" w:rsidRDefault="005F1820">
            <w:pPr>
              <w:pStyle w:val="Avsndare"/>
              <w:framePr w:h="2483" w:wrap="notBeside" w:x="1504"/>
            </w:pPr>
          </w:p>
          <w:p w:rsidR="005F1820" w:rsidRPr="00144BB0" w:rsidRDefault="005F1820">
            <w:pPr>
              <w:pStyle w:val="Avsndare"/>
              <w:framePr w:h="2483" w:wrap="notBeside" w:x="1504"/>
            </w:pPr>
            <w:r w:rsidRPr="00144BB0">
              <w:t>EU-kansliet</w:t>
            </w:r>
          </w:p>
          <w:p w:rsidR="005F1820" w:rsidRPr="00144BB0" w:rsidRDefault="005F1820">
            <w:pPr>
              <w:pStyle w:val="Avsndare"/>
              <w:framePr w:h="2483" w:wrap="notBeside" w:x="1504"/>
            </w:pPr>
          </w:p>
          <w:p w:rsidR="005F1820" w:rsidRPr="00144BB0" w:rsidRDefault="005F1820">
            <w:pPr>
              <w:pStyle w:val="Avsndare"/>
              <w:framePr w:h="2483" w:wrap="notBeside" w:x="1504"/>
            </w:pPr>
          </w:p>
          <w:p w:rsidR="005F1820" w:rsidRPr="00144BB0" w:rsidRDefault="005F1820">
            <w:pPr>
              <w:pStyle w:val="Avsndare"/>
              <w:framePr w:h="2483" w:wrap="notBeside" w:x="1504"/>
            </w:pPr>
          </w:p>
          <w:p w:rsidR="005F1820" w:rsidRPr="00144BB0" w:rsidRDefault="005F1820">
            <w:pPr>
              <w:pStyle w:val="Avsndare"/>
              <w:framePr w:h="2483" w:wrap="notBeside" w:x="1504"/>
              <w:rPr>
                <w:b/>
                <w:i w:val="0"/>
                <w:sz w:val="22"/>
              </w:rPr>
            </w:pPr>
          </w:p>
        </w:tc>
      </w:tr>
    </w:tbl>
    <w:p w:rsidR="005F1820" w:rsidRPr="00144BB0" w:rsidRDefault="005F1820">
      <w:pPr>
        <w:framePr w:w="4400" w:h="2523" w:wrap="notBeside" w:vAnchor="page" w:hAnchor="page" w:x="6453" w:y="2445"/>
        <w:ind w:left="142"/>
      </w:pPr>
    </w:p>
    <w:p w:rsidR="005F1820" w:rsidRPr="00144BB0" w:rsidRDefault="005F1820">
      <w:pPr>
        <w:pStyle w:val="UDrubrik"/>
        <w:tabs>
          <w:tab w:val="left" w:pos="1701"/>
          <w:tab w:val="left" w:pos="1985"/>
        </w:tabs>
        <w:rPr>
          <w:rFonts w:cs="Arial"/>
          <w:sz w:val="28"/>
        </w:rPr>
      </w:pPr>
      <w:bookmarkStart w:id="0" w:name="_Toc67391946"/>
      <w:bookmarkStart w:id="1" w:name="_Toc70473239"/>
      <w:r w:rsidRPr="00144BB0">
        <w:rPr>
          <w:rFonts w:cs="Arial"/>
          <w:sz w:val="28"/>
        </w:rPr>
        <w:t xml:space="preserve">Troliga A-punkter inför kommande rådsmöten som </w:t>
      </w:r>
      <w:r w:rsidR="002C7FFD" w:rsidRPr="00144BB0">
        <w:rPr>
          <w:rFonts w:cs="Arial"/>
          <w:sz w:val="28"/>
        </w:rPr>
        <w:t>förväntas godkänna</w:t>
      </w:r>
      <w:r w:rsidRPr="00144BB0">
        <w:rPr>
          <w:rFonts w:cs="Arial"/>
          <w:sz w:val="28"/>
        </w:rPr>
        <w:t>s vid Coreper I</w:t>
      </w:r>
      <w:r w:rsidR="008B6384" w:rsidRPr="00144BB0">
        <w:rPr>
          <w:rFonts w:cs="Arial"/>
          <w:sz w:val="28"/>
        </w:rPr>
        <w:t>I</w:t>
      </w:r>
      <w:r w:rsidRPr="00144BB0">
        <w:rPr>
          <w:rFonts w:cs="Arial"/>
          <w:sz w:val="28"/>
        </w:rPr>
        <w:t xml:space="preserve"> och Coreper I</w:t>
      </w:r>
      <w:bookmarkEnd w:id="0"/>
      <w:bookmarkEnd w:id="1"/>
      <w:r w:rsidR="008437F0" w:rsidRPr="00144BB0">
        <w:rPr>
          <w:rFonts w:cs="Arial"/>
          <w:sz w:val="28"/>
        </w:rPr>
        <w:t xml:space="preserve"> vecka 42</w:t>
      </w:r>
    </w:p>
    <w:p w:rsidR="008437F0" w:rsidRPr="00144BB0" w:rsidRDefault="008437F0" w:rsidP="008437F0">
      <w:pPr>
        <w:pStyle w:val="Brdtext1"/>
        <w:rPr>
          <w:lang w:val="sv-SE"/>
        </w:rPr>
      </w:pPr>
    </w:p>
    <w:p w:rsidR="008437F0" w:rsidRPr="00144BB0" w:rsidRDefault="008437F0" w:rsidP="008437F0">
      <w:pPr>
        <w:pStyle w:val="Brdtext1"/>
        <w:rPr>
          <w:lang w:val="sv-SE"/>
        </w:rPr>
      </w:pPr>
      <w:r w:rsidRPr="00144BB0">
        <w:rPr>
          <w:lang w:val="sv-SE"/>
        </w:rPr>
        <w:t>Överlämnas för skriftligt samråd till torsdagen den 20 oktober, kl 09.00</w:t>
      </w:r>
    </w:p>
    <w:p w:rsidR="008437F0" w:rsidRPr="00144BB0" w:rsidRDefault="008437F0" w:rsidP="008437F0">
      <w:pPr>
        <w:pStyle w:val="Brdtext1"/>
        <w:rPr>
          <w:lang w:val="sv-SE"/>
        </w:rPr>
      </w:pPr>
      <w:r w:rsidRPr="00144BB0">
        <w:rPr>
          <w:lang w:val="sv-SE"/>
        </w:rPr>
        <w:br w:type="page"/>
      </w:r>
    </w:p>
    <w:p w:rsidR="005F1820" w:rsidRPr="00144BB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02489" w:rsidRPr="00144BB0" w:rsidRDefault="005F1820">
      <w:pPr>
        <w:pStyle w:val="Innehll1"/>
        <w:tabs>
          <w:tab w:val="right" w:leader="dot" w:pos="7644"/>
        </w:tabs>
        <w:rPr>
          <w:rFonts w:ascii="Times New Roman" w:hAnsi="Times New Roman"/>
          <w:b w:val="0"/>
          <w:bCs w:val="0"/>
          <w:caps w:val="0"/>
          <w:szCs w:val="24"/>
          <w:lang w:eastAsia="sv-SE"/>
        </w:rPr>
      </w:pPr>
      <w:r w:rsidRPr="00144BB0">
        <w:rPr>
          <w:b w:val="0"/>
          <w:bCs w:val="0"/>
        </w:rPr>
        <w:fldChar w:fldCharType="begin" w:fldLock="1"/>
      </w:r>
      <w:r w:rsidRPr="00144BB0">
        <w:rPr>
          <w:b w:val="0"/>
          <w:bCs w:val="0"/>
        </w:rPr>
        <w:instrText xml:space="preserve"> TOC \o "1-3" \h \z </w:instrText>
      </w:r>
      <w:r w:rsidRPr="00144BB0">
        <w:rPr>
          <w:b w:val="0"/>
          <w:bCs w:val="0"/>
        </w:rPr>
        <w:fldChar w:fldCharType="separate"/>
      </w:r>
      <w:hyperlink w:anchor="_Toc306779915" w:history="1">
        <w:r w:rsidR="00202489" w:rsidRPr="00144BB0">
          <w:rPr>
            <w:rStyle w:val="Hyperlnk"/>
          </w:rPr>
          <w:t>Frågor som lösts i förberedande instanser</w:t>
        </w:r>
        <w:r w:rsidR="00202489" w:rsidRPr="00144BB0">
          <w:rPr>
            <w:webHidden/>
          </w:rPr>
          <w:tab/>
        </w:r>
        <w:r w:rsidR="00202489" w:rsidRPr="00144BB0">
          <w:rPr>
            <w:webHidden/>
          </w:rPr>
          <w:fldChar w:fldCharType="begin" w:fldLock="1"/>
        </w:r>
        <w:r w:rsidR="00202489" w:rsidRPr="00144BB0">
          <w:rPr>
            <w:webHidden/>
          </w:rPr>
          <w:instrText xml:space="preserve"> PAGEREF _Toc306779915 \h </w:instrText>
        </w:r>
        <w:r w:rsidR="00202489" w:rsidRPr="00144BB0">
          <w:rPr>
            <w:webHidden/>
          </w:rPr>
          <w:fldChar w:fldCharType="separate"/>
        </w:r>
        <w:r w:rsidR="00D55E22" w:rsidRPr="00144BB0">
          <w:rPr>
            <w:webHidden/>
          </w:rPr>
          <w:t>7</w:t>
        </w:r>
        <w:r w:rsidR="00202489" w:rsidRPr="00144BB0">
          <w:rPr>
            <w:webHidden/>
          </w:rPr>
          <w:fldChar w:fldCharType="end"/>
        </w:r>
      </w:hyperlink>
    </w:p>
    <w:p w:rsidR="00202489" w:rsidRPr="00144BB0" w:rsidRDefault="00202489">
      <w:pPr>
        <w:pStyle w:val="Innehll1"/>
        <w:tabs>
          <w:tab w:val="right" w:leader="dot" w:pos="7644"/>
        </w:tabs>
        <w:rPr>
          <w:rFonts w:ascii="Times New Roman" w:hAnsi="Times New Roman"/>
          <w:b w:val="0"/>
          <w:bCs w:val="0"/>
          <w:caps w:val="0"/>
          <w:szCs w:val="24"/>
          <w:lang w:eastAsia="sv-SE"/>
        </w:rPr>
      </w:pPr>
      <w:hyperlink w:anchor="_Toc306779916" w:history="1">
        <w:r w:rsidRPr="00144BB0">
          <w:rPr>
            <w:rStyle w:val="Hyperlnk"/>
          </w:rPr>
          <w:t>Troliga A-punkter inför kommande rådsmöten som förväntas godkännas vid Coreper II 2011-10-19.</w:t>
        </w:r>
        <w:r w:rsidRPr="00144BB0">
          <w:rPr>
            <w:webHidden/>
          </w:rPr>
          <w:tab/>
        </w:r>
        <w:r w:rsidRPr="00144BB0">
          <w:rPr>
            <w:webHidden/>
          </w:rPr>
          <w:fldChar w:fldCharType="begin" w:fldLock="1"/>
        </w:r>
        <w:r w:rsidRPr="00144BB0">
          <w:rPr>
            <w:webHidden/>
          </w:rPr>
          <w:instrText xml:space="preserve"> PAGEREF _Toc306779916 \h </w:instrText>
        </w:r>
        <w:r w:rsidRPr="00144BB0">
          <w:rPr>
            <w:webHidden/>
          </w:rPr>
          <w:fldChar w:fldCharType="separate"/>
        </w:r>
        <w:r w:rsidR="00D55E22" w:rsidRPr="00144BB0">
          <w:rPr>
            <w:webHidden/>
          </w:rPr>
          <w:t>7</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17" w:history="1">
        <w:r w:rsidRPr="00144BB0">
          <w:rPr>
            <w:rStyle w:val="Hyperlnk"/>
          </w:rPr>
          <w:t>1. Monthly summary of acts adopted by the written procedure- August 2011- September 2011</w:t>
        </w:r>
        <w:r w:rsidRPr="00144BB0">
          <w:rPr>
            <w:webHidden/>
          </w:rPr>
          <w:tab/>
        </w:r>
        <w:r w:rsidRPr="00144BB0">
          <w:rPr>
            <w:webHidden/>
          </w:rPr>
          <w:fldChar w:fldCharType="begin" w:fldLock="1"/>
        </w:r>
        <w:r w:rsidRPr="00144BB0">
          <w:rPr>
            <w:webHidden/>
          </w:rPr>
          <w:instrText xml:space="preserve"> PAGEREF _Toc306779917 \h </w:instrText>
        </w:r>
        <w:r w:rsidRPr="00144BB0">
          <w:rPr>
            <w:webHidden/>
          </w:rPr>
          <w:fldChar w:fldCharType="separate"/>
        </w:r>
        <w:r w:rsidR="00D55E22" w:rsidRPr="00144BB0">
          <w:rPr>
            <w:webHidden/>
          </w:rPr>
          <w:t>7</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18" w:history="1">
        <w:r w:rsidRPr="00144BB0">
          <w:rPr>
            <w:rStyle w:val="Hyperlnk"/>
          </w:rPr>
          <w:t>2. Special report No 2/2011: Follow-up of special report No 1/2005 concerning the management of the European Anti-fraud Office- Draft Council Conclusions</w:t>
        </w:r>
        <w:r w:rsidRPr="00144BB0">
          <w:rPr>
            <w:webHidden/>
          </w:rPr>
          <w:tab/>
        </w:r>
        <w:r w:rsidRPr="00144BB0">
          <w:rPr>
            <w:webHidden/>
          </w:rPr>
          <w:fldChar w:fldCharType="begin" w:fldLock="1"/>
        </w:r>
        <w:r w:rsidRPr="00144BB0">
          <w:rPr>
            <w:webHidden/>
          </w:rPr>
          <w:instrText xml:space="preserve"> PAGEREF _Toc306779918 \h </w:instrText>
        </w:r>
        <w:r w:rsidRPr="00144BB0">
          <w:rPr>
            <w:webHidden/>
          </w:rPr>
          <w:fldChar w:fldCharType="separate"/>
        </w:r>
        <w:r w:rsidR="00D55E22" w:rsidRPr="00144BB0">
          <w:rPr>
            <w:webHidden/>
          </w:rPr>
          <w:t>7</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19" w:history="1">
        <w:r w:rsidRPr="00144BB0">
          <w:rPr>
            <w:rStyle w:val="Hyperlnk"/>
          </w:rPr>
          <w:t>3. Proposal for transfer of appropriations No DEC42/2011 within Section III - Commission - of the general budget for 2011</w:t>
        </w:r>
        <w:r w:rsidRPr="00144BB0">
          <w:rPr>
            <w:webHidden/>
          </w:rPr>
          <w:tab/>
        </w:r>
        <w:r w:rsidRPr="00144BB0">
          <w:rPr>
            <w:webHidden/>
          </w:rPr>
          <w:fldChar w:fldCharType="begin" w:fldLock="1"/>
        </w:r>
        <w:r w:rsidRPr="00144BB0">
          <w:rPr>
            <w:webHidden/>
          </w:rPr>
          <w:instrText xml:space="preserve"> PAGEREF _Toc306779919 \h </w:instrText>
        </w:r>
        <w:r w:rsidRPr="00144BB0">
          <w:rPr>
            <w:webHidden/>
          </w:rPr>
          <w:fldChar w:fldCharType="separate"/>
        </w:r>
        <w:r w:rsidR="00D55E22" w:rsidRPr="00144BB0">
          <w:rPr>
            <w:webHidden/>
          </w:rPr>
          <w:t>8</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0" w:history="1">
        <w:r w:rsidRPr="00144BB0">
          <w:rPr>
            <w:rStyle w:val="Hyperlnk"/>
          </w:rPr>
          <w:t>4. Case T-421/11 before the General Court (Qualitest FZE v. Council of the European Union)</w:t>
        </w:r>
        <w:r w:rsidRPr="00144BB0">
          <w:rPr>
            <w:webHidden/>
          </w:rPr>
          <w:tab/>
        </w:r>
        <w:r w:rsidRPr="00144BB0">
          <w:rPr>
            <w:webHidden/>
          </w:rPr>
          <w:fldChar w:fldCharType="begin" w:fldLock="1"/>
        </w:r>
        <w:r w:rsidRPr="00144BB0">
          <w:rPr>
            <w:webHidden/>
          </w:rPr>
          <w:instrText xml:space="preserve"> PAGEREF _Toc306779920 \h </w:instrText>
        </w:r>
        <w:r w:rsidRPr="00144BB0">
          <w:rPr>
            <w:webHidden/>
          </w:rPr>
          <w:fldChar w:fldCharType="separate"/>
        </w:r>
        <w:r w:rsidR="00D55E22" w:rsidRPr="00144BB0">
          <w:rPr>
            <w:webHidden/>
          </w:rPr>
          <w:t>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1" w:history="1">
        <w:r w:rsidRPr="00144BB0">
          <w:rPr>
            <w:rStyle w:val="Hyperlnk"/>
          </w:rPr>
          <w:t>5. Case before the General Court of the European Union - Case T-432/11 (Rami MAKHLOUF v. Council of the European Union)</w:t>
        </w:r>
        <w:r w:rsidRPr="00144BB0">
          <w:rPr>
            <w:webHidden/>
          </w:rPr>
          <w:tab/>
        </w:r>
        <w:r w:rsidRPr="00144BB0">
          <w:rPr>
            <w:webHidden/>
          </w:rPr>
          <w:fldChar w:fldCharType="begin" w:fldLock="1"/>
        </w:r>
        <w:r w:rsidRPr="00144BB0">
          <w:rPr>
            <w:webHidden/>
          </w:rPr>
          <w:instrText xml:space="preserve"> PAGEREF _Toc306779921 \h </w:instrText>
        </w:r>
        <w:r w:rsidRPr="00144BB0">
          <w:rPr>
            <w:webHidden/>
          </w:rPr>
          <w:fldChar w:fldCharType="separate"/>
        </w:r>
        <w:r w:rsidR="00D55E22" w:rsidRPr="00144BB0">
          <w:rPr>
            <w:webHidden/>
          </w:rPr>
          <w:t>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2" w:history="1">
        <w:r w:rsidRPr="00144BB0">
          <w:rPr>
            <w:rStyle w:val="Hyperlnk"/>
          </w:rPr>
          <w:t>6. Case before the General Court of the European Union - Case T-433/11 (Ehab MAKHLOUF v. Council of the European Union)</w:t>
        </w:r>
        <w:r w:rsidRPr="00144BB0">
          <w:rPr>
            <w:webHidden/>
          </w:rPr>
          <w:tab/>
        </w:r>
        <w:r w:rsidRPr="00144BB0">
          <w:rPr>
            <w:webHidden/>
          </w:rPr>
          <w:fldChar w:fldCharType="begin" w:fldLock="1"/>
        </w:r>
        <w:r w:rsidRPr="00144BB0">
          <w:rPr>
            <w:webHidden/>
          </w:rPr>
          <w:instrText xml:space="preserve"> PAGEREF _Toc306779922 \h </w:instrText>
        </w:r>
        <w:r w:rsidRPr="00144BB0">
          <w:rPr>
            <w:webHidden/>
          </w:rPr>
          <w:fldChar w:fldCharType="separate"/>
        </w:r>
        <w:r w:rsidR="00D55E22" w:rsidRPr="00144BB0">
          <w:rPr>
            <w:webHidden/>
          </w:rPr>
          <w:t>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3" w:history="1">
        <w:r w:rsidRPr="00144BB0">
          <w:rPr>
            <w:rStyle w:val="Hyperlnk"/>
          </w:rPr>
          <w:t>7. Case before the EU General Court - Case T-420/11 (Ocean Capital Administration GmbH and others v. Council)</w:t>
        </w:r>
        <w:r w:rsidRPr="00144BB0">
          <w:rPr>
            <w:webHidden/>
          </w:rPr>
          <w:tab/>
        </w:r>
        <w:r w:rsidRPr="00144BB0">
          <w:rPr>
            <w:webHidden/>
          </w:rPr>
          <w:fldChar w:fldCharType="begin" w:fldLock="1"/>
        </w:r>
        <w:r w:rsidRPr="00144BB0">
          <w:rPr>
            <w:webHidden/>
          </w:rPr>
          <w:instrText xml:space="preserve"> PAGEREF _Toc306779923 \h </w:instrText>
        </w:r>
        <w:r w:rsidRPr="00144BB0">
          <w:rPr>
            <w:webHidden/>
          </w:rPr>
          <w:fldChar w:fldCharType="separate"/>
        </w:r>
        <w:r w:rsidR="00D55E22" w:rsidRPr="00144BB0">
          <w:rPr>
            <w:webHidden/>
          </w:rPr>
          <w:t>10</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4" w:history="1">
        <w:r w:rsidRPr="00144BB0">
          <w:rPr>
            <w:rStyle w:val="Hyperlnk"/>
          </w:rPr>
          <w:t>8. Referral to the Court of Justice for a preliminary ruling, Case C-348/11, Thomson Sales Europe</w:t>
        </w:r>
        <w:r w:rsidRPr="00144BB0">
          <w:rPr>
            <w:webHidden/>
          </w:rPr>
          <w:tab/>
        </w:r>
        <w:r w:rsidRPr="00144BB0">
          <w:rPr>
            <w:webHidden/>
          </w:rPr>
          <w:fldChar w:fldCharType="begin" w:fldLock="1"/>
        </w:r>
        <w:r w:rsidRPr="00144BB0">
          <w:rPr>
            <w:webHidden/>
          </w:rPr>
          <w:instrText xml:space="preserve"> PAGEREF _Toc306779924 \h </w:instrText>
        </w:r>
        <w:r w:rsidRPr="00144BB0">
          <w:rPr>
            <w:webHidden/>
          </w:rPr>
          <w:fldChar w:fldCharType="separate"/>
        </w:r>
        <w:r w:rsidR="00D55E22" w:rsidRPr="00144BB0">
          <w:rPr>
            <w:webHidden/>
          </w:rPr>
          <w:t>10</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5" w:history="1">
        <w:r w:rsidRPr="00144BB0">
          <w:rPr>
            <w:rStyle w:val="Hyperlnk"/>
          </w:rPr>
          <w:t>9. Council Decision on the conclusion of an Agreement on the participation of the Republic of Bulgaria and Romania in the European Economic Area and four related agreements</w:t>
        </w:r>
        <w:r w:rsidRPr="00144BB0">
          <w:rPr>
            <w:webHidden/>
          </w:rPr>
          <w:tab/>
        </w:r>
        <w:r w:rsidRPr="00144BB0">
          <w:rPr>
            <w:webHidden/>
          </w:rPr>
          <w:fldChar w:fldCharType="begin" w:fldLock="1"/>
        </w:r>
        <w:r w:rsidRPr="00144BB0">
          <w:rPr>
            <w:webHidden/>
          </w:rPr>
          <w:instrText xml:space="preserve"> PAGEREF _Toc306779925 \h </w:instrText>
        </w:r>
        <w:r w:rsidRPr="00144BB0">
          <w:rPr>
            <w:webHidden/>
          </w:rPr>
          <w:fldChar w:fldCharType="separate"/>
        </w:r>
        <w:r w:rsidR="00D55E22" w:rsidRPr="00144BB0">
          <w:rPr>
            <w:webHidden/>
          </w:rPr>
          <w:t>10</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6" w:history="1">
        <w:r w:rsidRPr="00144BB0">
          <w:rPr>
            <w:rStyle w:val="Hyperlnk"/>
          </w:rPr>
          <w:t>10. Council Decision on the conclusion of the Agreement in the form of an Exchange of Letters between the European Union and the Kingdom of Norway concerning additional trade preferences in agricultural products reached on the basis of Article 19 of the Agreement on the European Economic Area</w:t>
        </w:r>
        <w:r w:rsidRPr="00144BB0">
          <w:rPr>
            <w:webHidden/>
          </w:rPr>
          <w:tab/>
        </w:r>
        <w:r w:rsidRPr="00144BB0">
          <w:rPr>
            <w:webHidden/>
          </w:rPr>
          <w:fldChar w:fldCharType="begin" w:fldLock="1"/>
        </w:r>
        <w:r w:rsidRPr="00144BB0">
          <w:rPr>
            <w:webHidden/>
          </w:rPr>
          <w:instrText xml:space="preserve"> PAGEREF _Toc306779926 \h </w:instrText>
        </w:r>
        <w:r w:rsidRPr="00144BB0">
          <w:rPr>
            <w:webHidden/>
          </w:rPr>
          <w:fldChar w:fldCharType="separate"/>
        </w:r>
        <w:r w:rsidR="00D55E22" w:rsidRPr="00144BB0">
          <w:rPr>
            <w:webHidden/>
          </w:rPr>
          <w:t>11</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7" w:history="1">
        <w:r w:rsidRPr="00144BB0">
          <w:rPr>
            <w:rStyle w:val="Hyperlnk"/>
          </w:rPr>
          <w:t>11. Proposal for a Regulation of the European Parliament and of the Council amending Regulation (EC) No 428/2009 setting up a Community regime for the control of exports, transfer, brokering and transit of dual use items- Preparations with a view to an agreement with the European Parliament at the stage of the Council's first reading position</w:t>
        </w:r>
        <w:r w:rsidRPr="00144BB0">
          <w:rPr>
            <w:webHidden/>
          </w:rPr>
          <w:tab/>
        </w:r>
        <w:r w:rsidRPr="00144BB0">
          <w:rPr>
            <w:webHidden/>
          </w:rPr>
          <w:fldChar w:fldCharType="begin" w:fldLock="1"/>
        </w:r>
        <w:r w:rsidRPr="00144BB0">
          <w:rPr>
            <w:webHidden/>
          </w:rPr>
          <w:instrText xml:space="preserve"> PAGEREF _Toc306779927 \h </w:instrText>
        </w:r>
        <w:r w:rsidRPr="00144BB0">
          <w:rPr>
            <w:webHidden/>
          </w:rPr>
          <w:fldChar w:fldCharType="separate"/>
        </w:r>
        <w:r w:rsidR="00D55E22" w:rsidRPr="00144BB0">
          <w:rPr>
            <w:webHidden/>
          </w:rPr>
          <w:t>11</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8" w:history="1">
        <w:r w:rsidRPr="00144BB0">
          <w:rPr>
            <w:rStyle w:val="Hyperlnk"/>
          </w:rPr>
          <w:t>12. Proposal for a Regulation of the European Parliament and of the Council amending Regulation (EC) No 1334/2000 setting up a Community regime for the control of exports of dual-use items and technology (first reading) (LA+S)- Adoption of the legislative act</w:t>
        </w:r>
        <w:r w:rsidRPr="00144BB0">
          <w:rPr>
            <w:webHidden/>
          </w:rPr>
          <w:tab/>
        </w:r>
        <w:r w:rsidRPr="00144BB0">
          <w:rPr>
            <w:webHidden/>
          </w:rPr>
          <w:fldChar w:fldCharType="begin" w:fldLock="1"/>
        </w:r>
        <w:r w:rsidRPr="00144BB0">
          <w:rPr>
            <w:webHidden/>
          </w:rPr>
          <w:instrText xml:space="preserve"> PAGEREF _Toc306779928 \h </w:instrText>
        </w:r>
        <w:r w:rsidRPr="00144BB0">
          <w:rPr>
            <w:webHidden/>
          </w:rPr>
          <w:fldChar w:fldCharType="separate"/>
        </w:r>
        <w:r w:rsidR="00D55E22" w:rsidRPr="00144BB0">
          <w:rPr>
            <w:webHidden/>
          </w:rPr>
          <w:t>12</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29" w:history="1">
        <w:r w:rsidRPr="00144BB0">
          <w:rPr>
            <w:rStyle w:val="Hyperlnk"/>
          </w:rPr>
          <w:t>13. Proposal for a Regulation of the European Parliament and of the Council on the professional cross-border transport of euro cash by road between euro-area Member States (first reading) (LA+S)- Adoption of the legislative act</w:t>
        </w:r>
        <w:r w:rsidRPr="00144BB0">
          <w:rPr>
            <w:webHidden/>
          </w:rPr>
          <w:tab/>
        </w:r>
        <w:r w:rsidRPr="00144BB0">
          <w:rPr>
            <w:webHidden/>
          </w:rPr>
          <w:fldChar w:fldCharType="begin" w:fldLock="1"/>
        </w:r>
        <w:r w:rsidRPr="00144BB0">
          <w:rPr>
            <w:webHidden/>
          </w:rPr>
          <w:instrText xml:space="preserve"> PAGEREF _Toc306779929 \h </w:instrText>
        </w:r>
        <w:r w:rsidRPr="00144BB0">
          <w:rPr>
            <w:webHidden/>
          </w:rPr>
          <w:fldChar w:fldCharType="separate"/>
        </w:r>
        <w:r w:rsidR="00D55E22" w:rsidRPr="00144BB0">
          <w:rPr>
            <w:webHidden/>
          </w:rPr>
          <w:t>12</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0" w:history="1">
        <w:r w:rsidRPr="00144BB0">
          <w:rPr>
            <w:rStyle w:val="Hyperlnk"/>
          </w:rPr>
          <w:t>14. Joint Declaration on a Mobility Partnership between the European Union and Armenia</w:t>
        </w:r>
        <w:r w:rsidRPr="00144BB0">
          <w:rPr>
            <w:webHidden/>
          </w:rPr>
          <w:tab/>
        </w:r>
        <w:r w:rsidRPr="00144BB0">
          <w:rPr>
            <w:webHidden/>
          </w:rPr>
          <w:fldChar w:fldCharType="begin" w:fldLock="1"/>
        </w:r>
        <w:r w:rsidRPr="00144BB0">
          <w:rPr>
            <w:webHidden/>
          </w:rPr>
          <w:instrText xml:space="preserve"> PAGEREF _Toc306779930 \h </w:instrText>
        </w:r>
        <w:r w:rsidRPr="00144BB0">
          <w:rPr>
            <w:webHidden/>
          </w:rPr>
          <w:fldChar w:fldCharType="separate"/>
        </w:r>
        <w:r w:rsidR="00D55E22" w:rsidRPr="00144BB0">
          <w:rPr>
            <w:webHidden/>
          </w:rPr>
          <w:t>12</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1" w:history="1">
        <w:r w:rsidRPr="00144BB0">
          <w:rPr>
            <w:rStyle w:val="Hyperlnk"/>
          </w:rPr>
          <w:t>15. Draft Council Decision on the launch of automated data exchange concerning DNA data exchange in Latvia</w:t>
        </w:r>
        <w:r w:rsidRPr="00144BB0">
          <w:rPr>
            <w:webHidden/>
          </w:rPr>
          <w:tab/>
        </w:r>
        <w:r w:rsidRPr="00144BB0">
          <w:rPr>
            <w:webHidden/>
          </w:rPr>
          <w:fldChar w:fldCharType="begin" w:fldLock="1"/>
        </w:r>
        <w:r w:rsidRPr="00144BB0">
          <w:rPr>
            <w:webHidden/>
          </w:rPr>
          <w:instrText xml:space="preserve"> PAGEREF _Toc306779931 \h </w:instrText>
        </w:r>
        <w:r w:rsidRPr="00144BB0">
          <w:rPr>
            <w:webHidden/>
          </w:rPr>
          <w:fldChar w:fldCharType="separate"/>
        </w:r>
        <w:r w:rsidR="00D55E22" w:rsidRPr="00144BB0">
          <w:rPr>
            <w:webHidden/>
          </w:rPr>
          <w:t>14</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2" w:history="1">
        <w:r w:rsidRPr="00144BB0">
          <w:rPr>
            <w:rStyle w:val="Hyperlnk"/>
          </w:rPr>
          <w:t>16. Council Framework Decision 2006/960/JHA on simplifying the exchange of information and intelligence between law enforcement authorities of the Member States of the European Union ("Swedish Framework Decision") - Assessment of the extent to which Member States have complied with the provisions of the Framework Decision, as provided for by Article 11(2)</w:t>
        </w:r>
        <w:r w:rsidRPr="00144BB0">
          <w:rPr>
            <w:webHidden/>
          </w:rPr>
          <w:tab/>
        </w:r>
        <w:r w:rsidRPr="00144BB0">
          <w:rPr>
            <w:webHidden/>
          </w:rPr>
          <w:fldChar w:fldCharType="begin" w:fldLock="1"/>
        </w:r>
        <w:r w:rsidRPr="00144BB0">
          <w:rPr>
            <w:webHidden/>
          </w:rPr>
          <w:instrText xml:space="preserve"> PAGEREF _Toc306779932 \h </w:instrText>
        </w:r>
        <w:r w:rsidRPr="00144BB0">
          <w:rPr>
            <w:webHidden/>
          </w:rPr>
          <w:fldChar w:fldCharType="separate"/>
        </w:r>
        <w:r w:rsidR="00D55E22" w:rsidRPr="00144BB0">
          <w:rPr>
            <w:webHidden/>
          </w:rPr>
          <w:t>14</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3" w:history="1">
        <w:r w:rsidRPr="00144BB0">
          <w:rPr>
            <w:rStyle w:val="Hyperlnk"/>
          </w:rPr>
          <w:t>17. Draft Council Conclusions on the implementation of Council Framework Decision 2006/960/JHA ("Swedish Framework Decision")</w:t>
        </w:r>
        <w:r w:rsidRPr="00144BB0">
          <w:rPr>
            <w:webHidden/>
          </w:rPr>
          <w:tab/>
        </w:r>
        <w:r w:rsidRPr="00144BB0">
          <w:rPr>
            <w:webHidden/>
          </w:rPr>
          <w:fldChar w:fldCharType="begin" w:fldLock="1"/>
        </w:r>
        <w:r w:rsidRPr="00144BB0">
          <w:rPr>
            <w:webHidden/>
          </w:rPr>
          <w:instrText xml:space="preserve"> PAGEREF _Toc306779933 \h </w:instrText>
        </w:r>
        <w:r w:rsidRPr="00144BB0">
          <w:rPr>
            <w:webHidden/>
          </w:rPr>
          <w:fldChar w:fldCharType="separate"/>
        </w:r>
        <w:r w:rsidR="00D55E22" w:rsidRPr="00144BB0">
          <w:rPr>
            <w:webHidden/>
          </w:rPr>
          <w:t>15</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4" w:history="1">
        <w:r w:rsidRPr="00144BB0">
          <w:rPr>
            <w:rStyle w:val="Hyperlnk"/>
          </w:rPr>
          <w:t>18. Schengen Evaluation of Spain - Draft Council Conclusions</w:t>
        </w:r>
        <w:r w:rsidRPr="00144BB0">
          <w:rPr>
            <w:webHidden/>
          </w:rPr>
          <w:tab/>
        </w:r>
        <w:r w:rsidRPr="00144BB0">
          <w:rPr>
            <w:webHidden/>
          </w:rPr>
          <w:fldChar w:fldCharType="begin" w:fldLock="1"/>
        </w:r>
        <w:r w:rsidRPr="00144BB0">
          <w:rPr>
            <w:webHidden/>
          </w:rPr>
          <w:instrText xml:space="preserve"> PAGEREF _Toc306779934 \h </w:instrText>
        </w:r>
        <w:r w:rsidRPr="00144BB0">
          <w:rPr>
            <w:webHidden/>
          </w:rPr>
          <w:fldChar w:fldCharType="separate"/>
        </w:r>
        <w:r w:rsidR="00D55E22" w:rsidRPr="00144BB0">
          <w:rPr>
            <w:webHidden/>
          </w:rPr>
          <w:t>15</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5" w:history="1">
        <w:r w:rsidRPr="00144BB0">
          <w:rPr>
            <w:rStyle w:val="Hyperlnk"/>
          </w:rPr>
          <w:t>19. EU Declaration on the 60th Anniversary of the 1951 Convention Relating to the Status of Refugees</w:t>
        </w:r>
        <w:r w:rsidRPr="00144BB0">
          <w:rPr>
            <w:webHidden/>
          </w:rPr>
          <w:tab/>
        </w:r>
        <w:r w:rsidRPr="00144BB0">
          <w:rPr>
            <w:webHidden/>
          </w:rPr>
          <w:fldChar w:fldCharType="begin" w:fldLock="1"/>
        </w:r>
        <w:r w:rsidRPr="00144BB0">
          <w:rPr>
            <w:webHidden/>
          </w:rPr>
          <w:instrText xml:space="preserve"> PAGEREF _Toc306779935 \h </w:instrText>
        </w:r>
        <w:r w:rsidRPr="00144BB0">
          <w:rPr>
            <w:webHidden/>
          </w:rPr>
          <w:fldChar w:fldCharType="separate"/>
        </w:r>
        <w:r w:rsidR="00D55E22" w:rsidRPr="00144BB0">
          <w:rPr>
            <w:webHidden/>
          </w:rPr>
          <w:t>16</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6" w:history="1">
        <w:r w:rsidRPr="00144BB0">
          <w:rPr>
            <w:rStyle w:val="Hyperlnk"/>
          </w:rPr>
          <w:t>20. Preparation of the second Ministerial Conference on "Building Migration Partnerships"</w:t>
        </w:r>
        <w:r w:rsidRPr="00144BB0">
          <w:rPr>
            <w:webHidden/>
          </w:rPr>
          <w:tab/>
        </w:r>
        <w:r w:rsidRPr="00144BB0">
          <w:rPr>
            <w:webHidden/>
          </w:rPr>
          <w:fldChar w:fldCharType="begin" w:fldLock="1"/>
        </w:r>
        <w:r w:rsidRPr="00144BB0">
          <w:rPr>
            <w:webHidden/>
          </w:rPr>
          <w:instrText xml:space="preserve"> PAGEREF _Toc306779936 \h </w:instrText>
        </w:r>
        <w:r w:rsidRPr="00144BB0">
          <w:rPr>
            <w:webHidden/>
          </w:rPr>
          <w:fldChar w:fldCharType="separate"/>
        </w:r>
        <w:r w:rsidR="00D55E22" w:rsidRPr="00144BB0">
          <w:rPr>
            <w:webHidden/>
          </w:rPr>
          <w:t>16</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7" w:history="1">
        <w:r w:rsidRPr="00144BB0">
          <w:rPr>
            <w:rStyle w:val="Hyperlnk"/>
          </w:rPr>
          <w:t>21. Adoption of Council Decision on the conclusion of an Agreement in the form of an Exchange of Letters between the European Union, of the one part, and the Palestinian Authority of the West Bank and the Gaza Strip, of the other part, providing further liberalisation of agricultural products, processed agricultural products and fish and fishery products and amending the Euro-Mediterranean Interim Association Agreement on trade and cooperation between the European Community, of the one part, and the Palestine Liberation Organization (PLO) for the benefit of the Palestinian Authority of the West Bank and the Gaza Strip, of the other part</w:t>
        </w:r>
        <w:r w:rsidRPr="00144BB0">
          <w:rPr>
            <w:webHidden/>
          </w:rPr>
          <w:tab/>
        </w:r>
        <w:r w:rsidRPr="00144BB0">
          <w:rPr>
            <w:webHidden/>
          </w:rPr>
          <w:fldChar w:fldCharType="begin" w:fldLock="1"/>
        </w:r>
        <w:r w:rsidRPr="00144BB0">
          <w:rPr>
            <w:webHidden/>
          </w:rPr>
          <w:instrText xml:space="preserve"> PAGEREF _Toc306779937 \h </w:instrText>
        </w:r>
        <w:r w:rsidRPr="00144BB0">
          <w:rPr>
            <w:webHidden/>
          </w:rPr>
          <w:fldChar w:fldCharType="separate"/>
        </w:r>
        <w:r w:rsidR="00D55E22" w:rsidRPr="00144BB0">
          <w:rPr>
            <w:webHidden/>
          </w:rPr>
          <w:t>17</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8" w:history="1">
        <w:r w:rsidRPr="00144BB0">
          <w:rPr>
            <w:rStyle w:val="Hyperlnk"/>
          </w:rPr>
          <w:t>22. Council Decision amending Decision 2011/621/CFSP extending the mandate of the European Union Special Representative to the African Union</w:t>
        </w:r>
        <w:r w:rsidRPr="00144BB0">
          <w:rPr>
            <w:webHidden/>
          </w:rPr>
          <w:tab/>
        </w:r>
        <w:r w:rsidRPr="00144BB0">
          <w:rPr>
            <w:webHidden/>
          </w:rPr>
          <w:fldChar w:fldCharType="begin" w:fldLock="1"/>
        </w:r>
        <w:r w:rsidRPr="00144BB0">
          <w:rPr>
            <w:webHidden/>
          </w:rPr>
          <w:instrText xml:space="preserve"> PAGEREF _Toc306779938 \h </w:instrText>
        </w:r>
        <w:r w:rsidRPr="00144BB0">
          <w:rPr>
            <w:webHidden/>
          </w:rPr>
          <w:fldChar w:fldCharType="separate"/>
        </w:r>
        <w:r w:rsidR="00D55E22" w:rsidRPr="00144BB0">
          <w:rPr>
            <w:webHidden/>
          </w:rPr>
          <w:t>18</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39" w:history="1">
        <w:r w:rsidRPr="00144BB0">
          <w:rPr>
            <w:rStyle w:val="Hyperlnk"/>
          </w:rPr>
          <w:t>23. Council Regulation repealing Regulation (EC) No 1763/2004 imposing certain restrictive measures in support of effective implementation of the mandate of the International Criminal Tribunal for the former Yugoslavia (ICTY)</w:t>
        </w:r>
        <w:r w:rsidRPr="00144BB0">
          <w:rPr>
            <w:webHidden/>
          </w:rPr>
          <w:tab/>
        </w:r>
        <w:r w:rsidRPr="00144BB0">
          <w:rPr>
            <w:webHidden/>
          </w:rPr>
          <w:fldChar w:fldCharType="begin" w:fldLock="1"/>
        </w:r>
        <w:r w:rsidRPr="00144BB0">
          <w:rPr>
            <w:webHidden/>
          </w:rPr>
          <w:instrText xml:space="preserve"> PAGEREF _Toc306779939 \h </w:instrText>
        </w:r>
        <w:r w:rsidRPr="00144BB0">
          <w:rPr>
            <w:webHidden/>
          </w:rPr>
          <w:fldChar w:fldCharType="separate"/>
        </w:r>
        <w:r w:rsidR="00D55E22" w:rsidRPr="00144BB0">
          <w:rPr>
            <w:webHidden/>
          </w:rPr>
          <w:t>18</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0" w:history="1">
        <w:r w:rsidRPr="00144BB0">
          <w:rPr>
            <w:rStyle w:val="Hyperlnk"/>
          </w:rPr>
          <w:t>24. Council Decision amending Council Decision 2010/638/CFSP concerning restrictive measures against the Republic of Guinea</w:t>
        </w:r>
        <w:r w:rsidRPr="00144BB0">
          <w:rPr>
            <w:webHidden/>
          </w:rPr>
          <w:tab/>
        </w:r>
        <w:r w:rsidRPr="00144BB0">
          <w:rPr>
            <w:webHidden/>
          </w:rPr>
          <w:fldChar w:fldCharType="begin" w:fldLock="1"/>
        </w:r>
        <w:r w:rsidRPr="00144BB0">
          <w:rPr>
            <w:webHidden/>
          </w:rPr>
          <w:instrText xml:space="preserve"> PAGEREF _Toc306779940 \h </w:instrText>
        </w:r>
        <w:r w:rsidRPr="00144BB0">
          <w:rPr>
            <w:webHidden/>
          </w:rPr>
          <w:fldChar w:fldCharType="separate"/>
        </w:r>
        <w:r w:rsidR="00D55E22" w:rsidRPr="00144BB0">
          <w:rPr>
            <w:webHidden/>
          </w:rPr>
          <w:t>19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1" w:history="1">
        <w:r w:rsidRPr="00144BB0">
          <w:rPr>
            <w:rStyle w:val="Hyperlnk"/>
          </w:rPr>
          <w:t>25. - Council Implementing Decision implementing Council Decision 2011/486/CFSP concerning restrictive measures directed against certain individuals, groups, undertakings and entities in view of the situation in Afghanistan- Council Implementing Regulation implementing Article 11(1) of Council Regulation (EU) No 753/2011 concerning restrictive measures directed against certain individuals, groups, undertakings and entities in view of the situation in Afghanistan</w:t>
        </w:r>
        <w:r w:rsidRPr="00144BB0">
          <w:rPr>
            <w:webHidden/>
          </w:rPr>
          <w:tab/>
        </w:r>
        <w:r w:rsidRPr="00144BB0">
          <w:rPr>
            <w:webHidden/>
          </w:rPr>
          <w:fldChar w:fldCharType="begin" w:fldLock="1"/>
        </w:r>
        <w:r w:rsidRPr="00144BB0">
          <w:rPr>
            <w:webHidden/>
          </w:rPr>
          <w:instrText xml:space="preserve"> PAGEREF _Toc306779941 \h </w:instrText>
        </w:r>
        <w:r w:rsidRPr="00144BB0">
          <w:rPr>
            <w:webHidden/>
          </w:rPr>
          <w:fldChar w:fldCharType="separate"/>
        </w:r>
        <w:r w:rsidR="00D55E22" w:rsidRPr="00144BB0">
          <w:rPr>
            <w:webHidden/>
          </w:rPr>
          <w:t>20</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2" w:history="1">
        <w:r w:rsidRPr="00144BB0">
          <w:rPr>
            <w:rStyle w:val="Hyperlnk"/>
          </w:rPr>
          <w:t>26. Case T-438/11 before the General Court (BelTechExport ZAO v. Council of the European Union)</w:t>
        </w:r>
        <w:r w:rsidRPr="00144BB0">
          <w:rPr>
            <w:webHidden/>
          </w:rPr>
          <w:tab/>
        </w:r>
        <w:r w:rsidRPr="00144BB0">
          <w:rPr>
            <w:webHidden/>
          </w:rPr>
          <w:fldChar w:fldCharType="begin" w:fldLock="1"/>
        </w:r>
        <w:r w:rsidRPr="00144BB0">
          <w:rPr>
            <w:webHidden/>
          </w:rPr>
          <w:instrText xml:space="preserve"> PAGEREF _Toc306779942 \h </w:instrText>
        </w:r>
        <w:r w:rsidRPr="00144BB0">
          <w:rPr>
            <w:webHidden/>
          </w:rPr>
          <w:fldChar w:fldCharType="separate"/>
        </w:r>
        <w:r w:rsidR="00D55E22" w:rsidRPr="00144BB0">
          <w:rPr>
            <w:webHidden/>
          </w:rPr>
          <w:t>21</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3" w:history="1">
        <w:r w:rsidRPr="00144BB0">
          <w:rPr>
            <w:rStyle w:val="Hyperlnk"/>
          </w:rPr>
          <w:t>27. Case T-439/11 before the General Court (Sport-pari ZAO v. Council of the European Union)</w:t>
        </w:r>
        <w:r w:rsidRPr="00144BB0">
          <w:rPr>
            <w:webHidden/>
          </w:rPr>
          <w:tab/>
        </w:r>
        <w:r w:rsidRPr="00144BB0">
          <w:rPr>
            <w:webHidden/>
          </w:rPr>
          <w:fldChar w:fldCharType="begin" w:fldLock="1"/>
        </w:r>
        <w:r w:rsidRPr="00144BB0">
          <w:rPr>
            <w:webHidden/>
          </w:rPr>
          <w:instrText xml:space="preserve"> PAGEREF _Toc306779943 \h </w:instrText>
        </w:r>
        <w:r w:rsidRPr="00144BB0">
          <w:rPr>
            <w:webHidden/>
          </w:rPr>
          <w:fldChar w:fldCharType="separate"/>
        </w:r>
        <w:r w:rsidR="00D55E22" w:rsidRPr="00144BB0">
          <w:rPr>
            <w:webHidden/>
          </w:rPr>
          <w:t>21</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4" w:history="1">
        <w:r w:rsidRPr="00144BB0">
          <w:rPr>
            <w:rStyle w:val="Hyperlnk"/>
          </w:rPr>
          <w:t>28.  Case T-440/11 before the General Court (BT Telecommunications PUE v. Council of the European Union)</w:t>
        </w:r>
        <w:r w:rsidRPr="00144BB0">
          <w:rPr>
            <w:webHidden/>
          </w:rPr>
          <w:tab/>
        </w:r>
        <w:r w:rsidRPr="00144BB0">
          <w:rPr>
            <w:webHidden/>
          </w:rPr>
          <w:fldChar w:fldCharType="begin" w:fldLock="1"/>
        </w:r>
        <w:r w:rsidRPr="00144BB0">
          <w:rPr>
            <w:webHidden/>
          </w:rPr>
          <w:instrText xml:space="preserve"> PAGEREF _Toc306779944 \h </w:instrText>
        </w:r>
        <w:r w:rsidRPr="00144BB0">
          <w:rPr>
            <w:webHidden/>
          </w:rPr>
          <w:fldChar w:fldCharType="separate"/>
        </w:r>
        <w:r w:rsidR="00D55E22" w:rsidRPr="00144BB0">
          <w:rPr>
            <w:webHidden/>
          </w:rPr>
          <w:t>21</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5" w:history="1">
        <w:r w:rsidRPr="00144BB0">
          <w:rPr>
            <w:rStyle w:val="Hyperlnk"/>
          </w:rPr>
          <w:t>29. Case T-441/11 before the General Court (Vladimir Peftiev v. Council of the European Union)</w:t>
        </w:r>
        <w:r w:rsidRPr="00144BB0">
          <w:rPr>
            <w:webHidden/>
          </w:rPr>
          <w:tab/>
        </w:r>
        <w:r w:rsidRPr="00144BB0">
          <w:rPr>
            <w:webHidden/>
          </w:rPr>
          <w:fldChar w:fldCharType="begin" w:fldLock="1"/>
        </w:r>
        <w:r w:rsidRPr="00144BB0">
          <w:rPr>
            <w:webHidden/>
          </w:rPr>
          <w:instrText xml:space="preserve"> PAGEREF _Toc306779945 \h </w:instrText>
        </w:r>
        <w:r w:rsidRPr="00144BB0">
          <w:rPr>
            <w:webHidden/>
          </w:rPr>
          <w:fldChar w:fldCharType="separate"/>
        </w:r>
        <w:r w:rsidR="00D55E22" w:rsidRPr="00144BB0">
          <w:rPr>
            <w:webHidden/>
          </w:rPr>
          <w:t>22</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6" w:history="1">
        <w:r w:rsidRPr="00144BB0">
          <w:rPr>
            <w:rStyle w:val="Hyperlnk"/>
          </w:rPr>
          <w:t>30. Décision d'exécution du Conseil mettant en œuvre la décision 2010/788/PESC du Conseil concernant l'adoption de mesures restrictives à l'encontre de la République démocratique du Congo</w:t>
        </w:r>
        <w:r w:rsidRPr="00144BB0">
          <w:rPr>
            <w:webHidden/>
          </w:rPr>
          <w:tab/>
        </w:r>
        <w:r w:rsidRPr="00144BB0">
          <w:rPr>
            <w:webHidden/>
          </w:rPr>
          <w:fldChar w:fldCharType="begin" w:fldLock="1"/>
        </w:r>
        <w:r w:rsidRPr="00144BB0">
          <w:rPr>
            <w:webHidden/>
          </w:rPr>
          <w:instrText xml:space="preserve"> PAGEREF _Toc306779946 \h </w:instrText>
        </w:r>
        <w:r w:rsidRPr="00144BB0">
          <w:rPr>
            <w:webHidden/>
          </w:rPr>
          <w:fldChar w:fldCharType="separate"/>
        </w:r>
        <w:r w:rsidR="00D55E22" w:rsidRPr="00144BB0">
          <w:rPr>
            <w:webHidden/>
          </w:rPr>
          <w:t>22</w:t>
        </w:r>
        <w:r w:rsidRPr="00144BB0">
          <w:rPr>
            <w:webHidden/>
          </w:rPr>
          <w:fldChar w:fldCharType="end"/>
        </w:r>
      </w:hyperlink>
    </w:p>
    <w:p w:rsidR="00202489" w:rsidRPr="00144BB0" w:rsidRDefault="00202489">
      <w:pPr>
        <w:pStyle w:val="Innehll1"/>
        <w:tabs>
          <w:tab w:val="right" w:leader="dot" w:pos="7644"/>
        </w:tabs>
        <w:rPr>
          <w:rFonts w:ascii="Times New Roman" w:hAnsi="Times New Roman"/>
          <w:b w:val="0"/>
          <w:bCs w:val="0"/>
          <w:caps w:val="0"/>
          <w:szCs w:val="24"/>
          <w:lang w:eastAsia="sv-SE"/>
        </w:rPr>
      </w:pPr>
      <w:hyperlink w:anchor="_Toc306779947" w:history="1">
        <w:r w:rsidRPr="00144BB0">
          <w:rPr>
            <w:rStyle w:val="Hyperlnk"/>
          </w:rPr>
          <w:t>Troliga A-punkter inför kommande rådsmöten som förväntas godkännas vid Coreper I 2011-10-19</w:t>
        </w:r>
        <w:r w:rsidRPr="00144BB0">
          <w:rPr>
            <w:webHidden/>
          </w:rPr>
          <w:tab/>
        </w:r>
        <w:r w:rsidRPr="00144BB0">
          <w:rPr>
            <w:webHidden/>
          </w:rPr>
          <w:fldChar w:fldCharType="begin" w:fldLock="1"/>
        </w:r>
        <w:r w:rsidRPr="00144BB0">
          <w:rPr>
            <w:webHidden/>
          </w:rPr>
          <w:instrText xml:space="preserve"> PAGEREF _Toc306779947 \h </w:instrText>
        </w:r>
        <w:r w:rsidRPr="00144BB0">
          <w:rPr>
            <w:webHidden/>
          </w:rPr>
          <w:fldChar w:fldCharType="separate"/>
        </w:r>
        <w:r w:rsidR="00D55E22" w:rsidRPr="00144BB0">
          <w:rPr>
            <w:webHidden/>
          </w:rPr>
          <w:t>23</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8" w:history="1">
        <w:r w:rsidRPr="00144BB0">
          <w:rPr>
            <w:rStyle w:val="Hyperlnk"/>
          </w:rPr>
          <w:t>31. Reply to written questions put to the Council by Members of the European Parliament (+)</w:t>
        </w:r>
        <w:r w:rsidRPr="00144BB0">
          <w:rPr>
            <w:webHidden/>
          </w:rPr>
          <w:tab/>
        </w:r>
        <w:r w:rsidRPr="00144BB0">
          <w:rPr>
            <w:webHidden/>
          </w:rPr>
          <w:fldChar w:fldCharType="begin" w:fldLock="1"/>
        </w:r>
        <w:r w:rsidRPr="00144BB0">
          <w:rPr>
            <w:webHidden/>
          </w:rPr>
          <w:instrText xml:space="preserve"> PAGEREF _Toc306779948 \h </w:instrText>
        </w:r>
        <w:r w:rsidRPr="00144BB0">
          <w:rPr>
            <w:webHidden/>
          </w:rPr>
          <w:fldChar w:fldCharType="separate"/>
        </w:r>
        <w:r w:rsidR="00D55E22" w:rsidRPr="00144BB0">
          <w:rPr>
            <w:webHidden/>
          </w:rPr>
          <w:t>23</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49" w:history="1">
        <w:r w:rsidRPr="00144BB0">
          <w:rPr>
            <w:rStyle w:val="Hyperlnk"/>
          </w:rPr>
          <w:t>32. Draft agenda for the forthcoming part-session of the European Parliament in Strasbourg from 24 to 27 October 2011</w:t>
        </w:r>
        <w:r w:rsidRPr="00144BB0">
          <w:rPr>
            <w:webHidden/>
          </w:rPr>
          <w:tab/>
        </w:r>
        <w:r w:rsidRPr="00144BB0">
          <w:rPr>
            <w:webHidden/>
          </w:rPr>
          <w:fldChar w:fldCharType="begin" w:fldLock="1"/>
        </w:r>
        <w:r w:rsidRPr="00144BB0">
          <w:rPr>
            <w:webHidden/>
          </w:rPr>
          <w:instrText xml:space="preserve"> PAGEREF _Toc306779949 \h </w:instrText>
        </w:r>
        <w:r w:rsidRPr="00144BB0">
          <w:rPr>
            <w:webHidden/>
          </w:rPr>
          <w:fldChar w:fldCharType="separate"/>
        </w:r>
        <w:r w:rsidR="00D55E22" w:rsidRPr="00144BB0">
          <w:rPr>
            <w:webHidden/>
          </w:rPr>
          <w:t>24</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0" w:history="1">
        <w:r w:rsidRPr="00144BB0">
          <w:rPr>
            <w:rStyle w:val="Hyperlnk"/>
          </w:rPr>
          <w:t>33. Consumption of EAGF appropriations for the period from 16 October 2010 to 31 July 2011= Information note for the attention of the Permanent Representatives Committee (Part 1)</w:t>
        </w:r>
        <w:r w:rsidRPr="00144BB0">
          <w:rPr>
            <w:webHidden/>
          </w:rPr>
          <w:tab/>
        </w:r>
        <w:r w:rsidRPr="00144BB0">
          <w:rPr>
            <w:webHidden/>
          </w:rPr>
          <w:fldChar w:fldCharType="begin" w:fldLock="1"/>
        </w:r>
        <w:r w:rsidRPr="00144BB0">
          <w:rPr>
            <w:webHidden/>
          </w:rPr>
          <w:instrText xml:space="preserve"> PAGEREF _Toc306779950 \h </w:instrText>
        </w:r>
        <w:r w:rsidRPr="00144BB0">
          <w:rPr>
            <w:webHidden/>
          </w:rPr>
          <w:fldChar w:fldCharType="separate"/>
        </w:r>
        <w:r w:rsidR="00D55E22" w:rsidRPr="00144BB0">
          <w:rPr>
            <w:webHidden/>
          </w:rPr>
          <w:t>24</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1" w:history="1">
        <w:r w:rsidRPr="00144BB0">
          <w:rPr>
            <w:rStyle w:val="Hyperlnk"/>
          </w:rPr>
          <w:t>34. Draft Commission Regulation (EU) No .../.. of XXX amending Regulation (EC) No 1881/2006 as regards maximum levels for nitrates in foodstuffs = Decision not to oppose adoption</w:t>
        </w:r>
        <w:r w:rsidRPr="00144BB0">
          <w:rPr>
            <w:webHidden/>
          </w:rPr>
          <w:tab/>
        </w:r>
        <w:r w:rsidRPr="00144BB0">
          <w:rPr>
            <w:webHidden/>
          </w:rPr>
          <w:fldChar w:fldCharType="begin" w:fldLock="1"/>
        </w:r>
        <w:r w:rsidRPr="00144BB0">
          <w:rPr>
            <w:webHidden/>
          </w:rPr>
          <w:instrText xml:space="preserve"> PAGEREF _Toc306779951 \h </w:instrText>
        </w:r>
        <w:r w:rsidRPr="00144BB0">
          <w:rPr>
            <w:webHidden/>
          </w:rPr>
          <w:fldChar w:fldCharType="separate"/>
        </w:r>
        <w:r w:rsidR="00D55E22" w:rsidRPr="00144BB0">
          <w:rPr>
            <w:webHidden/>
          </w:rPr>
          <w:t>24</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2" w:history="1">
        <w:r w:rsidRPr="00144BB0">
          <w:rPr>
            <w:rStyle w:val="Hyperlnk"/>
          </w:rPr>
          <w:t>35. Draft Commission Regulation (EU) No .../..of XXX amending Regulation (EC) No 1881/2006 as regards maximum levels for dioxins, dioxin-like PCBs and non dioxin-like PCBs in foodstuffs = Decision not to oppose adoption</w:t>
        </w:r>
        <w:r w:rsidRPr="00144BB0">
          <w:rPr>
            <w:webHidden/>
          </w:rPr>
          <w:tab/>
        </w:r>
        <w:r w:rsidRPr="00144BB0">
          <w:rPr>
            <w:webHidden/>
          </w:rPr>
          <w:fldChar w:fldCharType="begin" w:fldLock="1"/>
        </w:r>
        <w:r w:rsidRPr="00144BB0">
          <w:rPr>
            <w:webHidden/>
          </w:rPr>
          <w:instrText xml:space="preserve"> PAGEREF _Toc306779952 \h </w:instrText>
        </w:r>
        <w:r w:rsidRPr="00144BB0">
          <w:rPr>
            <w:webHidden/>
          </w:rPr>
          <w:fldChar w:fldCharType="separate"/>
        </w:r>
        <w:r w:rsidR="00D55E22" w:rsidRPr="00144BB0">
          <w:rPr>
            <w:webHidden/>
          </w:rPr>
          <w:t>25</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3" w:history="1">
        <w:r w:rsidRPr="00144BB0">
          <w:rPr>
            <w:rStyle w:val="Hyperlnk"/>
          </w:rPr>
          <w:t>36. Proposal for a Council Regulation amending Council Regulations (EU) No57/2011 and (EC) 754/2009 as regards the protection of the species porbeagle, certain TACs and certain fishing limits set for the United Kingdom, Germany and Ireland = Adoption</w:t>
        </w:r>
        <w:r w:rsidRPr="00144BB0">
          <w:rPr>
            <w:webHidden/>
          </w:rPr>
          <w:tab/>
        </w:r>
        <w:r w:rsidRPr="00144BB0">
          <w:rPr>
            <w:webHidden/>
          </w:rPr>
          <w:fldChar w:fldCharType="begin" w:fldLock="1"/>
        </w:r>
        <w:r w:rsidRPr="00144BB0">
          <w:rPr>
            <w:webHidden/>
          </w:rPr>
          <w:instrText xml:space="preserve"> PAGEREF _Toc306779953 \h </w:instrText>
        </w:r>
        <w:r w:rsidRPr="00144BB0">
          <w:rPr>
            <w:webHidden/>
          </w:rPr>
          <w:fldChar w:fldCharType="separate"/>
        </w:r>
        <w:r w:rsidR="00D55E22" w:rsidRPr="00144BB0">
          <w:rPr>
            <w:webHidden/>
          </w:rPr>
          <w:t>25</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4" w:history="1">
        <w:r w:rsidRPr="00144BB0">
          <w:rPr>
            <w:rStyle w:val="Hyperlnk"/>
          </w:rPr>
          <w:t>37. Proposal for a Council Regulation amending Regulation (EC) N° 521/2008 setting up the Fuel Cells Hydrogen Joint Undertaking = Adoption</w:t>
        </w:r>
        <w:r w:rsidRPr="00144BB0">
          <w:rPr>
            <w:webHidden/>
          </w:rPr>
          <w:tab/>
        </w:r>
        <w:r w:rsidRPr="00144BB0">
          <w:rPr>
            <w:webHidden/>
          </w:rPr>
          <w:fldChar w:fldCharType="begin" w:fldLock="1"/>
        </w:r>
        <w:r w:rsidRPr="00144BB0">
          <w:rPr>
            <w:webHidden/>
          </w:rPr>
          <w:instrText xml:space="preserve"> PAGEREF _Toc306779954 \h </w:instrText>
        </w:r>
        <w:r w:rsidRPr="00144BB0">
          <w:rPr>
            <w:webHidden/>
          </w:rPr>
          <w:fldChar w:fldCharType="separate"/>
        </w:r>
        <w:r w:rsidR="00D55E22" w:rsidRPr="00144BB0">
          <w:rPr>
            <w:webHidden/>
          </w:rPr>
          <w:t>26</w:t>
        </w:r>
        <w:r w:rsidRPr="00144BB0">
          <w:rPr>
            <w:webHidden/>
          </w:rPr>
          <w:fldChar w:fldCharType="end"/>
        </w:r>
      </w:hyperlink>
    </w:p>
    <w:p w:rsidR="00202489" w:rsidRPr="00144BB0" w:rsidRDefault="00202489">
      <w:pPr>
        <w:pStyle w:val="Innehll1"/>
        <w:tabs>
          <w:tab w:val="right" w:leader="dot" w:pos="7644"/>
        </w:tabs>
        <w:rPr>
          <w:rFonts w:ascii="Times New Roman" w:hAnsi="Times New Roman"/>
          <w:b w:val="0"/>
          <w:bCs w:val="0"/>
          <w:caps w:val="0"/>
          <w:szCs w:val="24"/>
          <w:lang w:eastAsia="sv-SE"/>
        </w:rPr>
      </w:pPr>
      <w:hyperlink w:anchor="_Toc306779955" w:history="1">
        <w:r w:rsidRPr="00144BB0">
          <w:rPr>
            <w:rStyle w:val="Hyperlnk"/>
          </w:rPr>
          <w:t>Färdigförhandlad II-punkt från möte i Coreper II 2011-10-06 som kan tas som A-punkt vid kommande rådsmöten.</w:t>
        </w:r>
        <w:r w:rsidRPr="00144BB0">
          <w:rPr>
            <w:webHidden/>
          </w:rPr>
          <w:tab/>
        </w:r>
        <w:r w:rsidRPr="00144BB0">
          <w:rPr>
            <w:webHidden/>
          </w:rPr>
          <w:fldChar w:fldCharType="begin" w:fldLock="1"/>
        </w:r>
        <w:r w:rsidRPr="00144BB0">
          <w:rPr>
            <w:webHidden/>
          </w:rPr>
          <w:instrText xml:space="preserve"> PAGEREF _Toc306779955 \h </w:instrText>
        </w:r>
        <w:r w:rsidRPr="00144BB0">
          <w:rPr>
            <w:webHidden/>
          </w:rPr>
          <w:fldChar w:fldCharType="separate"/>
        </w:r>
        <w:r w:rsidR="00D55E22" w:rsidRPr="00144BB0">
          <w:rPr>
            <w:webHidden/>
          </w:rPr>
          <w:t>27</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6" w:history="1">
        <w:r w:rsidRPr="00144BB0">
          <w:rPr>
            <w:rStyle w:val="Hyperlnk"/>
          </w:rPr>
          <w:t>38. Proposal for a Directive of the European Parliament and of the Council on the European Protection Order = Political agreement</w:t>
        </w:r>
        <w:r w:rsidRPr="00144BB0">
          <w:rPr>
            <w:webHidden/>
          </w:rPr>
          <w:tab/>
        </w:r>
        <w:r w:rsidRPr="00144BB0">
          <w:rPr>
            <w:webHidden/>
          </w:rPr>
          <w:fldChar w:fldCharType="begin" w:fldLock="1"/>
        </w:r>
        <w:r w:rsidRPr="00144BB0">
          <w:rPr>
            <w:webHidden/>
          </w:rPr>
          <w:instrText xml:space="preserve"> PAGEREF _Toc306779956 \h </w:instrText>
        </w:r>
        <w:r w:rsidRPr="00144BB0">
          <w:rPr>
            <w:webHidden/>
          </w:rPr>
          <w:fldChar w:fldCharType="separate"/>
        </w:r>
        <w:r w:rsidR="00D55E22" w:rsidRPr="00144BB0">
          <w:rPr>
            <w:webHidden/>
          </w:rPr>
          <w:t>27</w:t>
        </w:r>
        <w:r w:rsidRPr="00144BB0">
          <w:rPr>
            <w:webHidden/>
          </w:rPr>
          <w:fldChar w:fldCharType="end"/>
        </w:r>
      </w:hyperlink>
    </w:p>
    <w:p w:rsidR="00202489" w:rsidRPr="00144BB0" w:rsidRDefault="00202489">
      <w:pPr>
        <w:pStyle w:val="Innehll1"/>
        <w:tabs>
          <w:tab w:val="right" w:leader="dot" w:pos="7644"/>
        </w:tabs>
        <w:rPr>
          <w:rFonts w:ascii="Times New Roman" w:hAnsi="Times New Roman"/>
          <w:b w:val="0"/>
          <w:bCs w:val="0"/>
          <w:caps w:val="0"/>
          <w:szCs w:val="24"/>
          <w:lang w:eastAsia="sv-SE"/>
        </w:rPr>
      </w:pPr>
      <w:hyperlink w:anchor="_Toc306779957" w:history="1">
        <w:r w:rsidRPr="00144BB0">
          <w:rPr>
            <w:rStyle w:val="Hyperlnk"/>
          </w:rPr>
          <w:t>Trolig A-punkt inför kommande rådsmöten som godkändes vid SJK 2010-10-03.</w:t>
        </w:r>
        <w:r w:rsidRPr="00144BB0">
          <w:rPr>
            <w:webHidden/>
          </w:rPr>
          <w:tab/>
        </w:r>
        <w:r w:rsidRPr="00144BB0">
          <w:rPr>
            <w:webHidden/>
          </w:rPr>
          <w:fldChar w:fldCharType="begin" w:fldLock="1"/>
        </w:r>
        <w:r w:rsidRPr="00144BB0">
          <w:rPr>
            <w:webHidden/>
          </w:rPr>
          <w:instrText xml:space="preserve"> PAGEREF _Toc306779957 \h </w:instrText>
        </w:r>
        <w:r w:rsidRPr="00144BB0">
          <w:rPr>
            <w:webHidden/>
          </w:rPr>
          <w:fldChar w:fldCharType="separate"/>
        </w:r>
        <w:r w:rsidR="00D55E22" w:rsidRPr="00144BB0">
          <w:rPr>
            <w:webHidden/>
          </w:rPr>
          <w:t>28</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58" w:history="1">
        <w:r w:rsidRPr="00144BB0">
          <w:rPr>
            <w:rStyle w:val="Hyperlnk"/>
          </w:rPr>
          <w:t>39. Proposal for a Regulation of the European Parliament and of the Council amending Council Regulation (EC) No 378/2007 as regards the rules for the implementation of voluntary modulation of direct payments under the common agricultural policy [First reading] (LA) = Adoption of the legislative act</w:t>
        </w:r>
        <w:r w:rsidRPr="00144BB0">
          <w:rPr>
            <w:webHidden/>
          </w:rPr>
          <w:tab/>
        </w:r>
        <w:r w:rsidRPr="00144BB0">
          <w:rPr>
            <w:webHidden/>
          </w:rPr>
          <w:fldChar w:fldCharType="begin" w:fldLock="1"/>
        </w:r>
        <w:r w:rsidRPr="00144BB0">
          <w:rPr>
            <w:webHidden/>
          </w:rPr>
          <w:instrText xml:space="preserve"> PAGEREF _Toc306779958 \h </w:instrText>
        </w:r>
        <w:r w:rsidRPr="00144BB0">
          <w:rPr>
            <w:webHidden/>
          </w:rPr>
          <w:fldChar w:fldCharType="separate"/>
        </w:r>
        <w:r w:rsidR="00D55E22" w:rsidRPr="00144BB0">
          <w:rPr>
            <w:webHidden/>
          </w:rPr>
          <w:t>28</w:t>
        </w:r>
        <w:r w:rsidRPr="00144BB0">
          <w:rPr>
            <w:webHidden/>
          </w:rPr>
          <w:fldChar w:fldCharType="end"/>
        </w:r>
      </w:hyperlink>
    </w:p>
    <w:p w:rsidR="00202489" w:rsidRPr="00144BB0" w:rsidRDefault="00202489">
      <w:pPr>
        <w:pStyle w:val="Innehll1"/>
        <w:tabs>
          <w:tab w:val="right" w:leader="dot" w:pos="7644"/>
        </w:tabs>
        <w:rPr>
          <w:rFonts w:ascii="Times New Roman" w:hAnsi="Times New Roman"/>
          <w:b w:val="0"/>
          <w:bCs w:val="0"/>
          <w:caps w:val="0"/>
          <w:szCs w:val="24"/>
          <w:lang w:eastAsia="sv-SE"/>
        </w:rPr>
      </w:pPr>
      <w:hyperlink w:anchor="_Toc306779959" w:history="1">
        <w:r w:rsidRPr="00144BB0">
          <w:rPr>
            <w:rStyle w:val="Hyperlnk"/>
          </w:rPr>
          <w:t>Troliga A-punkter inför kommande rådsmöten som godkändes vid SJK 2010-10-10.</w:t>
        </w:r>
        <w:r w:rsidRPr="00144BB0">
          <w:rPr>
            <w:webHidden/>
          </w:rPr>
          <w:tab/>
        </w:r>
        <w:r w:rsidRPr="00144BB0">
          <w:rPr>
            <w:webHidden/>
          </w:rPr>
          <w:fldChar w:fldCharType="begin" w:fldLock="1"/>
        </w:r>
        <w:r w:rsidRPr="00144BB0">
          <w:rPr>
            <w:webHidden/>
          </w:rPr>
          <w:instrText xml:space="preserve"> PAGEREF _Toc306779959 \h </w:instrText>
        </w:r>
        <w:r w:rsidRPr="00144BB0">
          <w:rPr>
            <w:webHidden/>
          </w:rPr>
          <w:fldChar w:fldCharType="separate"/>
        </w:r>
        <w:r w:rsidR="00D55E22" w:rsidRPr="00144BB0">
          <w:rPr>
            <w:webHidden/>
          </w:rPr>
          <w:t>29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60" w:history="1">
        <w:r w:rsidRPr="00144BB0">
          <w:rPr>
            <w:rStyle w:val="Hyperlnk"/>
          </w:rPr>
          <w:t>40. Proposal for a Regulation of the European Parliament and of the Council repealing Regulation (EEC) No 429/73 making special provisions for imports into the Community of certain goods coming under Regulation (EEC) No 1059/69 and originating in Turkey and Regulation (EC) No 215/2000 renewing for 2000 the measures laid down in Regulation (EC) No 1416/95 establishing certain concessions in the form of Community tariff quotas in 1995 for certain processed agricultural products [First reading] (LA) = Adoption of the legislative act</w:t>
        </w:r>
        <w:r w:rsidRPr="00144BB0">
          <w:rPr>
            <w:webHidden/>
          </w:rPr>
          <w:tab/>
        </w:r>
        <w:r w:rsidRPr="00144BB0">
          <w:rPr>
            <w:webHidden/>
          </w:rPr>
          <w:fldChar w:fldCharType="begin" w:fldLock="1"/>
        </w:r>
        <w:r w:rsidRPr="00144BB0">
          <w:rPr>
            <w:webHidden/>
          </w:rPr>
          <w:instrText xml:space="preserve"> PAGEREF _Toc306779960 \h </w:instrText>
        </w:r>
        <w:r w:rsidRPr="00144BB0">
          <w:rPr>
            <w:webHidden/>
          </w:rPr>
          <w:fldChar w:fldCharType="separate"/>
        </w:r>
        <w:r w:rsidR="00D55E22" w:rsidRPr="00144BB0">
          <w:rPr>
            <w:webHidden/>
          </w:rPr>
          <w:t>29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61" w:history="1">
        <w:r w:rsidRPr="00144BB0">
          <w:rPr>
            <w:rStyle w:val="Hyperlnk"/>
          </w:rPr>
          <w:t>41. Proposal for a Regulation of the European Parliament and of the Council on repealing certain obsolete Council acts in the field of the common agricultural policy [First reading] (LA) = Adoption of the legislative act</w:t>
        </w:r>
        <w:r w:rsidRPr="00144BB0">
          <w:rPr>
            <w:webHidden/>
          </w:rPr>
          <w:tab/>
        </w:r>
        <w:r w:rsidRPr="00144BB0">
          <w:rPr>
            <w:webHidden/>
          </w:rPr>
          <w:fldChar w:fldCharType="begin" w:fldLock="1"/>
        </w:r>
        <w:r w:rsidRPr="00144BB0">
          <w:rPr>
            <w:webHidden/>
          </w:rPr>
          <w:instrText xml:space="preserve"> PAGEREF _Toc306779961 \h </w:instrText>
        </w:r>
        <w:r w:rsidRPr="00144BB0">
          <w:rPr>
            <w:webHidden/>
          </w:rPr>
          <w:fldChar w:fldCharType="separate"/>
        </w:r>
        <w:r w:rsidR="00D55E22" w:rsidRPr="00144BB0">
          <w:rPr>
            <w:webHidden/>
          </w:rPr>
          <w:t>29</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62" w:history="1">
        <w:r w:rsidRPr="00144BB0">
          <w:rPr>
            <w:rStyle w:val="Hyperlnk"/>
          </w:rPr>
          <w:t>42. Proposal for a Regulation of the European Parliament and of the Council on repealing certain obsolete Council acts [First reading] (LA) = Adoption of the legislative act</w:t>
        </w:r>
        <w:r w:rsidRPr="00144BB0">
          <w:rPr>
            <w:webHidden/>
          </w:rPr>
          <w:tab/>
        </w:r>
        <w:r w:rsidRPr="00144BB0">
          <w:rPr>
            <w:webHidden/>
          </w:rPr>
          <w:fldChar w:fldCharType="begin" w:fldLock="1"/>
        </w:r>
        <w:r w:rsidRPr="00144BB0">
          <w:rPr>
            <w:webHidden/>
          </w:rPr>
          <w:instrText xml:space="preserve"> PAGEREF _Toc306779962 \h </w:instrText>
        </w:r>
        <w:r w:rsidRPr="00144BB0">
          <w:rPr>
            <w:webHidden/>
          </w:rPr>
          <w:fldChar w:fldCharType="separate"/>
        </w:r>
        <w:r w:rsidR="00D55E22" w:rsidRPr="00144BB0">
          <w:rPr>
            <w:webHidden/>
          </w:rPr>
          <w:t>30</w:t>
        </w:r>
        <w:r w:rsidRPr="00144BB0">
          <w:rPr>
            <w:webHidden/>
          </w:rPr>
          <w:fldChar w:fldCharType="end"/>
        </w:r>
      </w:hyperlink>
    </w:p>
    <w:p w:rsidR="00202489" w:rsidRPr="00144BB0" w:rsidRDefault="00202489">
      <w:pPr>
        <w:pStyle w:val="Innehll2"/>
        <w:tabs>
          <w:tab w:val="right" w:leader="dot" w:pos="7644"/>
        </w:tabs>
        <w:rPr>
          <w:b w:val="0"/>
          <w:bCs w:val="0"/>
          <w:lang w:eastAsia="sv-SE"/>
        </w:rPr>
      </w:pPr>
      <w:hyperlink w:anchor="_Toc306779963" w:history="1">
        <w:r w:rsidRPr="00144BB0">
          <w:rPr>
            <w:rStyle w:val="Hyperlnk"/>
          </w:rPr>
          <w:t>43. Draft Council Regulation repealing Regulation (EEC) No 3448/80 on the implementation of Article 43 of the 1979 Act of Accession concerning the system of trade applicable to the goods covered by Regulations (EEC) No 3033/80 and (EEC) No 3035/80 = Adoption</w:t>
        </w:r>
        <w:r w:rsidRPr="00144BB0">
          <w:rPr>
            <w:webHidden/>
          </w:rPr>
          <w:tab/>
        </w:r>
        <w:r w:rsidRPr="00144BB0">
          <w:rPr>
            <w:webHidden/>
          </w:rPr>
          <w:fldChar w:fldCharType="begin" w:fldLock="1"/>
        </w:r>
        <w:r w:rsidRPr="00144BB0">
          <w:rPr>
            <w:webHidden/>
          </w:rPr>
          <w:instrText xml:space="preserve"> PAGEREF _Toc306779963 \h </w:instrText>
        </w:r>
        <w:r w:rsidRPr="00144BB0">
          <w:rPr>
            <w:webHidden/>
          </w:rPr>
          <w:fldChar w:fldCharType="separate"/>
        </w:r>
        <w:r w:rsidR="00D55E22" w:rsidRPr="00144BB0">
          <w:rPr>
            <w:webHidden/>
          </w:rPr>
          <w:t>30</w:t>
        </w:r>
        <w:r w:rsidRPr="00144BB0">
          <w:rPr>
            <w:webHidden/>
          </w:rPr>
          <w:fldChar w:fldCharType="end"/>
        </w:r>
      </w:hyperlink>
    </w:p>
    <w:p w:rsidR="005F1820" w:rsidRPr="00144BB0" w:rsidRDefault="005F1820">
      <w:pPr>
        <w:pStyle w:val="RKnormal"/>
        <w:ind w:left="0"/>
        <w:rPr>
          <w:b/>
          <w:bCs/>
        </w:rPr>
      </w:pPr>
      <w:r w:rsidRPr="00144BB0">
        <w:rPr>
          <w:b/>
          <w:bCs/>
        </w:rPr>
        <w:fldChar w:fldCharType="end"/>
      </w:r>
    </w:p>
    <w:p w:rsidR="005F1820" w:rsidRPr="00144BB0" w:rsidRDefault="005F1820">
      <w:pPr>
        <w:pStyle w:val="Rubrik1"/>
        <w:tabs>
          <w:tab w:val="clear" w:pos="1134"/>
          <w:tab w:val="left" w:pos="0"/>
        </w:tabs>
      </w:pPr>
      <w:r w:rsidRPr="00144BB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6779915"/>
      <w:r w:rsidRPr="00144BB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44BB0" w:rsidRDefault="005F1820" w:rsidP="008437F0">
      <w:pPr>
        <w:tabs>
          <w:tab w:val="left" w:pos="1843"/>
        </w:tabs>
      </w:pPr>
      <w:r w:rsidRPr="00144BB0">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114F" w:rsidRPr="00144BB0" w:rsidRDefault="008437F0" w:rsidP="008437F0">
      <w:pPr>
        <w:pStyle w:val="Rubrik1"/>
      </w:pPr>
      <w:bookmarkStart w:id="55" w:name="_Toc306779916"/>
      <w:r w:rsidRPr="00144BB0">
        <w:t>Troliga A-punkter inför kommande rådsmöten som förväntas godkännas vid Coreper II 2011-10-19.</w:t>
      </w:r>
      <w:bookmarkEnd w:id="55"/>
      <w:r w:rsidR="0069114F" w:rsidRPr="00144BB0">
        <w:t xml:space="preserve"> </w:t>
      </w:r>
    </w:p>
    <w:p w:rsidR="0069114F" w:rsidRPr="00144BB0" w:rsidRDefault="0069114F">
      <w:pPr>
        <w:pStyle w:val="RKnormal"/>
        <w:tabs>
          <w:tab w:val="clear" w:pos="1843"/>
          <w:tab w:val="left" w:pos="0"/>
        </w:tabs>
        <w:ind w:left="0"/>
      </w:pPr>
      <w:r w:rsidRPr="00144BB0">
        <w:t xml:space="preserve"> </w:t>
      </w:r>
    </w:p>
    <w:p w:rsidR="0069114F" w:rsidRPr="00144BB0" w:rsidRDefault="0069114F" w:rsidP="0069114F">
      <w:pPr>
        <w:pStyle w:val="Rubrik2"/>
      </w:pPr>
      <w:bookmarkStart w:id="56" w:name="_Toc306779917"/>
      <w:r w:rsidRPr="00144BB0">
        <w:t>1. Monthly summary of acts adopted by the written procedure- August 2011- September 2011</w:t>
      </w:r>
      <w:bookmarkEnd w:id="56"/>
      <w:r w:rsidRPr="00144BB0">
        <w:t xml:space="preserve"> </w:t>
      </w:r>
    </w:p>
    <w:p w:rsidR="0069114F" w:rsidRPr="00144BB0" w:rsidRDefault="0069114F" w:rsidP="0069114F">
      <w:r w:rsidRPr="00144BB0">
        <w:t>15409/11, 815411/11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Statsrådsberedningen</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69114F" w:rsidRPr="00144BB0" w:rsidRDefault="00BC2B18" w:rsidP="0069114F">
      <w:r w:rsidRPr="00144BB0">
        <w:t>Förväntas godkännas</w:t>
      </w:r>
      <w:r w:rsidR="0069114F" w:rsidRPr="00144BB0">
        <w:t xml:space="preserve">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57" w:name="_Toc306779918"/>
      <w:r w:rsidRPr="00144BB0">
        <w:t>2. Special report No 2/2011: Follow-up of special report No 1/2005 concerning the management of the European Anti-fraud Office- Draft Council Conclusions</w:t>
      </w:r>
      <w:bookmarkEnd w:id="57"/>
    </w:p>
    <w:p w:rsidR="0069114F" w:rsidRPr="00144BB0" w:rsidRDefault="0069114F" w:rsidP="0069114F">
      <w:r w:rsidRPr="00144BB0">
        <w:t>15274/11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Finansdepartementet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Anders Borg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År 2005 presenterade revisionsrätten en särskild rapport (nr 1/2005) om förvaltningen av OLAF. Revisionsrätten konstaterade att det fanns brister i hur OLAF skötte sina utredningar och lämnade 17 rekommendationer för att byrån skulle fokusera verksamheten på utredningsarbetet, öka effektiviteten och ändamålsenligheten. År 2007 presenterade OLAF i sin tur en handlingsplan för att genomföra de rekommendationer som revisionsrätten lämnade. </w:t>
      </w:r>
    </w:p>
    <w:p w:rsidR="0069114F" w:rsidRPr="00144BB0" w:rsidRDefault="0069114F" w:rsidP="0069114F"/>
    <w:p w:rsidR="0069114F" w:rsidRPr="00144BB0" w:rsidRDefault="0069114F" w:rsidP="0069114F">
      <w:r w:rsidRPr="00144BB0">
        <w:t xml:space="preserve">Revisionsrättens uppföljningen av den särskilda rapporten från 2005 har gjorts för att kartlägga vilka åtgärder som OLAF har vidtagit för att genomföra rekommendationerna. Syftet har varit att utreda om verksamheten har fokuserats och om utredningarna gjorts effektivare och ändamålsenliga. Man har även utrett om övervakningskommitténs roll har förtydligats. </w:t>
      </w:r>
    </w:p>
    <w:p w:rsidR="0069114F" w:rsidRPr="00144BB0" w:rsidRDefault="0069114F" w:rsidP="0069114F"/>
    <w:p w:rsidR="0069114F" w:rsidRPr="00144BB0" w:rsidRDefault="0069114F" w:rsidP="0069114F">
      <w:r w:rsidRPr="00144BB0">
        <w:t>Revisionsrättens rapport presenterades vid ett GAF-möte den 17 juni 2011.</w:t>
      </w:r>
    </w:p>
    <w:p w:rsidR="0069114F" w:rsidRPr="00144BB0" w:rsidRDefault="0069114F" w:rsidP="0069114F"/>
    <w:p w:rsidR="0069114F" w:rsidRPr="00144BB0" w:rsidRDefault="0069114F" w:rsidP="0069114F">
      <w:r w:rsidRPr="00144BB0">
        <w:t xml:space="preserve">Utkastet till rådsslutsatser godkändes vid Arbetsgruppen för bedrägeribekämpning (GAF) den 6 oktober 2010. Dokumenten är godkända. </w:t>
      </w:r>
    </w:p>
    <w:p w:rsidR="0069114F" w:rsidRPr="00144BB0" w:rsidRDefault="0069114F" w:rsidP="0069114F">
      <w:pPr>
        <w:pStyle w:val="Rubrik2"/>
      </w:pPr>
      <w:r w:rsidRPr="00144BB0">
        <w:t xml:space="preserve"> </w:t>
      </w:r>
      <w:bookmarkStart w:id="58" w:name="_Toc306779919"/>
      <w:r w:rsidRPr="00144BB0">
        <w:t>3. Proposal for transfer of appropriations No DEC42/2011 within Section III - Commission - of the general budget for 2011</w:t>
      </w:r>
      <w:bookmarkEnd w:id="58"/>
    </w:p>
    <w:p w:rsidR="0069114F" w:rsidRPr="00144BB0" w:rsidRDefault="0069114F" w:rsidP="0069114F">
      <w:r w:rsidRPr="00144BB0">
        <w:t>15345/11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Finansdepartementet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Anders Borg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Godkännande av överföringen om 50 000 euro från anslaget för internationellt utbildningssamarbete till anslaget för internationella avtal för livsmedelssäkerhet under utgiftsrubrik 4 inom EU-budgeten. EU:s bidrag till internationella unionen för växtförädlingsprodukter är bestämd i schweiziska franc varför eurons försvagade växelkurs gentemot francen har föranlett en högre avgift i euro för 2011. Medlen hämtas från anslag avsett för att finansiera forskarsamarbete med USA och Kanada. Då</w:t>
      </w:r>
      <w:r w:rsidR="00B343C4" w:rsidRPr="00144BB0">
        <w:t xml:space="preserve"> </w:t>
      </w:r>
      <w:r w:rsidRPr="00144BB0">
        <w:t xml:space="preserve">de senare har meddelat att man pga. budgetnedskärningar inte avser fortsätta med åtgärderna i fråga finns oanvända medel tillgängliga på anslaget. </w:t>
      </w:r>
    </w:p>
    <w:p w:rsidR="0069114F" w:rsidRPr="00144BB0" w:rsidRDefault="005F71A0" w:rsidP="0069114F">
      <w:pPr>
        <w:pStyle w:val="Rubrik2"/>
      </w:pPr>
      <w:r w:rsidRPr="00144BB0">
        <w:br w:type="page"/>
      </w:r>
      <w:bookmarkStart w:id="59" w:name="_Toc306779920"/>
      <w:r w:rsidR="0069114F" w:rsidRPr="00144BB0">
        <w:t>4. Case T-421/11 before the General Court (Qualitest FZE v. Council of the European Union)</w:t>
      </w:r>
      <w:bookmarkEnd w:id="59"/>
    </w:p>
    <w:p w:rsidR="0069114F" w:rsidRPr="00144BB0" w:rsidRDefault="0069114F" w:rsidP="0069114F">
      <w:r w:rsidRPr="00144BB0">
        <w:t>15422/11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0" w:name="_Toc306779921"/>
      <w:r w:rsidRPr="00144BB0">
        <w:t>5. Case before the General Court of the European Union - Case T-432/11 (Rami MAKHLOUF v. Council of the European Union)</w:t>
      </w:r>
      <w:bookmarkEnd w:id="60"/>
    </w:p>
    <w:p w:rsidR="0069114F" w:rsidRPr="00144BB0" w:rsidRDefault="0069114F" w:rsidP="0069114F">
      <w:r w:rsidRPr="00144BB0">
        <w:t>15420/11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1" w:name="_Toc306779922"/>
      <w:r w:rsidRPr="00144BB0">
        <w:t>6. Case before the General Court of the European Union - Case T-433/11 (Ehab MAKHLOUF v. Council of the European Union)</w:t>
      </w:r>
      <w:bookmarkEnd w:id="61"/>
    </w:p>
    <w:p w:rsidR="0069114F" w:rsidRPr="00144BB0" w:rsidRDefault="0069114F" w:rsidP="0069114F">
      <w:r w:rsidRPr="00144BB0">
        <w:t>15421/11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Föranleder ingen annotering</w:t>
      </w:r>
    </w:p>
    <w:p w:rsidR="0069114F" w:rsidRPr="00144BB0" w:rsidRDefault="0069114F">
      <w:pPr>
        <w:pStyle w:val="RKnormal"/>
        <w:tabs>
          <w:tab w:val="clear" w:pos="1843"/>
          <w:tab w:val="left" w:pos="0"/>
        </w:tabs>
        <w:ind w:left="0"/>
      </w:pPr>
      <w:r w:rsidRPr="00144BB0">
        <w:t xml:space="preserve"> </w:t>
      </w:r>
    </w:p>
    <w:p w:rsidR="0069114F" w:rsidRPr="00144BB0" w:rsidRDefault="005F71A0" w:rsidP="005F71A0">
      <w:pPr>
        <w:pStyle w:val="Rubrik2"/>
      </w:pPr>
      <w:r w:rsidRPr="00144BB0">
        <w:br w:type="page"/>
      </w:r>
      <w:bookmarkStart w:id="62" w:name="_Toc306779923"/>
      <w:r w:rsidR="0069114F" w:rsidRPr="00144BB0">
        <w:t>7. Case before the EU General Court - Case T-420/11 (Ocean Capital Administration GmbH and others v. Council)</w:t>
      </w:r>
      <w:bookmarkEnd w:id="62"/>
    </w:p>
    <w:p w:rsidR="0069114F" w:rsidRPr="00144BB0" w:rsidRDefault="00526241" w:rsidP="0069114F">
      <w:r w:rsidRPr="00144BB0">
        <w:t>15457</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3" w:name="_Toc306779924"/>
      <w:r w:rsidRPr="00144BB0">
        <w:t>8. Referral to the Court of Justice for a preliminary ruling, Case C-348/11, Thomson Sales Europe</w:t>
      </w:r>
      <w:bookmarkEnd w:id="63"/>
    </w:p>
    <w:p w:rsidR="0069114F" w:rsidRPr="00144BB0" w:rsidRDefault="0069114F" w:rsidP="0069114F">
      <w:r w:rsidRPr="00144BB0">
        <w:t>15574/11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4" w:name="_Toc306779925"/>
      <w:r w:rsidRPr="00144BB0">
        <w:t>9. Council Decision on the conclusion of an Agreement on the participation of the Republic of Bulgaria and Romania in the European Economic Area and four related agreements</w:t>
      </w:r>
      <w:bookmarkEnd w:id="64"/>
    </w:p>
    <w:p w:rsidR="0069114F" w:rsidRPr="00144BB0" w:rsidRDefault="0069114F" w:rsidP="0069114F">
      <w:r w:rsidRPr="00144BB0">
        <w:t>14455/11, 14456/11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utrikesminister Carl Bildt</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Allmänna frågor och yttre förbindelser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Bulgarien och Rumänien undertecknade 2007 avtal om deltagande i Europeiska ekonomiska samarbetsområdet. Avtalet har nu ratificerats av berörda länder. Rådet uppmanas att anta utkastet till beslut om ingående av detta avtal med Bulgarien och Rumänien samt därtill </w:t>
      </w:r>
      <w:r w:rsidR="00B343C4" w:rsidRPr="00144BB0">
        <w:t>fyra</w:t>
      </w:r>
      <w:r w:rsidRPr="00144BB0">
        <w:t xml:space="preserve"> tillhörande avtal. </w:t>
      </w:r>
    </w:p>
    <w:p w:rsidR="0069114F" w:rsidRPr="00144BB0" w:rsidRDefault="0069114F" w:rsidP="0069114F">
      <w:pPr>
        <w:pStyle w:val="Rubrik2"/>
      </w:pPr>
      <w:bookmarkStart w:id="65" w:name="_Toc306779926"/>
      <w:r w:rsidRPr="00144BB0">
        <w:t>10. Council Decision on the conclusion of the Agreement in the form of an Exchange of Letters between the European Union and the Kingdom of Norway concerning additional trade preferences in agricultural products reached on the basis of Article 19 of the Agreement on the European Economic Area</w:t>
      </w:r>
      <w:bookmarkEnd w:id="65"/>
      <w:r w:rsidRPr="00144BB0">
        <w:t xml:space="preserve"> </w:t>
      </w:r>
    </w:p>
    <w:p w:rsidR="0069114F" w:rsidRPr="00144BB0" w:rsidRDefault="0069114F" w:rsidP="0069114F">
      <w:r w:rsidRPr="00144BB0">
        <w:t>15091/11, 14206/10</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handelsminister Ewa Björling</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Allmänna frågor och yttre förbindelser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EU och Norge har ingått avtal om ytterligare liberalisering av handel med jordbruksprodukter. Avtalet faller inom ramen för EES-avtalets artikel 19. Europaparalamentet godkände avtalet 13 september 2011 och rådet uppmanas att godta beslutet om ingående av avtalet. </w:t>
      </w:r>
    </w:p>
    <w:p w:rsidR="0069114F" w:rsidRPr="00144BB0" w:rsidRDefault="0069114F" w:rsidP="0069114F">
      <w:pPr>
        <w:pStyle w:val="Rubrik2"/>
      </w:pPr>
      <w:bookmarkStart w:id="66" w:name="_Toc306779927"/>
      <w:r w:rsidRPr="00144BB0">
        <w:t>11. Proposal for a Regulation of the European Parliament and of the Council amending Regulation (EC) No 428/2009 setting up a Community regime for the control of exports, transfer, brokering and transit of dual use items- Preparations with a view to an agreement with the European Parliament at the stage of the Council's first reading position</w:t>
      </w:r>
      <w:bookmarkEnd w:id="66"/>
    </w:p>
    <w:p w:rsidR="0069114F" w:rsidRPr="00144BB0" w:rsidRDefault="0069114F" w:rsidP="0069114F">
      <w:r w:rsidRPr="00144BB0">
        <w:t>15100/11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Ewa Björling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Föranleder ingen annotering.</w:t>
      </w:r>
    </w:p>
    <w:p w:rsidR="0069114F" w:rsidRPr="00144BB0" w:rsidRDefault="0069114F">
      <w:pPr>
        <w:pStyle w:val="RKnormal"/>
        <w:tabs>
          <w:tab w:val="clear" w:pos="1843"/>
          <w:tab w:val="left" w:pos="0"/>
        </w:tabs>
        <w:ind w:left="0"/>
      </w:pPr>
      <w:r w:rsidRPr="00144BB0">
        <w:t xml:space="preserve"> </w:t>
      </w:r>
    </w:p>
    <w:p w:rsidR="0069114F" w:rsidRPr="00144BB0" w:rsidRDefault="0069114F" w:rsidP="0069114F">
      <w:pPr>
        <w:pStyle w:val="Rubrik2"/>
      </w:pPr>
      <w:bookmarkStart w:id="67" w:name="_Toc306779928"/>
      <w:r w:rsidRPr="00144BB0">
        <w:t>12. Proposal for a Regulation of the European Parliament and of the Council amending Regulation (EC) No 1334/2000 setting up a Community regime for the control of exports of dual-use items and technology (first reading) (LA+S)- Adoption of the legislative act</w:t>
      </w:r>
      <w:bookmarkEnd w:id="67"/>
      <w:r w:rsidRPr="00144BB0">
        <w:t xml:space="preserve"> </w:t>
      </w:r>
    </w:p>
    <w:p w:rsidR="0069114F" w:rsidRPr="00144BB0" w:rsidRDefault="0069114F" w:rsidP="0069114F">
      <w:r w:rsidRPr="00144BB0">
        <w:t>38/11, 15364/11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Ewa Björling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8" w:name="_Toc306779929"/>
      <w:r w:rsidRPr="00144BB0">
        <w:t>13. Proposal for a Regulation of the European Parliament and of the Council on the professional cross-border transport of euro cash by road between euro-area Member States (first reading) (LA+S)- Adoption of the legislative act</w:t>
      </w:r>
      <w:bookmarkEnd w:id="68"/>
      <w:r w:rsidRPr="00144BB0">
        <w:t xml:space="preserve"> </w:t>
      </w:r>
    </w:p>
    <w:p w:rsidR="0069114F" w:rsidRPr="00144BB0" w:rsidRDefault="0069114F" w:rsidP="0069114F">
      <w:r w:rsidRPr="00144BB0">
        <w:t>18/11, 15366/11</w:t>
      </w:r>
    </w:p>
    <w:p w:rsidR="0069114F" w:rsidRPr="00144BB0" w:rsidRDefault="0069114F">
      <w:pPr>
        <w:pStyle w:val="RKnormal"/>
        <w:tabs>
          <w:tab w:val="clear" w:pos="1843"/>
          <w:tab w:val="left" w:pos="0"/>
        </w:tabs>
        <w:ind w:left="0"/>
      </w:pPr>
    </w:p>
    <w:p w:rsidR="0069114F" w:rsidRPr="00144BB0" w:rsidRDefault="0069114F" w:rsidP="0082014F">
      <w:pPr>
        <w:spacing w:line="240" w:lineRule="auto"/>
      </w:pPr>
      <w:r w:rsidRPr="00144BB0">
        <w:t>Ansvarigt departement: Finansdepartementet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Anders Borg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69114F" w:rsidP="0069114F">
      <w:pPr>
        <w:pStyle w:val="Rubrik2"/>
      </w:pPr>
      <w:bookmarkStart w:id="69" w:name="_Toc306779930"/>
      <w:r w:rsidRPr="00144BB0">
        <w:t>14. Joint Declaration on a Mobility Partnership between the European Union and Armenia</w:t>
      </w:r>
      <w:bookmarkEnd w:id="69"/>
    </w:p>
    <w:p w:rsidR="0069114F" w:rsidRPr="00144BB0" w:rsidRDefault="0069114F" w:rsidP="0069114F">
      <w:r w:rsidRPr="00144BB0">
        <w:t>14963/1/11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Tobias Billström</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1. Partnerskapet för rörlighet med Armenien</w:t>
      </w:r>
    </w:p>
    <w:p w:rsidR="0069114F" w:rsidRPr="00144BB0" w:rsidRDefault="0069114F" w:rsidP="0069114F">
      <w:r w:rsidRPr="00144BB0">
        <w:t>Den 10-12 december 2008 genomfördes en EU migrationsuppdragsresa (EU Migration Mission) till Armenien i syfte att stärka dialogen om migrationsfrågor mellan Armenien och EU. I enlighet med rådsslutsatser om instrumentet partnerskap för rörlighet som antogs under det svenska ordförandeskapet i november 2009 gavs kommissionen i uppdrag att inleda sonderande samtal med ytterligare länder i syfte att etablera nya partnerskap för rörlighet. Samtal med Armenien har förts sedan våren 2010. Sverige deltar i partnerskapet tillsammans med 9 andra MS (BE, BG, CZ, DE, FR, IT, NL, PL och RO). Det svenska deltagandet utgörs av en planerad informationsinsats kring Sveriges regler för arbetskraftsinvandring. Därutöver har Migrationsverket och Polens inrikesministerium lämnat in en gemensam ansökan om ett Twinningprojekt i Armenien med fokus på kapacitetsuppbyggnad på migrations- och asylområdet. Under förutsättning att Sverige erhåller projektet kommer det att utgöra ytterligare ett bidrag till partnerskapet.</w:t>
      </w:r>
    </w:p>
    <w:p w:rsidR="0069114F" w:rsidRPr="00144BB0" w:rsidRDefault="0069114F" w:rsidP="0069114F"/>
    <w:p w:rsidR="0069114F" w:rsidRPr="00144BB0" w:rsidRDefault="0069114F" w:rsidP="0069114F">
      <w:r w:rsidRPr="00144BB0">
        <w:t>2. Partnerskap för rörlighet (Mobility Partnerships)</w:t>
      </w:r>
    </w:p>
    <w:p w:rsidR="0069114F" w:rsidRPr="00144BB0" w:rsidRDefault="0069114F" w:rsidP="0069114F">
      <w:r w:rsidRPr="00144BB0">
        <w:t xml:space="preserve">För genomförandet av EU:s globala ansats för migration (2005) finns ett antal samarbetsinstrument, däribland partnerskap för rörlighet (2007). Partnerskapen är ett flexibelt instrument i form av ett politiskt ramverk för ett brett samarbete på migrationsområdet med utvalda tredje länder. Partnerskapen fungerar som paraply för projekt mellan intresserade MS och partnerlandet på de tre områden som ingår i den globala ansatsen: främjande av laglig invandring och rörlighet, motverkande av olaglig invandring och främjande av de positiva kopplingarna mellan migration och utveckling. Även skyddsfrågor kan ingå i samarbetet. Partnerskapen förhandlas bilateralt mellan EU och tredje land, på frivillig basis och med hänsyn till EU:s respektive medlemsstaternas kompetenser, och innehåller ömsesidiga åtaganden från EU och tredjeland. Innehållet i partnerskapen varierar beroende på förutsättningarna i varje enskilt fall. </w:t>
      </w:r>
    </w:p>
    <w:p w:rsidR="0069114F" w:rsidRPr="00144BB0" w:rsidRDefault="0069114F" w:rsidP="0069114F"/>
    <w:p w:rsidR="00A96237" w:rsidRPr="00144BB0" w:rsidRDefault="0069114F" w:rsidP="005F71A0">
      <w:r w:rsidRPr="00144BB0">
        <w:t xml:space="preserve">EU har etablerat partnerskap för rörlighet med Kap Verde och Moldavien (juni 2008), och med Georgien (november 2009). Sverige deltar aktivt i partnerskapen för rörlighet med Moldavien och Georgien. </w:t>
      </w:r>
    </w:p>
    <w:p w:rsidR="0069114F" w:rsidRPr="00144BB0" w:rsidRDefault="005F71A0" w:rsidP="005F71A0">
      <w:r w:rsidRPr="00144BB0">
        <w:br w:type="page"/>
      </w:r>
      <w:r w:rsidR="0069114F" w:rsidRPr="00144BB0">
        <w:t xml:space="preserve"> </w:t>
      </w:r>
    </w:p>
    <w:p w:rsidR="0069114F" w:rsidRPr="00144BB0" w:rsidRDefault="00526241" w:rsidP="0069114F">
      <w:pPr>
        <w:pStyle w:val="Rubrik2"/>
      </w:pPr>
      <w:bookmarkStart w:id="70" w:name="_Toc306779931"/>
      <w:r w:rsidRPr="00144BB0">
        <w:t>15</w:t>
      </w:r>
      <w:r w:rsidR="0069114F" w:rsidRPr="00144BB0">
        <w:t>. Draft Council Decision on the launch of automated data exchange concerning DNA data exchange in Latvia</w:t>
      </w:r>
      <w:bookmarkEnd w:id="70"/>
    </w:p>
    <w:p w:rsidR="0069114F" w:rsidRPr="00144BB0" w:rsidRDefault="0069114F" w:rsidP="0069114F">
      <w:r w:rsidRPr="00144BB0">
        <w:t>14529/11, 14526/11, 13878/11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Beatrice Ask</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Prümrådsbesluten om utbyte i brottsbekämpande syfte av bl.a. DNA-, fingeravtrycks- och fordonsregisteruppgifter föreskriver att medlemsstaterna s</w:t>
      </w:r>
      <w:r w:rsidR="00B343C4" w:rsidRPr="00144BB0">
        <w:t>ka genomgå en utvärderingsproce</w:t>
      </w:r>
      <w:r w:rsidRPr="00144BB0">
        <w:t xml:space="preserve">dur i form av tester och inspektioner innan det automatiserade utbytet får påbörjas. </w:t>
      </w:r>
    </w:p>
    <w:p w:rsidR="0069114F" w:rsidRPr="00144BB0" w:rsidRDefault="0069114F" w:rsidP="0069114F"/>
    <w:p w:rsidR="0069114F" w:rsidRPr="00144BB0" w:rsidRDefault="0069114F" w:rsidP="005F71A0">
      <w:r w:rsidRPr="00144BB0">
        <w:t xml:space="preserve">Lettland har genomgått denna utvärdering avseende DNA-uppgifter med godkänt resultat och kan nu tillåtas starta det automatiserade utbytet med andra godkända medlemsstater. </w:t>
      </w:r>
    </w:p>
    <w:p w:rsidR="0069114F" w:rsidRPr="00144BB0" w:rsidRDefault="00526241" w:rsidP="0069114F">
      <w:pPr>
        <w:pStyle w:val="Rubrik2"/>
      </w:pPr>
      <w:bookmarkStart w:id="71" w:name="_Toc306779932"/>
      <w:r w:rsidRPr="00144BB0">
        <w:t>16</w:t>
      </w:r>
      <w:r w:rsidR="0069114F" w:rsidRPr="00144BB0">
        <w:t>. Council Framework Decision 2006/960/JHA on simplifying the exchange of information and intelligence between law enforcement authorities of the Member States of the European Union ("Swedish Framework Decision") - Assessment of the extent to which Member States have complied with the provisions of the Framework Decision, as provided for by Article 11(2)</w:t>
      </w:r>
      <w:bookmarkEnd w:id="71"/>
    </w:p>
    <w:p w:rsidR="0069114F" w:rsidRPr="00144BB0" w:rsidRDefault="0069114F" w:rsidP="0069114F">
      <w:r w:rsidRPr="00144BB0">
        <w:t>15278/11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Beatrice Ask</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”Det svenska initiativet” kallas ett rambeslut från 2006 som syftar till att förenkla och förbättra informationsutbytet mellan medlemsstaternas brottsbekämpande myndigheter. </w:t>
      </w:r>
    </w:p>
    <w:p w:rsidR="0069114F" w:rsidRPr="00144BB0" w:rsidRDefault="0069114F" w:rsidP="0069114F"/>
    <w:p w:rsidR="0069114F" w:rsidRPr="00144BB0" w:rsidRDefault="005F71A0" w:rsidP="005F71A0">
      <w:r w:rsidRPr="00144BB0">
        <w:br w:type="page"/>
      </w:r>
      <w:r w:rsidR="0069114F" w:rsidRPr="00144BB0">
        <w:t xml:space="preserve">I enlighet med artikel 11(2) i rambeslutet har genomförandet utvärderats. Rapporten konstaterar att rambeslutet ännu inte nått sin fulla potential, men att detta kan ske om rambeslutet genomförs fullt ut och genom vissa förenklingar av metoderna för informationssutbyte. Se även utkast till rådsslutsatser avseende genomförande av rambeslutet (doc. 15277/11). </w:t>
      </w:r>
    </w:p>
    <w:p w:rsidR="0069114F" w:rsidRPr="00144BB0" w:rsidRDefault="00526241" w:rsidP="0069114F">
      <w:pPr>
        <w:pStyle w:val="Rubrik2"/>
      </w:pPr>
      <w:bookmarkStart w:id="72" w:name="_Toc306779933"/>
      <w:r w:rsidRPr="00144BB0">
        <w:t>17</w:t>
      </w:r>
      <w:r w:rsidR="0069114F" w:rsidRPr="00144BB0">
        <w:t>. Draft Council Conclusions on the implementation of Council Framework Decision 2006/960/JHA ("Swedish Framework Decision")</w:t>
      </w:r>
      <w:bookmarkEnd w:id="72"/>
    </w:p>
    <w:p w:rsidR="0069114F" w:rsidRPr="00144BB0" w:rsidRDefault="0069114F" w:rsidP="0069114F">
      <w:r w:rsidRPr="00144BB0">
        <w:t>15277/11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Beatrice Ask</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”Det svenska initiativet” kallas ett rambeslut från 2006 som syftar till att förenkla och förbättra informationsutbytet mellan medlemsstaternas brottsbekämpande myndigheter. </w:t>
      </w:r>
    </w:p>
    <w:p w:rsidR="0069114F" w:rsidRPr="00144BB0" w:rsidRDefault="0069114F" w:rsidP="0069114F"/>
    <w:p w:rsidR="0069114F" w:rsidRPr="00144BB0" w:rsidRDefault="0069114F" w:rsidP="005F71A0">
      <w:r w:rsidRPr="00144BB0">
        <w:t xml:space="preserve">Rambeslutet har ännu inte fullt ut genomförts av alla medlemsstater och rådet ska därför anta slutsatser som påtalar vikten av att beslutet genomförs. I rådsslutsatserna uppmanas dels de medlemsländer som ännu inte gjort det att slutföra genomförandearbetet, dels alla medlemsländer att utnyttja befintliga kommunikationsverktyg för att även fortsättningsvis kunna respektera de maximala svarstider, uppföljningsrutiner etc. som rambeslutet föranleder. </w:t>
      </w:r>
    </w:p>
    <w:p w:rsidR="0069114F" w:rsidRPr="00144BB0" w:rsidRDefault="00526241" w:rsidP="0069114F">
      <w:pPr>
        <w:pStyle w:val="Rubrik2"/>
      </w:pPr>
      <w:bookmarkStart w:id="73" w:name="_Toc306779934"/>
      <w:r w:rsidRPr="00144BB0">
        <w:t>18</w:t>
      </w:r>
      <w:r w:rsidR="0069114F" w:rsidRPr="00144BB0">
        <w:t>. Schengen Evaluation of Spain - Draft Council Conclusions</w:t>
      </w:r>
      <w:bookmarkEnd w:id="73"/>
    </w:p>
    <w:p w:rsidR="0069114F" w:rsidRPr="00144BB0" w:rsidRDefault="0069114F" w:rsidP="0069114F">
      <w:r w:rsidRPr="00144BB0">
        <w:t>15334/11, 14047/11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Beatrice Ask</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En utvärdering av att Spanien tillämpar Schengenregelverket på ett korrekt sätt har gjorts i enlighet med det sedan tidigare antagna utvärderingsprogrammet. Rådet ska anta slutsatser om dessa utvärderingar och uppmana Spanien att skriftligen, inom sex månader, informera rådet om den uppföljning man avser att göra med anledning av rekommendationerna som givits i de individuella utvärderingsrapporterna. </w:t>
      </w:r>
    </w:p>
    <w:p w:rsidR="0069114F" w:rsidRPr="00144BB0" w:rsidRDefault="00526241" w:rsidP="0069114F">
      <w:pPr>
        <w:pStyle w:val="Rubrik2"/>
      </w:pPr>
      <w:bookmarkStart w:id="74" w:name="_Toc306779935"/>
      <w:r w:rsidRPr="00144BB0">
        <w:t>19</w:t>
      </w:r>
      <w:r w:rsidR="0069114F" w:rsidRPr="00144BB0">
        <w:t>. EU Declaration on the 60th Anniversary of the 1951 Convention Relating to the Status of Refugees</w:t>
      </w:r>
      <w:bookmarkEnd w:id="74"/>
    </w:p>
    <w:p w:rsidR="0069114F" w:rsidRPr="00144BB0" w:rsidRDefault="0069114F" w:rsidP="0069114F">
      <w:r w:rsidRPr="00144BB0">
        <w:t>15358/11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Tobias Billström</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Ordförandeskapet har föreslagit en deklaration med anledning av att 1951 års konvention om flyktingars rättsliga ställning fyller 60 år. Under 2011 uppmärksammar även UNHCR att konventionen om begränsning av statslöshet fyller 50 år och att det är 150 år sedan den första flyktingkommissarien, Fridjtof Nansen, föddes. Med anledning av detta genomför UNHCR ett antal aktiviteter under året som syftar till att öka förståelsen för flyktingars, internflyktingars och statslösas situation. Dessa aktiviteter kulminerar i en ministerkonferens den 7-8 december 2011, med deltagande från samtliga FN:s medlemsstater samt internationella och icke-statliga organisationer. EU deklarationen ska presenteras på ministerkonferensen den 7-8 december 2011. SE anser att det är positivt att EU uttalar sitt stöd för FN:s flyktingkonvention i samband med årets firande. </w:t>
      </w:r>
    </w:p>
    <w:p w:rsidR="0069114F" w:rsidRPr="00144BB0" w:rsidRDefault="00526241" w:rsidP="0069114F">
      <w:pPr>
        <w:pStyle w:val="Rubrik2"/>
      </w:pPr>
      <w:bookmarkStart w:id="75" w:name="_Toc306779936"/>
      <w:r w:rsidRPr="00144BB0">
        <w:t>20</w:t>
      </w:r>
      <w:r w:rsidR="0069114F" w:rsidRPr="00144BB0">
        <w:t>. Preparation of the second Ministerial Conference on "Building Migration Partnerships"</w:t>
      </w:r>
      <w:bookmarkEnd w:id="75"/>
    </w:p>
    <w:p w:rsidR="0069114F" w:rsidRPr="00144BB0" w:rsidRDefault="0069114F" w:rsidP="0069114F">
      <w:r w:rsidRPr="00144BB0">
        <w:t>15403/11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Justitiedepartementet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Tobias Billström</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Rättsliga och inrikes frågor</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Pragprocessen/”Att bygga migrationspartnerskap”-processen (’Building Migration Partnerships’) etablerades vid en ministerkonferens i Prag 27-28 april 2009. Denna samarbetsprocess på migrationsområdet omfattar ca 50 länder (EU:s 27 medlemsstater och ca 23 partnerländer i den östliga dimensionen). Vid ministerkonferensen i Prag 2009 antogs en deklaration med principer och målsättningar för samarbetsprocessen. Genomförandearbetet har pågått under 2009-2011 främst inom ramen för ett EU-finansierat projekt. Vid en andra ministerkonferens i Poznan, Polen, den 4 november 2011 önskar partnerna anta en handlingsplan för det fortsatta samarbetet i syfte att ytterligare konkretisera samarbetet. </w:t>
      </w:r>
    </w:p>
    <w:p w:rsidR="0069114F" w:rsidRPr="00144BB0" w:rsidRDefault="0069114F" w:rsidP="0069114F">
      <w:pPr>
        <w:pStyle w:val="Rubrik2"/>
      </w:pPr>
      <w:bookmarkStart w:id="76" w:name="_Toc306779937"/>
      <w:r w:rsidRPr="00144BB0">
        <w:t>2</w:t>
      </w:r>
      <w:r w:rsidR="00526241" w:rsidRPr="00144BB0">
        <w:t>1</w:t>
      </w:r>
      <w:r w:rsidRPr="00144BB0">
        <w:t>. Adoption of Council Decision on the conclusion of an Agreement in the form of an Exchange of Letters between the European Union, of the one part, and the Palestinian Authority of the West Bank and the Gaza Strip, of the other part, providing further liberalisation of agricultural products, processed agricultural products and fish and fishery products and amending the Euro-Mediterranean Interim Association Agreement on trade and cooperation between the European Community, of the one part, and the Palestine Liberation Organization (PLO) for the benefit of the Palestinian Authority of the West Bank and the Gaza Strip, of the other part</w:t>
      </w:r>
      <w:bookmarkEnd w:id="76"/>
    </w:p>
    <w:p w:rsidR="0069114F" w:rsidRPr="00144BB0" w:rsidRDefault="0069114F" w:rsidP="0069114F">
      <w:r w:rsidRPr="00144BB0">
        <w:t>15258/11, 7770/11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Carl Bildt</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EU och PLO:s frihandelsavtal från 1997 (Interim Association Agreement on Trade and Cooperation) utgör den juridiska basen för EU:s relationer med palestinska myndigheten. Avtalet ger palestinska industrivaror tullfrihet på EU:s marknader. Avtalet har nu omförhandlats och utsträcker tullfriheten även till palestinska jordbruks- och fiskeprodukter. Underlättandet av palestinsk handel är ett viktigt element i det statsbyggande arbetet som EU stödjer finansiellt och politiskt.</w:t>
      </w:r>
    </w:p>
    <w:p w:rsidR="0069114F" w:rsidRPr="00144BB0" w:rsidRDefault="0069114F">
      <w:pPr>
        <w:pStyle w:val="RKnormal"/>
        <w:tabs>
          <w:tab w:val="clear" w:pos="1843"/>
          <w:tab w:val="left" w:pos="0"/>
        </w:tabs>
        <w:ind w:left="0"/>
      </w:pPr>
      <w:r w:rsidRPr="00144BB0">
        <w:t xml:space="preserve"> </w:t>
      </w:r>
    </w:p>
    <w:p w:rsidR="0069114F" w:rsidRPr="00144BB0" w:rsidRDefault="0069114F" w:rsidP="0069114F">
      <w:pPr>
        <w:pStyle w:val="Rubrik2"/>
      </w:pPr>
      <w:bookmarkStart w:id="77" w:name="_Toc306779938"/>
      <w:r w:rsidRPr="00144BB0">
        <w:t>2</w:t>
      </w:r>
      <w:r w:rsidR="00526241" w:rsidRPr="00144BB0">
        <w:t>2</w:t>
      </w:r>
      <w:r w:rsidRPr="00144BB0">
        <w:t>. Council Decision amending Decision 2011/621/CFSP extending the mandate of the European Union Special Representative to the African Union</w:t>
      </w:r>
      <w:bookmarkEnd w:id="77"/>
    </w:p>
    <w:p w:rsidR="0069114F" w:rsidRPr="00144BB0" w:rsidRDefault="0069114F" w:rsidP="0069114F">
      <w:r w:rsidRPr="00144BB0">
        <w:t>15509/11, 15079/11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Carl Bildt</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EU har sedan 2007 haft ett särskilt sändebud (EUSR) till Afrikanska Unionen. I juni i år förlängdes mandatet till den 30 juni 2012. Innehavaren av funktionen, Koen Verveke har nyligen tagit en annan tjänst och ett nytt sändebud, Gary Quince har föreslagits att överta funktionen från den 1 november 2011. </w:t>
      </w:r>
    </w:p>
    <w:p w:rsidR="0069114F" w:rsidRPr="00144BB0" w:rsidRDefault="0069114F" w:rsidP="0069114F"/>
    <w:p w:rsidR="0069114F" w:rsidRPr="00144BB0" w:rsidRDefault="0069114F" w:rsidP="0069114F">
      <w:r w:rsidRPr="00144BB0">
        <w:t xml:space="preserve">Med anledning av detta krävs ett tillägg till rådsbeslutet som i rättsakten lägger till att Gary Quince är sändebud fram till den 30 juni 2012. </w:t>
      </w:r>
    </w:p>
    <w:p w:rsidR="0069114F" w:rsidRPr="00144BB0" w:rsidRDefault="0069114F" w:rsidP="0069114F"/>
    <w:p w:rsidR="0069114F" w:rsidRPr="00144BB0" w:rsidRDefault="0069114F" w:rsidP="005F71A0">
      <w:r w:rsidRPr="00144BB0">
        <w:t xml:space="preserve">Regeringen välkomnar att Gary Quince utses som EUSR för Afrikanska Unionen. </w:t>
      </w:r>
    </w:p>
    <w:p w:rsidR="0069114F" w:rsidRPr="00144BB0" w:rsidRDefault="00526241" w:rsidP="0069114F">
      <w:pPr>
        <w:pStyle w:val="Rubrik2"/>
      </w:pPr>
      <w:bookmarkStart w:id="78" w:name="_Toc306779939"/>
      <w:r w:rsidRPr="00144BB0">
        <w:t>23</w:t>
      </w:r>
      <w:r w:rsidR="0069114F" w:rsidRPr="00144BB0">
        <w:t>. Council Regulation repealing Regulation (EC) No 1763/2004 imposing certain restrictive measures in support of effective implementation of the mandate of the International Criminal Tribunal for the former Yugoslavia (ICTY)</w:t>
      </w:r>
      <w:bookmarkEnd w:id="78"/>
    </w:p>
    <w:p w:rsidR="0069114F" w:rsidRPr="00144BB0" w:rsidRDefault="0069114F" w:rsidP="0069114F">
      <w:r w:rsidRPr="00144BB0">
        <w:t>15543/11, 15200/11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Carl Bildt</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i EU -nämnden: 2011-09-28</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5F71A0" w:rsidP="005F71A0">
      <w:r w:rsidRPr="00144BB0">
        <w:br w:type="page"/>
      </w:r>
      <w:r w:rsidR="0069114F" w:rsidRPr="00144BB0">
        <w:t xml:space="preserve">Efter gripandet av Goran Hadzic i juli har de rådsbeslut som reglerar frysning av tillgångar och reserestriktioner kopplade till Hadzic blivit obsoleta. Kriterierna till sanktionerna är således inte längre uppfyllda vilket är anledningen till att sanktionerna hävs. Rådsbeslut 2010/603/GUSP, som medfört frysning av tillgångar för de som åtalats som av Internationella krigsförbrytartribunalen för f.d. Jugoslavien (ICTY), löpte ut den 10 oktober och nu upphävs rådets förordning avseende frysning av tillgångar. Förslaget till rådets förordning upphäver rådets förordning nr 1763/2004/EG. </w:t>
      </w:r>
    </w:p>
    <w:p w:rsidR="0069114F" w:rsidRPr="00144BB0" w:rsidRDefault="0069114F" w:rsidP="0069114F">
      <w:pPr>
        <w:pStyle w:val="Rubrik2"/>
      </w:pPr>
      <w:bookmarkStart w:id="79" w:name="_Toc306779940"/>
      <w:r w:rsidRPr="00144BB0">
        <w:t>2</w:t>
      </w:r>
      <w:r w:rsidR="00526241" w:rsidRPr="00144BB0">
        <w:t>4</w:t>
      </w:r>
      <w:r w:rsidRPr="00144BB0">
        <w:t>. Council Decision amending Council Decision 2010/638/CFSP concerning restrictive measures against the Republic of Guinea</w:t>
      </w:r>
      <w:bookmarkEnd w:id="79"/>
    </w:p>
    <w:p w:rsidR="0069114F" w:rsidRPr="00144BB0" w:rsidRDefault="0069114F" w:rsidP="0069114F">
      <w:r w:rsidRPr="00144BB0">
        <w:t>15300/11, 15474/11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Carl Bildt</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Mot bakgrund av händelseutvecklingen i Guinea antog Europeiska unionens råd den 27 oktober 2009 en gemensam ståndpunkt (2009/788/GUSP) om restriktiva åtgärder mot Guinea. Sanktionerna omfattade vapenembargo och reserestriktioner. I december samma år utvidgades sanktionerna genom rådsbeslut 2009/1003/GUSP till att även omfatta frysning av tillgångar, förbud mot export av utrustning som kan användas för internt förtryck och förbud mot att lämna finansiellt eller tekniskt bistånd i anslutning till förbjuden export av vapen eller utrustning som kan användas för internt förtryck. I oktober 2010 ersattes den gemensamma ståndpunkten med ett rådsbeslut (2010/638/GUSP), genom vilket de restriktiva åtgärderna även förlängdes med ett år, till och med den 27 oktober 2011. Därefter har en positiv utveckling skett i landet. Bl.a. har demokratiska presidentval hållits i november 2010. </w:t>
      </w:r>
    </w:p>
    <w:p w:rsidR="0069114F" w:rsidRPr="00144BB0" w:rsidRDefault="0069114F" w:rsidP="0069114F"/>
    <w:p w:rsidR="0069114F" w:rsidRPr="00144BB0" w:rsidRDefault="0069114F" w:rsidP="0069114F">
      <w:r w:rsidRPr="00144BB0">
        <w:t>Syftet med de restriktiva åtgärderna har dock ännu inte uppnåtts. Rådet föreslås därför förlänga de restriktiva åtgärderna med ytterligare 12 månader till och med den 27 oktober 2012, samt i samband därmed införa vissa undantag från vapenembargot till förmån för guineanska myndigheter och deras upprätthållande av allmän ordning.</w:t>
      </w:r>
    </w:p>
    <w:p w:rsidR="0069114F" w:rsidRPr="00144BB0" w:rsidRDefault="0069114F" w:rsidP="0069114F"/>
    <w:p w:rsidR="0069114F" w:rsidRPr="00144BB0" w:rsidRDefault="0069114F" w:rsidP="0069114F">
      <w:r w:rsidRPr="00144BB0">
        <w:t>Avsikten är att rådet vid ett kommande ministerrådsmöte ska anta ett beslut med denna innebörd.</w:t>
      </w:r>
    </w:p>
    <w:p w:rsidR="0069114F" w:rsidRPr="00144BB0" w:rsidRDefault="00526241" w:rsidP="0069114F">
      <w:pPr>
        <w:pStyle w:val="Rubrik2"/>
      </w:pPr>
      <w:bookmarkStart w:id="80" w:name="_Toc306779941"/>
      <w:r w:rsidRPr="00144BB0">
        <w:t>25</w:t>
      </w:r>
      <w:r w:rsidR="0069114F" w:rsidRPr="00144BB0">
        <w:t>. - Council Implementing Decision implementing Council Decision 2011/486/CFSP concerning restrictive measures directed against certain individuals, groups, undertakings and entities in view of the situation in Afghanistan- Council Implementing Regulation implementing Article 11(1) of Council Regulation (EU) No 753/2011 concerning restrictive measures directed against certain individuals, groups, undertakings and entities in view of the situation in Afghanistan</w:t>
      </w:r>
      <w:bookmarkEnd w:id="80"/>
      <w:r w:rsidR="0069114F" w:rsidRPr="00144BB0">
        <w:t xml:space="preserve"> </w:t>
      </w:r>
    </w:p>
    <w:p w:rsidR="0069114F" w:rsidRPr="00144BB0" w:rsidRDefault="0069114F" w:rsidP="0069114F">
      <w:r w:rsidRPr="00144BB0">
        <w:t>15546/11, 15184/11, 15185/11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Carl Bildt</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Den 17 juni 2011 beslöt FN:s säkerhetsråd med resolution 1988 att ur 1267-regimen (som omfattade såväl talibaner som al-Qaida) bryta ut de delar av sanktionerna som riktas mot talibanerna och tillskapa en särskild sanktionsregim som är föranledd av situationen i Afghanistan. De personer, grupper och företag som tidigare förtecknats under rubriker som sammanhänger med talibanerna fördes därmed över till den nya sanktionsregimen.</w:t>
      </w:r>
    </w:p>
    <w:p w:rsidR="0069114F" w:rsidRPr="00144BB0" w:rsidRDefault="0069114F" w:rsidP="0069114F"/>
    <w:p w:rsidR="0069114F" w:rsidRPr="00144BB0" w:rsidRDefault="0069114F" w:rsidP="0069114F">
      <w:r w:rsidRPr="00144BB0">
        <w:t>Sanktionerna omfattar frysning av finansiella och ekonomiska tillgångar, reseförbud och vapenembargo.</w:t>
      </w:r>
    </w:p>
    <w:p w:rsidR="0069114F" w:rsidRPr="00144BB0" w:rsidRDefault="0069114F" w:rsidP="0069114F"/>
    <w:p w:rsidR="0069114F" w:rsidRPr="00144BB0" w:rsidRDefault="0069114F" w:rsidP="0069114F">
      <w:r w:rsidRPr="00144BB0">
        <w:t xml:space="preserve">Den 4 oktober 2011 fattade FN:s säkerhetsråds sanktionskommitté för genomförande av resolution 1988 beslut om att uppdatera listan över de personer, grupper och företag som är föremål för sanktioner. </w:t>
      </w:r>
    </w:p>
    <w:p w:rsidR="0069114F" w:rsidRPr="00144BB0" w:rsidRDefault="0069114F" w:rsidP="0069114F"/>
    <w:p w:rsidR="0069114F" w:rsidRPr="00144BB0" w:rsidRDefault="0069114F" w:rsidP="0069114F">
      <w:r w:rsidRPr="00144BB0">
        <w:t>Genom rådets beslut 2011/486/Gusp kommer förteckningen över personer, grupper och företag som är föremål för restriktiva åtgärder att utvidgas i enlighet med ovan nämnda beslut.</w:t>
      </w:r>
    </w:p>
    <w:p w:rsidR="0069114F" w:rsidRPr="00144BB0" w:rsidRDefault="0069114F" w:rsidP="0069114F"/>
    <w:p w:rsidR="0069114F" w:rsidRPr="00144BB0" w:rsidRDefault="0069114F" w:rsidP="005F71A0">
      <w:r w:rsidRPr="00144BB0">
        <w:t xml:space="preserve">Regeringsbeslut behöver inte fattas för denna typ av genomförandebeslut. </w:t>
      </w:r>
    </w:p>
    <w:p w:rsidR="0069114F" w:rsidRPr="00144BB0" w:rsidRDefault="005F71A0" w:rsidP="0069114F">
      <w:pPr>
        <w:pStyle w:val="Rubrik2"/>
      </w:pPr>
      <w:r w:rsidRPr="00144BB0">
        <w:br w:type="page"/>
      </w:r>
      <w:bookmarkStart w:id="81" w:name="_Toc306779942"/>
      <w:r w:rsidR="0069114F" w:rsidRPr="00144BB0">
        <w:t>2</w:t>
      </w:r>
      <w:r w:rsidR="00526241" w:rsidRPr="00144BB0">
        <w:t>6</w:t>
      </w:r>
      <w:r w:rsidR="0069114F" w:rsidRPr="00144BB0">
        <w:t xml:space="preserve">. </w:t>
      </w:r>
      <w:r w:rsidR="00FF5F5F" w:rsidRPr="00144BB0">
        <w:t>Case T-438/11 before the General Court (BelTechExport ZAO v. Council of the European Union)</w:t>
      </w:r>
      <w:bookmarkEnd w:id="81"/>
    </w:p>
    <w:p w:rsidR="0069114F" w:rsidRPr="00144BB0" w:rsidRDefault="0069114F" w:rsidP="0069114F">
      <w:r w:rsidRPr="00144BB0">
        <w:t>15636/11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69114F" w:rsidRPr="00144BB0" w:rsidRDefault="0069114F" w:rsidP="0069114F">
      <w:r w:rsidRPr="00144BB0">
        <w:t>Godkänd av Coreper II den 19 oktober 2011</w:t>
      </w:r>
    </w:p>
    <w:p w:rsidR="0069114F" w:rsidRPr="00144BB0" w:rsidRDefault="0069114F">
      <w:pPr>
        <w:pStyle w:val="RKnormal"/>
        <w:tabs>
          <w:tab w:val="clear" w:pos="1843"/>
          <w:tab w:val="left" w:pos="0"/>
        </w:tabs>
        <w:ind w:left="0"/>
      </w:pPr>
    </w:p>
    <w:p w:rsidR="0069114F" w:rsidRPr="00144BB0" w:rsidRDefault="00BC2B18" w:rsidP="005F71A0">
      <w:r w:rsidRPr="00144BB0">
        <w:t>Förväntas godkännas av Coreper II den 19 oktober 2011</w:t>
      </w:r>
      <w:r w:rsidR="0069114F" w:rsidRPr="00144BB0">
        <w:t xml:space="preserve"> </w:t>
      </w:r>
    </w:p>
    <w:p w:rsidR="00FF5F5F" w:rsidRPr="00144BB0" w:rsidRDefault="00FF5F5F" w:rsidP="00FF5F5F">
      <w:pPr>
        <w:pStyle w:val="Rubrik2"/>
      </w:pPr>
      <w:bookmarkStart w:id="82" w:name="_Toc306779943"/>
      <w:r w:rsidRPr="00144BB0">
        <w:t>27. Case T-439/11 before the General Court (Sport-pari ZAO v. Council of the European Union)</w:t>
      </w:r>
      <w:bookmarkEnd w:id="82"/>
    </w:p>
    <w:p w:rsidR="0069114F" w:rsidRPr="00144BB0" w:rsidRDefault="0069114F" w:rsidP="0069114F">
      <w:r w:rsidRPr="00144BB0">
        <w:t>15637/11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FF5F5F" w:rsidRPr="00144BB0" w:rsidRDefault="00526241" w:rsidP="00FF5F5F">
      <w:pPr>
        <w:pStyle w:val="Rubrik2"/>
      </w:pPr>
      <w:bookmarkStart w:id="83" w:name="_Toc306779944"/>
      <w:r w:rsidRPr="00144BB0">
        <w:t>28</w:t>
      </w:r>
      <w:r w:rsidR="00FF5F5F" w:rsidRPr="00144BB0">
        <w:t>.  Case T-440/11 before the General Court (BT Telecommunications PUE v. Council of the European Union)</w:t>
      </w:r>
      <w:bookmarkEnd w:id="83"/>
      <w:r w:rsidR="00FF5F5F" w:rsidRPr="00144BB0">
        <w:t xml:space="preserve"> </w:t>
      </w:r>
    </w:p>
    <w:p w:rsidR="0069114F" w:rsidRPr="00144BB0" w:rsidRDefault="0069114F" w:rsidP="00FF5F5F">
      <w:pPr>
        <w:pStyle w:val="RKnormal"/>
        <w:ind w:left="0"/>
      </w:pPr>
      <w:r w:rsidRPr="00144BB0">
        <w:t>15638/11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69114F" w:rsidRPr="00144BB0" w:rsidRDefault="0069114F" w:rsidP="00FF5F5F">
      <w:r w:rsidRPr="00144BB0">
        <w:t xml:space="preserve">Föranleder ingen annotering </w:t>
      </w:r>
    </w:p>
    <w:p w:rsidR="0069114F" w:rsidRPr="00144BB0" w:rsidRDefault="00FF5F5F" w:rsidP="0069114F">
      <w:pPr>
        <w:pStyle w:val="Rubrik2"/>
      </w:pPr>
      <w:r w:rsidRPr="00144BB0">
        <w:br w:type="page"/>
      </w:r>
      <w:bookmarkStart w:id="84" w:name="_Toc306779945"/>
      <w:r w:rsidR="00526241" w:rsidRPr="00144BB0">
        <w:t>29</w:t>
      </w:r>
      <w:r w:rsidR="0069114F" w:rsidRPr="00144BB0">
        <w:t xml:space="preserve">. </w:t>
      </w:r>
      <w:r w:rsidRPr="00144BB0">
        <w:t>Case T-441/11 before the General Court (Vladimir Peftiev v. Council of the European Union)</w:t>
      </w:r>
      <w:bookmarkEnd w:id="84"/>
    </w:p>
    <w:p w:rsidR="0069114F" w:rsidRPr="00144BB0" w:rsidRDefault="0069114F" w:rsidP="0069114F">
      <w:r w:rsidRPr="00144BB0">
        <w:t>15639/11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Utrikesdepartementet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II den 19 oktober 2011</w:t>
      </w:r>
    </w:p>
    <w:p w:rsidR="0069114F" w:rsidRPr="00144BB0" w:rsidRDefault="0069114F">
      <w:pPr>
        <w:pStyle w:val="RKnormal"/>
        <w:tabs>
          <w:tab w:val="clear" w:pos="1843"/>
          <w:tab w:val="left" w:pos="0"/>
        </w:tabs>
        <w:ind w:left="0"/>
      </w:pPr>
    </w:p>
    <w:p w:rsidR="004B62D7" w:rsidRPr="00144BB0" w:rsidRDefault="0069114F" w:rsidP="005F71A0">
      <w:r w:rsidRPr="00144BB0">
        <w:t xml:space="preserve">Föranleder ingen annotering </w:t>
      </w:r>
    </w:p>
    <w:p w:rsidR="004B62D7" w:rsidRPr="00144BB0" w:rsidRDefault="00526241" w:rsidP="004B62D7">
      <w:pPr>
        <w:pStyle w:val="Rubrik2"/>
      </w:pPr>
      <w:bookmarkStart w:id="85" w:name="_Toc306779946"/>
      <w:r w:rsidRPr="00144BB0">
        <w:t>30</w:t>
      </w:r>
      <w:r w:rsidR="004B62D7" w:rsidRPr="00144BB0">
        <w:t>. Décision d'exécution du Conseil mettant en œuvre la décision 2010/788/PESC du Conseil concernant l'adoption de mesures restrictives à l'encontre de la République démocratique du Congo</w:t>
      </w:r>
      <w:bookmarkEnd w:id="85"/>
    </w:p>
    <w:p w:rsidR="004B62D7" w:rsidRPr="00144BB0" w:rsidRDefault="004B62D7" w:rsidP="004B62D7">
      <w:pPr>
        <w:spacing w:line="240" w:lineRule="auto"/>
      </w:pPr>
      <w:r w:rsidRPr="00144BB0">
        <w:t>15418/11, 15475/</w:t>
      </w:r>
    </w:p>
    <w:p w:rsidR="00C2178B" w:rsidRPr="00144BB0" w:rsidRDefault="00C2178B" w:rsidP="005F71A0"/>
    <w:p w:rsidR="00C2178B" w:rsidRPr="00144BB0" w:rsidRDefault="004B62D7" w:rsidP="005F71A0">
      <w:r w:rsidRPr="00144BB0">
        <w:t>Ansvarigt departement: Utrikesdepartementet</w:t>
      </w:r>
    </w:p>
    <w:p w:rsidR="004B62D7" w:rsidRPr="00144BB0" w:rsidRDefault="004B62D7" w:rsidP="005F71A0"/>
    <w:p w:rsidR="004B62D7" w:rsidRPr="00144BB0" w:rsidRDefault="004B62D7" w:rsidP="005F71A0">
      <w:r w:rsidRPr="00144BB0">
        <w:t>Ansvarigt statsråd:</w:t>
      </w:r>
      <w:r w:rsidR="001F499C" w:rsidRPr="00144BB0">
        <w:t xml:space="preserve"> Carl Bildt</w:t>
      </w:r>
    </w:p>
    <w:p w:rsidR="004B62D7" w:rsidRPr="00144BB0" w:rsidRDefault="004B62D7" w:rsidP="005F71A0"/>
    <w:p w:rsidR="004B62D7" w:rsidRPr="00144BB0" w:rsidRDefault="004B62D7" w:rsidP="005F71A0">
      <w:r w:rsidRPr="00144BB0">
        <w:t>Förväntas godk</w:t>
      </w:r>
      <w:r w:rsidR="0002565D" w:rsidRPr="00144BB0">
        <w:t>ännas av Coreper II den 19 okto</w:t>
      </w:r>
      <w:r w:rsidRPr="00144BB0">
        <w:t>ber 2011</w:t>
      </w:r>
    </w:p>
    <w:p w:rsidR="004B62D7" w:rsidRPr="00144BB0" w:rsidRDefault="004B62D7" w:rsidP="005F71A0"/>
    <w:p w:rsidR="00D90A8F" w:rsidRPr="00144BB0" w:rsidRDefault="00D90A8F" w:rsidP="00D90A8F">
      <w:pPr>
        <w:pStyle w:val="RKnormal"/>
        <w:ind w:left="0"/>
      </w:pPr>
      <w:r w:rsidRPr="00144BB0">
        <w:t>December 2010 beslutade rådet genom rådsbeslut 2010/788/CFSP att EU ska implementera av FN beslutade sanktioner mot vissa personer och enheter kopplade till konflikten i de östra delarna av DRK. FN:s sanktionskommitté beslutade 8 juli att revidera sanktionslistan för DRK, varför EU:s lista måste revideras i enlighet med denna.</w:t>
      </w:r>
    </w:p>
    <w:p w:rsidR="00D90A8F" w:rsidRPr="00144BB0" w:rsidRDefault="00D90A8F" w:rsidP="00D90A8F">
      <w:pPr>
        <w:pStyle w:val="RKnormal"/>
        <w:ind w:left="0"/>
      </w:pPr>
      <w:r w:rsidRPr="00144BB0">
        <w:t xml:space="preserve"> </w:t>
      </w:r>
    </w:p>
    <w:p w:rsidR="00D90A8F" w:rsidRPr="00144BB0" w:rsidRDefault="00D90A8F" w:rsidP="00D90A8F">
      <w:pPr>
        <w:pStyle w:val="RKnormal"/>
        <w:ind w:left="0"/>
      </w:pPr>
      <w:r w:rsidRPr="00144BB0">
        <w:t>Regeringen avser att rösta för ett antagande av rådets genomförandebeslut.</w:t>
      </w:r>
    </w:p>
    <w:p w:rsidR="00D90A8F" w:rsidRPr="00144BB0" w:rsidRDefault="00D90A8F" w:rsidP="00D90A8F">
      <w:pPr>
        <w:pStyle w:val="RKnormal"/>
        <w:ind w:left="0"/>
      </w:pPr>
    </w:p>
    <w:p w:rsidR="00D90A8F" w:rsidRPr="00144BB0" w:rsidRDefault="00D90A8F" w:rsidP="00D90A8F">
      <w:pPr>
        <w:pStyle w:val="RKnormal"/>
        <w:ind w:left="0"/>
      </w:pPr>
      <w:r w:rsidRPr="00144BB0">
        <w:t xml:space="preserve">Beslut avses fattas 20 oktober. </w:t>
      </w:r>
    </w:p>
    <w:p w:rsidR="00BC2B18" w:rsidRPr="00144BB0" w:rsidRDefault="0059585D" w:rsidP="00D90A8F">
      <w:pPr>
        <w:pStyle w:val="Rubrik1"/>
      </w:pPr>
      <w:r w:rsidRPr="00144BB0">
        <w:br w:type="page"/>
      </w:r>
      <w:bookmarkStart w:id="86" w:name="_Toc306779947"/>
      <w:r w:rsidR="00BC2B18" w:rsidRPr="00144BB0">
        <w:t>Trol</w:t>
      </w:r>
      <w:r w:rsidR="00287FC6" w:rsidRPr="00144BB0">
        <w:t>iga A-punkter inför kommande råd</w:t>
      </w:r>
      <w:r w:rsidR="00BC2B18" w:rsidRPr="00144BB0">
        <w:t>smöten som förväntas godkännas vid Coreper I 2011-10-19</w:t>
      </w:r>
      <w:bookmarkEnd w:id="86"/>
    </w:p>
    <w:p w:rsidR="00BC2B18" w:rsidRPr="00144BB0" w:rsidRDefault="0069114F" w:rsidP="0069114F">
      <w:pPr>
        <w:pStyle w:val="Rubrik2"/>
      </w:pPr>
      <w:bookmarkStart w:id="87" w:name="_Toc306779948"/>
      <w:r w:rsidRPr="00144BB0">
        <w:t>3</w:t>
      </w:r>
      <w:r w:rsidR="00750107" w:rsidRPr="00144BB0">
        <w:t>1</w:t>
      </w:r>
      <w:r w:rsidRPr="00144BB0">
        <w:t>. Reply to written questions put to the Council by Members of the European Parliament (+)</w:t>
      </w:r>
      <w:bookmarkEnd w:id="87"/>
    </w:p>
    <w:p w:rsidR="0069114F" w:rsidRPr="00144BB0" w:rsidRDefault="0069114F" w:rsidP="00BC2B18">
      <w:pPr>
        <w:pStyle w:val="RKnormal"/>
        <w:ind w:left="0"/>
      </w:pPr>
      <w:r w:rsidRPr="00144BB0">
        <w:t>(a) n° E-006465/2011 put by Oriol Junqueras Vies "Touriñán Protocol on integrated management of Atlantic coastal zones" 14756/11 PE-QE 773 (b) n° E-006743/2011 put by John Bufton "Extension of the exchange of air passengers' data to all intra-EU flights" 15360/11 PE-QE 804 (c) n° E-006832/2011 put by Willy Meyer "Violation of human rights in Greece by the austerity plans and measures promoted by the EU" 14746/11 PE-QE 772 (d) n° E-006966/2011 put by Rovana Plumb "The Polish presidency's strategy for the December 2011 Durban conference" 15391/11 PE-QE 807 (e) n° E-006967/2011 put by Georgios Toussas "Infringements of the STCW international Convention" 15362/11 PE-QE 805 (f) n° E-007081/2011 put by Willy Meyer "Humanitarian emergency in Kenya, Djibouti, Ethiopia and Somalia" 15363/11 PE-QE 806 (g) n° E-007233/2011 put by Cristiana Muscardini "Export and transport of live animals" 14763/11 PE-QE 774 (h) n° P-007305/2011 put by Tomasz Piotr Poreba "Carpathian region" 15167/11 PE-QE 797 (i) n° E-007325/2011 put by Mara Bizzotto "Failure of EULEX investigations" 15340/11 PE-QE 800 (j) n° E-007896/2011 put by Iva Zanicchi "Japanese earthquake: repercussions on the international financial markets" 14732/11 PE-QE 771 (k) n° E-008277/2011 and E-008278/2011 put by Marietje Schaake "Guaranteeing coherence in the implementation of sanctions regime unanswered" "Unanswered question on European financial institutions continuing to fund producers of cluster munitions"14504/11 PE-QE 763</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Statsrådsberedningen</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69114F" w:rsidRPr="00144BB0" w:rsidRDefault="00BC2B18" w:rsidP="0069114F">
      <w:r w:rsidRPr="00144BB0">
        <w:t>Förväntas godkännas</w:t>
      </w:r>
      <w:r w:rsidR="0069114F" w:rsidRPr="00144BB0">
        <w:t xml:space="preserve"> av Coreper I den 19 oktober 2011</w:t>
      </w:r>
    </w:p>
    <w:p w:rsidR="0069114F" w:rsidRPr="00144BB0" w:rsidRDefault="0069114F">
      <w:pPr>
        <w:pStyle w:val="RKnormal"/>
        <w:tabs>
          <w:tab w:val="clear" w:pos="1843"/>
          <w:tab w:val="left" w:pos="0"/>
        </w:tabs>
        <w:ind w:left="0"/>
      </w:pPr>
    </w:p>
    <w:p w:rsidR="0069114F" w:rsidRPr="00144BB0" w:rsidRDefault="0069114F" w:rsidP="00BC2B18">
      <w:r w:rsidRPr="00144BB0">
        <w:t xml:space="preserve">Föranleder ingen annotering. </w:t>
      </w:r>
    </w:p>
    <w:p w:rsidR="0069114F" w:rsidRPr="00144BB0" w:rsidRDefault="0059585D" w:rsidP="0069114F">
      <w:pPr>
        <w:pStyle w:val="Rubrik2"/>
      </w:pPr>
      <w:r w:rsidRPr="00144BB0">
        <w:br w:type="page"/>
      </w:r>
      <w:bookmarkStart w:id="88" w:name="_Toc306779949"/>
      <w:r w:rsidR="0069114F" w:rsidRPr="00144BB0">
        <w:t>3</w:t>
      </w:r>
      <w:r w:rsidR="00750107" w:rsidRPr="00144BB0">
        <w:t>2</w:t>
      </w:r>
      <w:r w:rsidR="0069114F" w:rsidRPr="00144BB0">
        <w:t>. Draft agenda for the forthcoming part-session of the European Parliament in Strasbourg from 24 to 27 October 2011</w:t>
      </w:r>
      <w:bookmarkEnd w:id="88"/>
    </w:p>
    <w:p w:rsidR="0069114F" w:rsidRPr="00144BB0" w:rsidRDefault="0069114F" w:rsidP="0069114F">
      <w:r w:rsidRPr="00144BB0">
        <w:t>15370/2011, 15371/2011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Statsrådsberedningen</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Birgitta Ohlsson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Föranleder ingen annotering. </w:t>
      </w:r>
    </w:p>
    <w:p w:rsidR="0069114F" w:rsidRPr="00144BB0" w:rsidRDefault="00750107" w:rsidP="0069114F">
      <w:pPr>
        <w:pStyle w:val="Rubrik2"/>
      </w:pPr>
      <w:bookmarkStart w:id="89" w:name="_Toc306779950"/>
      <w:r w:rsidRPr="00144BB0">
        <w:t>33</w:t>
      </w:r>
      <w:r w:rsidR="0069114F" w:rsidRPr="00144BB0">
        <w:t>. Consumption of EAGF appropriations for the period from 16 October 2010 to 31 July 2011= Information note for the attention of the Permanent Representatives Committee (Part 1)</w:t>
      </w:r>
      <w:bookmarkEnd w:id="89"/>
    </w:p>
    <w:p w:rsidR="0069114F" w:rsidRPr="00144BB0" w:rsidRDefault="0069114F" w:rsidP="0069114F">
      <w:r w:rsidRPr="00144BB0">
        <w:t>15423/11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Finansdepartementet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Anders Borg</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 den 19 oktober 2011</w:t>
      </w:r>
    </w:p>
    <w:p w:rsidR="0069114F" w:rsidRPr="00144BB0" w:rsidRDefault="0069114F">
      <w:pPr>
        <w:pStyle w:val="RKnormal"/>
        <w:tabs>
          <w:tab w:val="clear" w:pos="1843"/>
          <w:tab w:val="left" w:pos="0"/>
        </w:tabs>
        <w:ind w:left="0"/>
      </w:pPr>
    </w:p>
    <w:p w:rsidR="0069114F" w:rsidRPr="00144BB0" w:rsidRDefault="0069114F" w:rsidP="00750107">
      <w:r w:rsidRPr="00144BB0">
        <w:t>Informationsnot från kommissionen om genomförandet av budgeten för Europeiska garant</w:t>
      </w:r>
      <w:r w:rsidR="005F71A0" w:rsidRPr="00144BB0">
        <w:t xml:space="preserve">ifonden för jordbruket (EGFJ) </w:t>
      </w:r>
      <w:r w:rsidRPr="00144BB0">
        <w:t>fram till 31 juli 2011. Genomförandegraden låg vid detta datum något högre än kommissionens tidigare prognoser men man</w:t>
      </w:r>
      <w:r w:rsidR="005F71A0" w:rsidRPr="00144BB0">
        <w:t xml:space="preserve"> </w:t>
      </w:r>
      <w:r w:rsidRPr="00144BB0">
        <w:t xml:space="preserve">förväntades kunna hålla utgifterna inom beslutade ramar för räkenskapsåret. </w:t>
      </w:r>
    </w:p>
    <w:p w:rsidR="0069114F" w:rsidRPr="00144BB0" w:rsidRDefault="00750107" w:rsidP="0069114F">
      <w:pPr>
        <w:pStyle w:val="Rubrik2"/>
      </w:pPr>
      <w:bookmarkStart w:id="90" w:name="_Toc306779951"/>
      <w:r w:rsidRPr="00144BB0">
        <w:t>34</w:t>
      </w:r>
      <w:r w:rsidR="0069114F" w:rsidRPr="00144BB0">
        <w:t>. Draft Commission Regulation (EU) No .../.. of XXX amending Regulation (EC) No 1881/2006 as regards maximum levels for nitrates in foodstuffs = Decision not to oppose adoption</w:t>
      </w:r>
      <w:bookmarkEnd w:id="90"/>
    </w:p>
    <w:p w:rsidR="0069114F" w:rsidRPr="00144BB0" w:rsidRDefault="0069114F" w:rsidP="0069114F">
      <w:r w:rsidRPr="00144BB0">
        <w:t>15427/11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Landsbygdsdepartementet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Eskil Erlandsson</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3B56D5" w:rsidRPr="00144BB0">
        <w:t>rfarandet innebär en laglighets</w:t>
      </w:r>
      <w:r w:rsidRPr="00144BB0">
        <w:t>kontroll, dvs. en prövning att kommissionens utkast till åtgärder int</w:t>
      </w:r>
      <w:r w:rsidR="003B56D5" w:rsidRPr="00144BB0">
        <w:t>e överskrider de genomförande</w:t>
      </w:r>
      <w:r w:rsidRPr="00144BB0">
        <w:t xml:space="preserve">befogenheter som anges i den grundläggande rättsakten. Prövningen ska även avse att utkastet är förenligt med syftet med eller innehållet i den grundläggande rättsakten samt att det respekterar principerna om subsidiaritet och proportionalitet. </w:t>
      </w:r>
    </w:p>
    <w:p w:rsidR="0069114F" w:rsidRPr="00144BB0" w:rsidRDefault="0069114F" w:rsidP="0069114F">
      <w:pPr>
        <w:pStyle w:val="Rubrik2"/>
      </w:pPr>
      <w:bookmarkStart w:id="91" w:name="_Toc306779952"/>
      <w:r w:rsidRPr="00144BB0">
        <w:t>3</w:t>
      </w:r>
      <w:r w:rsidR="00750107" w:rsidRPr="00144BB0">
        <w:t>5</w:t>
      </w:r>
      <w:r w:rsidRPr="00144BB0">
        <w:t>. Draft Commission Regulation (EU) No .../..of XXX amending Regulation (EC) No 1881/2006 as regards maximum levels for dioxins, dioxin-like PCBs and non dioxin-like PCBs in foodstuffs</w:t>
      </w:r>
      <w:r w:rsidR="00750107" w:rsidRPr="00144BB0">
        <w:t xml:space="preserve"> </w:t>
      </w:r>
      <w:r w:rsidRPr="00144BB0">
        <w:t>= Decision not to oppose adoption</w:t>
      </w:r>
      <w:bookmarkEnd w:id="91"/>
    </w:p>
    <w:p w:rsidR="0069114F" w:rsidRPr="00144BB0" w:rsidRDefault="0069114F" w:rsidP="0069114F">
      <w:r w:rsidRPr="00144BB0">
        <w:t>15434/11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Landsbygdsdepartementet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Eskil Erlandsson</w:t>
      </w:r>
    </w:p>
    <w:p w:rsidR="0069114F" w:rsidRPr="00144BB0" w:rsidRDefault="0069114F">
      <w:pPr>
        <w:pStyle w:val="RKnormal"/>
        <w:tabs>
          <w:tab w:val="clear" w:pos="1843"/>
          <w:tab w:val="left" w:pos="0"/>
        </w:tabs>
        <w:ind w:left="0"/>
      </w:pPr>
    </w:p>
    <w:p w:rsidR="0069114F" w:rsidRPr="00144BB0" w:rsidRDefault="005F71A0" w:rsidP="0069114F">
      <w:r w:rsidRPr="00144BB0">
        <w:t>Förväntas godkännas av</w:t>
      </w:r>
      <w:r w:rsidR="0069114F" w:rsidRPr="00144BB0">
        <w:t xml:space="preserve"> Coreper 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3B56D5" w:rsidRPr="00144BB0">
        <w:t>rfarandet innebär en laglighets</w:t>
      </w:r>
      <w:r w:rsidRPr="00144BB0">
        <w:t>kontroll, dvs. en prövning att kommissionens utkast till åtgärder int</w:t>
      </w:r>
      <w:r w:rsidR="003B56D5" w:rsidRPr="00144BB0">
        <w:t>e överskrider de genomförande</w:t>
      </w:r>
      <w:r w:rsidRPr="00144BB0">
        <w:t xml:space="preserve">befogenheter som anges i den grundläggande rättsakten. Prövningen ska även avse att utkastet är förenligt med syftet med eller innehållet i den grundläggande rättsakten samt att det respekterar principerna om subsidiaritet och proportionalitet. </w:t>
      </w:r>
    </w:p>
    <w:p w:rsidR="0069114F" w:rsidRPr="00144BB0" w:rsidRDefault="0069114F" w:rsidP="0069114F">
      <w:pPr>
        <w:pStyle w:val="Rubrik2"/>
      </w:pPr>
      <w:bookmarkStart w:id="92" w:name="_Toc306779953"/>
      <w:r w:rsidRPr="00144BB0">
        <w:t>3</w:t>
      </w:r>
      <w:r w:rsidR="00750107" w:rsidRPr="00144BB0">
        <w:t>6</w:t>
      </w:r>
      <w:r w:rsidRPr="00144BB0">
        <w:t>. Proposal for a Council Regulation amending Council Regulations (EU) No57/2011 and (EC) 754/2009 as regards the protection of the species porbeagle, certain TACs and certain fishing limits set for the United Kingdom, Germany and Ireland</w:t>
      </w:r>
      <w:r w:rsidR="003B56D5" w:rsidRPr="00144BB0">
        <w:t xml:space="preserve"> </w:t>
      </w:r>
      <w:r w:rsidRPr="00144BB0">
        <w:t>= Adoption</w:t>
      </w:r>
      <w:bookmarkEnd w:id="92"/>
    </w:p>
    <w:p w:rsidR="0069114F" w:rsidRPr="00144BB0" w:rsidRDefault="0069114F" w:rsidP="0069114F">
      <w:r w:rsidRPr="00144BB0">
        <w:t>14488/1/11, 14490/11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Landsbygdsdepartementet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Eskil Erlandsson</w:t>
      </w:r>
    </w:p>
    <w:p w:rsidR="0069114F" w:rsidRPr="00144BB0" w:rsidRDefault="0069114F">
      <w:pPr>
        <w:pStyle w:val="RKnormal"/>
        <w:tabs>
          <w:tab w:val="clear" w:pos="1843"/>
          <w:tab w:val="left" w:pos="0"/>
        </w:tabs>
        <w:ind w:left="0"/>
      </w:pPr>
    </w:p>
    <w:p w:rsidR="0069114F" w:rsidRPr="00144BB0" w:rsidRDefault="005F71A0" w:rsidP="0069114F">
      <w:r w:rsidRPr="00144BB0">
        <w:t>Förväntas godkännas</w:t>
      </w:r>
      <w:r w:rsidR="0069114F" w:rsidRPr="00144BB0">
        <w:t xml:space="preserve"> av Coreper I den 19 oktober 2011</w:t>
      </w:r>
    </w:p>
    <w:p w:rsidR="0069114F" w:rsidRPr="00144BB0" w:rsidRDefault="0069114F">
      <w:pPr>
        <w:pStyle w:val="RKnormal"/>
        <w:tabs>
          <w:tab w:val="clear" w:pos="1843"/>
          <w:tab w:val="left" w:pos="0"/>
        </w:tabs>
        <w:ind w:left="0"/>
      </w:pPr>
    </w:p>
    <w:p w:rsidR="0069114F" w:rsidRPr="00144BB0" w:rsidRDefault="0069114F" w:rsidP="005F71A0">
      <w:r w:rsidRPr="00144BB0">
        <w:t xml:space="preserve">Genom rådets förordning (EG) nr 57/2011 fastställs fiskemöjligheterna för år 2011 för vissa fiskbestånd och grupper av fiskbestånd i EU-vatten och, för EU-fartyg, i vissa andra vatten än EU-vatten. Förordningen ändras vanligen flera gånger under sin tillämpningsperiod och vid detta tillfälle föreslås ändringar som rör arterna håbrand, havskräfta och torsk. Sverige fiskar inte på något av de aktuella bestånden och har inga invändningar mot de föreslagna ändringarna. </w:t>
      </w:r>
    </w:p>
    <w:p w:rsidR="0069114F" w:rsidRPr="00144BB0" w:rsidRDefault="0069114F" w:rsidP="0069114F">
      <w:pPr>
        <w:pStyle w:val="Rubrik2"/>
      </w:pPr>
      <w:bookmarkStart w:id="93" w:name="_Toc306779954"/>
      <w:r w:rsidRPr="00144BB0">
        <w:t>3</w:t>
      </w:r>
      <w:r w:rsidR="00750107" w:rsidRPr="00144BB0">
        <w:t>7</w:t>
      </w:r>
      <w:r w:rsidRPr="00144BB0">
        <w:t>. Proposal for a Council Regulation amending Regulation (EC) N° 521/2008 setting up the Fuel Cells Hydrogen Joint Undertaking</w:t>
      </w:r>
      <w:r w:rsidR="003B56D5" w:rsidRPr="00144BB0">
        <w:t xml:space="preserve"> </w:t>
      </w:r>
      <w:r w:rsidRPr="00144BB0">
        <w:t>= Adoption</w:t>
      </w:r>
      <w:bookmarkEnd w:id="93"/>
    </w:p>
    <w:p w:rsidR="0069114F" w:rsidRPr="00144BB0" w:rsidRDefault="0069114F" w:rsidP="0069114F">
      <w:r w:rsidRPr="00144BB0">
        <w:t>14993/11, 15428/11</w:t>
      </w:r>
    </w:p>
    <w:p w:rsidR="0069114F" w:rsidRPr="00144BB0" w:rsidRDefault="0069114F">
      <w:pPr>
        <w:pStyle w:val="RKnormal"/>
        <w:tabs>
          <w:tab w:val="clear" w:pos="1843"/>
          <w:tab w:val="left" w:pos="0"/>
        </w:tabs>
        <w:ind w:left="0"/>
      </w:pPr>
    </w:p>
    <w:p w:rsidR="0069114F" w:rsidRPr="00144BB0" w:rsidRDefault="0069114F" w:rsidP="0069114F">
      <w:r w:rsidRPr="00144BB0">
        <w:t>Ansvarigt departement: Utbildningsdepartementet</w:t>
      </w:r>
    </w:p>
    <w:p w:rsidR="0069114F" w:rsidRPr="00144BB0" w:rsidRDefault="0069114F">
      <w:pPr>
        <w:pStyle w:val="RKnormal"/>
        <w:tabs>
          <w:tab w:val="clear" w:pos="1843"/>
          <w:tab w:val="left" w:pos="0"/>
        </w:tabs>
        <w:ind w:left="0"/>
      </w:pPr>
    </w:p>
    <w:p w:rsidR="0069114F" w:rsidRPr="00144BB0" w:rsidRDefault="0069114F" w:rsidP="0069114F">
      <w:r w:rsidRPr="00144BB0">
        <w:t>Ansvarigt statsråd: Jan Björklund</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i EU -nämnden: 2011-09-23</w:t>
      </w:r>
    </w:p>
    <w:p w:rsidR="0069114F" w:rsidRPr="00144BB0" w:rsidRDefault="0069114F">
      <w:pPr>
        <w:pStyle w:val="RKnormal"/>
        <w:tabs>
          <w:tab w:val="clear" w:pos="1843"/>
          <w:tab w:val="left" w:pos="0"/>
        </w:tabs>
        <w:ind w:left="0"/>
      </w:pPr>
    </w:p>
    <w:p w:rsidR="0069114F" w:rsidRPr="00144BB0" w:rsidRDefault="0069114F" w:rsidP="0069114F">
      <w:r w:rsidRPr="00144BB0">
        <w:t>Tidigare behandling vid rådsmöte: Konkurrenskraftsrådet</w:t>
      </w:r>
    </w:p>
    <w:p w:rsidR="0069114F" w:rsidRPr="00144BB0" w:rsidRDefault="0069114F">
      <w:pPr>
        <w:pStyle w:val="RKnormal"/>
        <w:tabs>
          <w:tab w:val="clear" w:pos="1843"/>
          <w:tab w:val="left" w:pos="0"/>
        </w:tabs>
        <w:ind w:left="0"/>
      </w:pPr>
    </w:p>
    <w:p w:rsidR="00BC2B18" w:rsidRPr="00144BB0" w:rsidRDefault="00BC2B18" w:rsidP="00BC2B18">
      <w:r w:rsidRPr="00144BB0">
        <w:t>Förväntas godkännas av Coreper I den 19 oktober 2011</w:t>
      </w:r>
    </w:p>
    <w:p w:rsidR="0069114F" w:rsidRPr="00144BB0" w:rsidRDefault="0069114F">
      <w:pPr>
        <w:pStyle w:val="RKnormal"/>
        <w:tabs>
          <w:tab w:val="clear" w:pos="1843"/>
          <w:tab w:val="left" w:pos="0"/>
        </w:tabs>
        <w:ind w:left="0"/>
      </w:pPr>
    </w:p>
    <w:p w:rsidR="0069114F" w:rsidRPr="00144BB0" w:rsidRDefault="0069114F" w:rsidP="0069114F">
      <w:r w:rsidRPr="00144BB0">
        <w:t xml:space="preserve">Joint Technology Initiatives (JTI) initierades i FP7 på basis av artikel 187 i fördraget. Instrumentet används för finansiering och administration av forskning via offentliga-privata partnerskap.  </w:t>
      </w:r>
    </w:p>
    <w:p w:rsidR="0069114F" w:rsidRPr="00144BB0" w:rsidRDefault="0069114F" w:rsidP="0069114F"/>
    <w:p w:rsidR="0069114F" w:rsidRPr="00144BB0" w:rsidRDefault="0069114F" w:rsidP="0069114F">
      <w:r w:rsidRPr="00144BB0">
        <w:t xml:space="preserve">Det gemensamma företaget Bränsleceller och vätgas bildades genom förordning 521/2008 den 30 maj 2008. Dess tre medlemmar industrin, forskningen och Europeiska kommissionen delar kostnaderna för företaget. </w:t>
      </w:r>
    </w:p>
    <w:p w:rsidR="0069114F" w:rsidRPr="00144BB0" w:rsidRDefault="0069114F" w:rsidP="0069114F"/>
    <w:p w:rsidR="0069114F" w:rsidRPr="00144BB0" w:rsidRDefault="0069114F" w:rsidP="0069114F">
      <w:r w:rsidRPr="00144BB0">
        <w:t>Sedan starten har tre utlysningar skett på 28, 73 och 89 miljoner Euro. Resultatet av de första utlysningarna är att industrins medfinansiering inte når upp till de stipulerade 50%. Den låga finansieringsgraden och den ekonomiska krisen har inneburit att nuvarande nivå av deltagande är ordentligt under förväntat deltagande.</w:t>
      </w:r>
    </w:p>
    <w:p w:rsidR="0069114F" w:rsidRPr="00144BB0" w:rsidRDefault="0069114F" w:rsidP="0069114F"/>
    <w:p w:rsidR="0069114F" w:rsidRPr="00144BB0" w:rsidRDefault="0069114F" w:rsidP="0069114F">
      <w:r w:rsidRPr="00144BB0">
        <w:t>Bidrag från offentliga nationella och regionala källor uppmuntras och förväntas i flera fall. Den nuvarande förordningen beaktar inte detta. Det nya förslaget om medfinansiering till EU-bidraget ska därför också tillåta att beakta inte bara industrins egna bidrag utan även finansiering från andra offentliga nationella och regionala källor som deltar i aktiviteterna.</w:t>
      </w:r>
    </w:p>
    <w:p w:rsidR="0069114F" w:rsidRPr="00144BB0" w:rsidRDefault="0069114F" w:rsidP="0069114F"/>
    <w:p w:rsidR="0069114F" w:rsidRPr="00144BB0" w:rsidRDefault="0069114F" w:rsidP="0069114F">
      <w:r w:rsidRPr="00144BB0">
        <w:t xml:space="preserve">KKR (forskning) antog en politisk överenskommelse om detta ärende den 30 september 2011. Det formella beslutet tas dock som en A-punkt p.g.a. förseningar vad gäller språkliga </w:t>
      </w:r>
      <w:r w:rsidR="00B343C4" w:rsidRPr="00144BB0">
        <w:t>översättningar</w:t>
      </w:r>
      <w:r w:rsidRPr="00144BB0">
        <w:t>.</w:t>
      </w:r>
    </w:p>
    <w:p w:rsidR="0069114F" w:rsidRPr="00144BB0" w:rsidRDefault="0069114F">
      <w:pPr>
        <w:pStyle w:val="RKnormal"/>
        <w:tabs>
          <w:tab w:val="clear" w:pos="1843"/>
          <w:tab w:val="left" w:pos="0"/>
        </w:tabs>
        <w:ind w:left="0"/>
      </w:pPr>
      <w:r w:rsidRPr="00144BB0">
        <w:t xml:space="preserve"> </w:t>
      </w:r>
    </w:p>
    <w:p w:rsidR="0069114F" w:rsidRPr="00144BB0" w:rsidRDefault="0069114F">
      <w:pPr>
        <w:pStyle w:val="RKnormal"/>
        <w:tabs>
          <w:tab w:val="clear" w:pos="1843"/>
          <w:tab w:val="left" w:pos="0"/>
        </w:tabs>
        <w:ind w:left="0"/>
      </w:pPr>
    </w:p>
    <w:p w:rsidR="00116B5E" w:rsidRPr="00144BB0" w:rsidRDefault="00116B5E" w:rsidP="00116B5E">
      <w:pPr>
        <w:pStyle w:val="Rubrik1"/>
      </w:pPr>
      <w:bookmarkStart w:id="94" w:name="_Toc306779955"/>
      <w:r w:rsidRPr="00144BB0">
        <w:t>Färdigförhandlad II-punkt från möte i Coreper II 2011-10-06 som kan tas som A-punkt vid kommande rådsmöte</w:t>
      </w:r>
      <w:r w:rsidR="006D1502" w:rsidRPr="00144BB0">
        <w:t>n</w:t>
      </w:r>
      <w:r w:rsidRPr="00144BB0">
        <w:t>.</w:t>
      </w:r>
      <w:bookmarkEnd w:id="94"/>
    </w:p>
    <w:p w:rsidR="00116B5E" w:rsidRPr="00144BB0" w:rsidRDefault="00116B5E" w:rsidP="00116B5E">
      <w:pPr>
        <w:pStyle w:val="Rubrik2"/>
      </w:pPr>
      <w:bookmarkStart w:id="95" w:name="_Toc306779956"/>
      <w:r w:rsidRPr="00144BB0">
        <w:t>3</w:t>
      </w:r>
      <w:r w:rsidR="00750107" w:rsidRPr="00144BB0">
        <w:t>8</w:t>
      </w:r>
      <w:r w:rsidRPr="00144BB0">
        <w:t>. Proposal for a Directive of the European Parliament and of the Council on the European Protection Order = Political agreement</w:t>
      </w:r>
      <w:bookmarkEnd w:id="95"/>
      <w:r w:rsidRPr="00144BB0">
        <w:t xml:space="preserve"> </w:t>
      </w:r>
    </w:p>
    <w:p w:rsidR="00116B5E" w:rsidRPr="00144BB0" w:rsidRDefault="00116B5E" w:rsidP="00116B5E">
      <w:pPr>
        <w:spacing w:line="240" w:lineRule="auto"/>
      </w:pPr>
      <w:r w:rsidRPr="00144BB0">
        <w:t>15216/11, 14923/11</w:t>
      </w:r>
    </w:p>
    <w:p w:rsidR="00116B5E" w:rsidRPr="00144BB0" w:rsidRDefault="00116B5E" w:rsidP="00116B5E">
      <w:pPr>
        <w:spacing w:line="240" w:lineRule="auto"/>
      </w:pPr>
    </w:p>
    <w:p w:rsidR="00116B5E" w:rsidRPr="00144BB0" w:rsidRDefault="00116B5E" w:rsidP="00116B5E">
      <w:pPr>
        <w:spacing w:line="240" w:lineRule="auto"/>
      </w:pPr>
      <w:r w:rsidRPr="00144BB0">
        <w:t>Ansvarigt departement: Justitiedepartementet</w:t>
      </w:r>
    </w:p>
    <w:p w:rsidR="00116B5E" w:rsidRPr="00144BB0" w:rsidRDefault="00116B5E" w:rsidP="00116B5E">
      <w:pPr>
        <w:spacing w:line="240" w:lineRule="auto"/>
      </w:pPr>
    </w:p>
    <w:p w:rsidR="00116B5E" w:rsidRPr="00144BB0" w:rsidRDefault="00116B5E" w:rsidP="00116B5E">
      <w:pPr>
        <w:spacing w:line="240" w:lineRule="auto"/>
      </w:pPr>
      <w:r w:rsidRPr="00144BB0">
        <w:t>Ansvarigt statsråd: Beatrice Ask</w:t>
      </w:r>
    </w:p>
    <w:p w:rsidR="00116B5E" w:rsidRPr="00144BB0" w:rsidRDefault="00116B5E" w:rsidP="00116B5E">
      <w:pPr>
        <w:pStyle w:val="RKnormal"/>
        <w:ind w:left="-1418"/>
        <w:rPr>
          <w:b/>
        </w:rPr>
      </w:pPr>
    </w:p>
    <w:p w:rsidR="00116B5E" w:rsidRPr="00144BB0" w:rsidRDefault="00116B5E" w:rsidP="00116B5E">
      <w:pPr>
        <w:pStyle w:val="RKnormal"/>
        <w:tabs>
          <w:tab w:val="clear" w:pos="1843"/>
        </w:tabs>
        <w:ind w:left="0"/>
      </w:pPr>
      <w:r w:rsidRPr="00144BB0">
        <w:rPr>
          <w:b/>
        </w:rPr>
        <w:t>Tidigare behandling i EU-nämnden:</w:t>
      </w:r>
      <w:r w:rsidRPr="00144BB0">
        <w:t xml:space="preserve"> 19 februari, 16 april, 28 maj, 1 oktober och 26 november 2010 samt 16 september 2011</w:t>
      </w:r>
    </w:p>
    <w:p w:rsidR="00116B5E" w:rsidRPr="00144BB0" w:rsidRDefault="00116B5E" w:rsidP="00116B5E">
      <w:pPr>
        <w:pStyle w:val="RKnormal"/>
        <w:tabs>
          <w:tab w:val="clear" w:pos="1843"/>
        </w:tabs>
        <w:ind w:left="0"/>
      </w:pPr>
      <w:r w:rsidRPr="00144BB0">
        <w:rPr>
          <w:b/>
        </w:rPr>
        <w:t>Tidigare behandling vid rådsmöte:</w:t>
      </w:r>
      <w:r w:rsidRPr="00144BB0">
        <w:t xml:space="preserve"> 25-26 februari, 22-23 april, 3-4 juni, 7-8 oktober och 2-3 december 2010 samt 23 september 2011</w:t>
      </w:r>
    </w:p>
    <w:p w:rsidR="00116B5E" w:rsidRPr="00144BB0" w:rsidRDefault="00116B5E" w:rsidP="00116B5E">
      <w:pPr>
        <w:pStyle w:val="RKnormal"/>
        <w:tabs>
          <w:tab w:val="clear" w:pos="1843"/>
        </w:tabs>
        <w:ind w:left="0"/>
        <w:rPr>
          <w:b/>
        </w:rPr>
      </w:pPr>
    </w:p>
    <w:p w:rsidR="00116B5E" w:rsidRPr="00144BB0" w:rsidRDefault="00116B5E" w:rsidP="00116B5E">
      <w:pPr>
        <w:pStyle w:val="RKnormal"/>
        <w:tabs>
          <w:tab w:val="clear" w:pos="1843"/>
        </w:tabs>
        <w:ind w:left="0"/>
      </w:pPr>
      <w:bookmarkStart w:id="96" w:name="Text9"/>
      <w:r w:rsidRPr="00144BB0">
        <w:t>I december 2009 presenterade tolv medlemsstater, däribland Sverige och Po</w:t>
      </w:r>
      <w:r w:rsidR="00750107" w:rsidRPr="00144BB0">
        <w:t>len, ett för</w:t>
      </w:r>
      <w:r w:rsidRPr="00144BB0">
        <w:t xml:space="preserve">slag till direktiv om den europeiska skyddsordern (EPO). Direktivet ska göra det möjligt att från en medlemsstat till en annan överföra åtgärder som vidtagits till skydd för en hotad person när personen flyttar till en annan stat. Den typ av skyddsåtgärder som avses omfattas av direktivet är vad som i svensk rätt närmast motsvaras av kontaktförbud (tidigare besöksförbud). Syftet med direktivet är att öka skyddet för brottsoffer eller personer som riskerar att utsättas för brott och att göra det möjligt för dem att flytta mellan medlemsstaterna samtidigt som de åtgärder som har meddelats för att skydda dem kvarstår. </w:t>
      </w:r>
    </w:p>
    <w:p w:rsidR="00116B5E" w:rsidRPr="00144BB0" w:rsidRDefault="00116B5E" w:rsidP="00116B5E">
      <w:pPr>
        <w:pStyle w:val="RKnormal"/>
        <w:tabs>
          <w:tab w:val="clear" w:pos="1843"/>
        </w:tabs>
        <w:ind w:left="0"/>
      </w:pPr>
    </w:p>
    <w:p w:rsidR="00116B5E" w:rsidRPr="00144BB0" w:rsidRDefault="00116B5E" w:rsidP="00116B5E">
      <w:pPr>
        <w:pStyle w:val="RKnormal"/>
        <w:tabs>
          <w:tab w:val="clear" w:pos="1843"/>
        </w:tabs>
        <w:ind w:left="0"/>
      </w:pPr>
      <w:r w:rsidRPr="00144BB0">
        <w:t>På RIF-rådet i juni 2010 träffades överenskommelse om en allmän rikt</w:t>
      </w:r>
      <w:r w:rsidRPr="00144BB0">
        <w:softHyphen/>
        <w:t xml:space="preserve">linje kring ett förslag med brett tillämpningsområde, dvs. skyddsåtgärder beslutade i såväl straffrättsliga som civilrättsliga och administrativa förfaranden skulle omfattas av direktivet. En överenskommelse beträffande den texten uppnåddes i Europaparlamentet i december 2010. Sedan det framkommit att det inom rådet fanns en blockerande minoritet mot den överenskomna texten, har kommissionen i maj 2011 lagt fram ett förslag till förordning om ömsesidigt erkännande av skyddsåtgärder i </w:t>
      </w:r>
      <w:r w:rsidRPr="00144BB0">
        <w:rPr>
          <w:i/>
        </w:rPr>
        <w:t>civilrättsliga</w:t>
      </w:r>
      <w:r w:rsidRPr="00144BB0">
        <w:t xml:space="preserve"> förfaranden. Det ursprungliga förslaget till direktiv begränsades i samband därmed till att gälla enbart för </w:t>
      </w:r>
      <w:r w:rsidRPr="00144BB0">
        <w:rPr>
          <w:i/>
        </w:rPr>
        <w:t>straffrättsliga förhållanden</w:t>
      </w:r>
      <w:r w:rsidRPr="00144BB0">
        <w:t xml:space="preserve"> med krav på att misstanke om ett brottsligt beteende ligger till grund för beslutet om skyddsåtgärden. Direktivet har därefter varit föremål för nya förhandlingar och en överenskommelse rörande den reviderade texten, inklusive dess bilagor har nåtts. </w:t>
      </w:r>
      <w:bookmarkEnd w:id="96"/>
      <w:r w:rsidRPr="00144BB0">
        <w:t xml:space="preserve">Vid Coreper den 6 oktober 2011 konstaterades att texten nu formellt kunde godkännas. </w:t>
      </w:r>
    </w:p>
    <w:p w:rsidR="00116B5E" w:rsidRPr="00144BB0" w:rsidRDefault="00116B5E" w:rsidP="00116B5E"/>
    <w:p w:rsidR="00116B5E" w:rsidRPr="00144BB0" w:rsidRDefault="00116B5E" w:rsidP="00116B5E">
      <w:pPr>
        <w:pStyle w:val="Rubrik1"/>
      </w:pPr>
      <w:bookmarkStart w:id="97" w:name="_Toc306779957"/>
      <w:r w:rsidRPr="00144BB0">
        <w:t>Trolig A-punkt inför kommande rådsmöten som godkändes vid SJK 2010-10-03.</w:t>
      </w:r>
      <w:bookmarkEnd w:id="97"/>
    </w:p>
    <w:p w:rsidR="00116B5E" w:rsidRPr="00144BB0" w:rsidRDefault="00750107" w:rsidP="00116B5E">
      <w:pPr>
        <w:pStyle w:val="Rubrik2"/>
      </w:pPr>
      <w:bookmarkStart w:id="98" w:name="_Toc306779958"/>
      <w:r w:rsidRPr="00144BB0">
        <w:t>39</w:t>
      </w:r>
      <w:r w:rsidR="00254D66" w:rsidRPr="00144BB0">
        <w:t xml:space="preserve">. </w:t>
      </w:r>
      <w:r w:rsidR="00116B5E" w:rsidRPr="00144BB0">
        <w:t>Proposal for a Regulation of the European Parliament and of the Council amending Council Regulation (EC) No 378/2007 as regards the rules for the implementation of voluntary modulation of direct payments under the common agricultural policy [First reading] (LA) = Adoption of the legislative act</w:t>
      </w:r>
      <w:bookmarkEnd w:id="98"/>
    </w:p>
    <w:p w:rsidR="00116B5E" w:rsidRPr="00144BB0" w:rsidRDefault="00116B5E" w:rsidP="00116B5E">
      <w:pPr>
        <w:spacing w:line="240" w:lineRule="auto"/>
        <w:rPr>
          <w:szCs w:val="32"/>
        </w:rPr>
      </w:pPr>
      <w:r w:rsidRPr="00144BB0">
        <w:rPr>
          <w:szCs w:val="32"/>
        </w:rPr>
        <w:t xml:space="preserve">36/11, 14703/1/11 </w:t>
      </w:r>
    </w:p>
    <w:p w:rsidR="00254D66" w:rsidRPr="00144BB0" w:rsidRDefault="00254D66" w:rsidP="00116B5E">
      <w:pPr>
        <w:spacing w:line="240" w:lineRule="auto"/>
        <w:rPr>
          <w:szCs w:val="32"/>
        </w:rPr>
      </w:pPr>
    </w:p>
    <w:p w:rsidR="00116B5E" w:rsidRPr="00144BB0" w:rsidRDefault="00116B5E" w:rsidP="00116B5E">
      <w:pPr>
        <w:spacing w:line="240" w:lineRule="auto"/>
      </w:pPr>
      <w:r w:rsidRPr="00144BB0">
        <w:t>Ansvarigt departement: Landsbygdsdepartementet</w:t>
      </w:r>
    </w:p>
    <w:p w:rsidR="00254D66" w:rsidRPr="00144BB0" w:rsidRDefault="00254D66" w:rsidP="00116B5E">
      <w:pPr>
        <w:spacing w:line="240" w:lineRule="auto"/>
      </w:pPr>
    </w:p>
    <w:p w:rsidR="00116B5E" w:rsidRPr="00144BB0" w:rsidRDefault="00116B5E" w:rsidP="00116B5E">
      <w:pPr>
        <w:spacing w:line="240" w:lineRule="auto"/>
      </w:pPr>
      <w:r w:rsidRPr="00144BB0">
        <w:t>Ansvarigt statsråd: Eskil Erlandsson</w:t>
      </w:r>
    </w:p>
    <w:p w:rsidR="00116B5E" w:rsidRPr="00144BB0" w:rsidRDefault="00116B5E" w:rsidP="00116B5E">
      <w:pPr>
        <w:ind w:left="-1418"/>
        <w:rPr>
          <w:rFonts w:ascii="Garamond" w:hAnsi="Garamond"/>
          <w:b/>
        </w:rPr>
      </w:pPr>
    </w:p>
    <w:p w:rsidR="00116B5E" w:rsidRPr="00144BB0" w:rsidRDefault="00116B5E" w:rsidP="0082014F">
      <w:pPr>
        <w:spacing w:line="240" w:lineRule="auto"/>
      </w:pPr>
      <w:r w:rsidRPr="00144BB0">
        <w:t xml:space="preserve">Detta är en i raden av rättsakter som anpassas enligt Lissabonfördraget.  </w:t>
      </w:r>
    </w:p>
    <w:p w:rsidR="00116B5E" w:rsidRPr="00144BB0" w:rsidRDefault="00116B5E" w:rsidP="00254D66">
      <w:pPr>
        <w:pStyle w:val="RKnormal"/>
        <w:tabs>
          <w:tab w:val="clear" w:pos="1843"/>
          <w:tab w:val="left" w:pos="567"/>
        </w:tabs>
        <w:spacing w:line="240" w:lineRule="auto"/>
        <w:ind w:left="0"/>
        <w:rPr>
          <w:rFonts w:ascii="Garamond" w:hAnsi="Garamond"/>
          <w:szCs w:val="24"/>
        </w:rPr>
      </w:pPr>
    </w:p>
    <w:p w:rsidR="00116B5E" w:rsidRPr="00144BB0" w:rsidRDefault="00116B5E" w:rsidP="0082014F">
      <w:pPr>
        <w:spacing w:line="240" w:lineRule="auto"/>
      </w:pPr>
      <w:r w:rsidRPr="00144BB0">
        <w:t xml:space="preserve">Frivillig modulering enligt denna förordning tillämpas idag enbart av Portugal och Storbritannien. Det är en möjlighet till undantag för medlemsstater som före införandet av gårdsstödet hade en form av modulering som var högre än den möjlighet som finns i dagens gårdstödssystem.  </w:t>
      </w:r>
    </w:p>
    <w:p w:rsidR="00116B5E" w:rsidRPr="00144BB0" w:rsidRDefault="00116B5E" w:rsidP="0082014F">
      <w:pPr>
        <w:spacing w:line="240" w:lineRule="auto"/>
      </w:pPr>
    </w:p>
    <w:p w:rsidR="00116B5E" w:rsidRPr="00144BB0" w:rsidRDefault="00116B5E" w:rsidP="0082014F">
      <w:pPr>
        <w:spacing w:line="240" w:lineRule="auto"/>
      </w:pPr>
      <w:r w:rsidRPr="00144BB0">
        <w:t xml:space="preserve">I fördraget om Europeiska unionens funktionssätt görs en åtskillnad mellan befogenheter som delegerats till kommissionen så att den kan anta akter med allmän räckvidd som inte är lagstiftningsakter och som kompletterar eller ändrar vissa icke väsentliga delar av en lagstiftningsakt (delegerade akter, se artikel 290.1 i fördraget) och befogenheter som tilldelats kommissionen så att den kan anta enhetliga villkor för genomförandet av unionens rättsligt bindande akter (genomförandeakter, se artikel 291.2 i fördraget). </w:t>
      </w:r>
    </w:p>
    <w:p w:rsidR="00116B5E" w:rsidRPr="00144BB0" w:rsidRDefault="00116B5E" w:rsidP="0082014F">
      <w:pPr>
        <w:spacing w:line="240" w:lineRule="auto"/>
      </w:pPr>
      <w:r w:rsidRPr="00144BB0">
        <w:t xml:space="preserve"> </w:t>
      </w:r>
    </w:p>
    <w:p w:rsidR="00116B5E" w:rsidRPr="00144BB0" w:rsidRDefault="00116B5E" w:rsidP="00E2377A">
      <w:pPr>
        <w:spacing w:line="240" w:lineRule="auto"/>
        <w:rPr>
          <w:rFonts w:ascii="Garamond" w:hAnsi="Garamond"/>
        </w:rPr>
      </w:pPr>
      <w:r w:rsidRPr="00144BB0">
        <w:t>Kommissionen föreslår att denna förordning ska anpassas till Lissabonfördraget genom genomförandeakter, eftersom tillämpning av den frivilliga moduleringen ska vara enhetlig.</w:t>
      </w:r>
    </w:p>
    <w:p w:rsidR="00116B5E" w:rsidRPr="00144BB0" w:rsidRDefault="00116B5E" w:rsidP="00116B5E">
      <w:pPr>
        <w:pStyle w:val="Rubrik1"/>
      </w:pPr>
      <w:bookmarkStart w:id="99" w:name="_Toc306779959"/>
      <w:r w:rsidRPr="00144BB0">
        <w:t>Troliga A-punkter inför kommande rådsmöten som godkändes vid SJK 2010-10-10.</w:t>
      </w:r>
      <w:bookmarkEnd w:id="99"/>
    </w:p>
    <w:p w:rsidR="00116B5E" w:rsidRPr="00144BB0" w:rsidRDefault="00750107" w:rsidP="00116B5E">
      <w:pPr>
        <w:pStyle w:val="Rubrik2"/>
      </w:pPr>
      <w:bookmarkStart w:id="100" w:name="_Toc306779960"/>
      <w:r w:rsidRPr="00144BB0">
        <w:t>40</w:t>
      </w:r>
      <w:r w:rsidR="00254D66" w:rsidRPr="00144BB0">
        <w:t xml:space="preserve">. </w:t>
      </w:r>
      <w:r w:rsidR="00116B5E" w:rsidRPr="00144BB0">
        <w:t>Proposal for a Regulation of the European Parliament and of the Council repealing Regulation (EEC) No 429/73 making special provisions for imports into the Community of certain goods coming under Regulation (EEC) No 1059/69 and originating in Turkey and Regulation (EC) No 215/2000 renewing for 2000 the measures laid down in Regulation (EC) No 1416/95 establishing certain concessions in the form of Community tariff quotas in 1995 for certain processed agricultural products [First reading] (LA)</w:t>
      </w:r>
      <w:r w:rsidRPr="00144BB0">
        <w:t xml:space="preserve"> </w:t>
      </w:r>
      <w:r w:rsidR="00116B5E" w:rsidRPr="00144BB0">
        <w:t>= Adoption of the legislative act</w:t>
      </w:r>
      <w:bookmarkEnd w:id="100"/>
    </w:p>
    <w:p w:rsidR="00116B5E" w:rsidRPr="00144BB0" w:rsidRDefault="00116B5E" w:rsidP="00116B5E">
      <w:pPr>
        <w:spacing w:line="240" w:lineRule="auto"/>
        <w:rPr>
          <w:szCs w:val="32"/>
        </w:rPr>
      </w:pPr>
      <w:r w:rsidRPr="00144BB0">
        <w:rPr>
          <w:szCs w:val="32"/>
        </w:rPr>
        <w:t xml:space="preserve">32/11, 14706/11 </w:t>
      </w:r>
    </w:p>
    <w:p w:rsidR="00116B5E" w:rsidRPr="00144BB0" w:rsidRDefault="00116B5E" w:rsidP="00116B5E">
      <w:pPr>
        <w:spacing w:line="240" w:lineRule="auto"/>
        <w:rPr>
          <w:szCs w:val="32"/>
        </w:rPr>
      </w:pPr>
    </w:p>
    <w:p w:rsidR="00116B5E" w:rsidRPr="00144BB0" w:rsidRDefault="00116B5E" w:rsidP="00254D66">
      <w:pPr>
        <w:pStyle w:val="RKnormal"/>
        <w:ind w:hanging="1843"/>
      </w:pPr>
      <w:r w:rsidRPr="00144BB0">
        <w:t>Ansvarigt departement: Landsbygdsdepartementet</w:t>
      </w:r>
    </w:p>
    <w:p w:rsidR="00116B5E" w:rsidRPr="00144BB0" w:rsidRDefault="00116B5E" w:rsidP="00254D66">
      <w:pPr>
        <w:pStyle w:val="RKnormal"/>
        <w:ind w:hanging="1843"/>
      </w:pPr>
    </w:p>
    <w:p w:rsidR="00116B5E" w:rsidRPr="00144BB0" w:rsidRDefault="00116B5E" w:rsidP="00254D66">
      <w:pPr>
        <w:pStyle w:val="RKnormal"/>
        <w:ind w:hanging="1843"/>
      </w:pPr>
      <w:r w:rsidRPr="00144BB0">
        <w:t>Ansvarigt statsråd: Eskil Erlandsson</w:t>
      </w:r>
    </w:p>
    <w:p w:rsidR="00116B5E" w:rsidRPr="00144BB0" w:rsidRDefault="00116B5E" w:rsidP="0082014F">
      <w:pPr>
        <w:spacing w:line="240" w:lineRule="auto"/>
      </w:pPr>
    </w:p>
    <w:p w:rsidR="00116B5E" w:rsidRPr="00144BB0" w:rsidRDefault="00116B5E" w:rsidP="00116B5E">
      <w:pPr>
        <w:spacing w:line="240" w:lineRule="auto"/>
        <w:rPr>
          <w:szCs w:val="24"/>
        </w:rPr>
      </w:pPr>
      <w:r w:rsidRPr="00144BB0">
        <w:t xml:space="preserve">I december 2010 lade KOM fram ett förslag om att upphäva rådets förordning (EEG) nr 429/73 och förordning 215/2000 om import av bearbetade jordbruksprodukter från Turkiet. Bakgrunden till upphävande är att </w:t>
      </w:r>
      <w:r w:rsidR="00B343C4" w:rsidRPr="00144BB0">
        <w:t>förordningarna</w:t>
      </w:r>
      <w:r w:rsidRPr="00144BB0">
        <w:t xml:space="preserve"> har blivit obsoleta. Informella kontakter har ägt rum mellan rådet, Europaparlamentet och kommissionen i syfte att nå en överenskommelse vid första läsningen. SE kan stödja upphävandet av förordningarna. </w:t>
      </w:r>
    </w:p>
    <w:p w:rsidR="00116B5E" w:rsidRPr="00144BB0" w:rsidRDefault="00750107" w:rsidP="00116B5E">
      <w:pPr>
        <w:pStyle w:val="Rubrik2"/>
      </w:pPr>
      <w:bookmarkStart w:id="101" w:name="_Toc306779961"/>
      <w:r w:rsidRPr="00144BB0">
        <w:t>41</w:t>
      </w:r>
      <w:r w:rsidR="00254D66" w:rsidRPr="00144BB0">
        <w:t xml:space="preserve">. </w:t>
      </w:r>
      <w:r w:rsidR="00116B5E" w:rsidRPr="00144BB0">
        <w:t>Proposal for a Regulation of the European Parliament and of the Council on repealing certain obsolete Council acts in the field of the common agricultural policy [First reading] (LA) = Adoption of the legislative act</w:t>
      </w:r>
      <w:bookmarkEnd w:id="101"/>
    </w:p>
    <w:p w:rsidR="00116B5E" w:rsidRPr="00144BB0" w:rsidRDefault="00116B5E" w:rsidP="00116B5E">
      <w:pPr>
        <w:spacing w:line="240" w:lineRule="auto"/>
        <w:rPr>
          <w:rFonts w:ascii="Garamond" w:hAnsi="Garamond"/>
        </w:rPr>
      </w:pPr>
      <w:r w:rsidRPr="00144BB0">
        <w:rPr>
          <w:rFonts w:ascii="Garamond" w:hAnsi="Garamond"/>
        </w:rPr>
        <w:t xml:space="preserve">33/11, 14707/11 </w:t>
      </w:r>
    </w:p>
    <w:p w:rsidR="00116B5E" w:rsidRPr="00144BB0" w:rsidRDefault="00116B5E" w:rsidP="00116B5E">
      <w:pPr>
        <w:spacing w:line="240" w:lineRule="auto"/>
        <w:rPr>
          <w:rFonts w:ascii="Garamond" w:hAnsi="Garamond"/>
        </w:rPr>
      </w:pPr>
    </w:p>
    <w:p w:rsidR="00116B5E" w:rsidRPr="00144BB0" w:rsidRDefault="00116B5E" w:rsidP="00116B5E">
      <w:pPr>
        <w:spacing w:line="240" w:lineRule="auto"/>
        <w:rPr>
          <w:rFonts w:ascii="Garamond" w:hAnsi="Garamond"/>
        </w:rPr>
      </w:pPr>
      <w:r w:rsidRPr="00144BB0">
        <w:rPr>
          <w:rFonts w:ascii="Garamond" w:hAnsi="Garamond"/>
        </w:rPr>
        <w:t xml:space="preserve">Ansvarigt departement: </w:t>
      </w:r>
      <w:r w:rsidRPr="00144BB0">
        <w:t>Landsbygdsdepartementet</w:t>
      </w:r>
    </w:p>
    <w:p w:rsidR="00116B5E" w:rsidRPr="00144BB0" w:rsidRDefault="00116B5E" w:rsidP="00116B5E">
      <w:pPr>
        <w:spacing w:line="240" w:lineRule="auto"/>
        <w:rPr>
          <w:rFonts w:ascii="Garamond" w:hAnsi="Garamond"/>
        </w:rPr>
      </w:pPr>
    </w:p>
    <w:p w:rsidR="00116B5E" w:rsidRPr="00144BB0" w:rsidRDefault="00116B5E" w:rsidP="00116B5E">
      <w:pPr>
        <w:spacing w:line="240" w:lineRule="auto"/>
        <w:rPr>
          <w:rFonts w:ascii="Garamond" w:hAnsi="Garamond"/>
        </w:rPr>
      </w:pPr>
      <w:r w:rsidRPr="00144BB0">
        <w:rPr>
          <w:rFonts w:ascii="Garamond" w:hAnsi="Garamond"/>
        </w:rPr>
        <w:t>Ansvarigt statsråd: Eskil Erlandsson</w:t>
      </w:r>
    </w:p>
    <w:p w:rsidR="00116B5E" w:rsidRPr="00144BB0" w:rsidRDefault="00116B5E" w:rsidP="0082014F">
      <w:pPr>
        <w:spacing w:line="240" w:lineRule="auto"/>
      </w:pPr>
    </w:p>
    <w:p w:rsidR="00116B5E" w:rsidRPr="00144BB0" w:rsidRDefault="00116B5E" w:rsidP="00116B5E">
      <w:pPr>
        <w:spacing w:line="240" w:lineRule="auto"/>
      </w:pPr>
      <w:r w:rsidRPr="00144BB0">
        <w:t xml:space="preserve">I december 2010 lade KOM fram ett förslag om att upphäva en rad rättsakter inom jordbruksområdet eftersom de har blivit obsoleta. Informella kontakter har ägt rum mellan rådet, Europaparlamentet och kommissionen i syfte att nå en överenskommelse vid första läsningen. SE kan stödja upphävandet av förordningarna. </w:t>
      </w:r>
    </w:p>
    <w:p w:rsidR="00116B5E" w:rsidRPr="00144BB0" w:rsidRDefault="00750107" w:rsidP="00116B5E">
      <w:pPr>
        <w:pStyle w:val="Rubrik2"/>
      </w:pPr>
      <w:bookmarkStart w:id="102" w:name="_Toc306779962"/>
      <w:r w:rsidRPr="00144BB0">
        <w:t>42</w:t>
      </w:r>
      <w:r w:rsidR="00254D66" w:rsidRPr="00144BB0">
        <w:t xml:space="preserve">. </w:t>
      </w:r>
      <w:r w:rsidR="00116B5E" w:rsidRPr="00144BB0">
        <w:t>Proposal for a Regulation of the European Parliament and of the Council on repealing certain obsolete Council acts [First reading] (LA) = Adoption of the legislative act</w:t>
      </w:r>
      <w:bookmarkEnd w:id="102"/>
    </w:p>
    <w:p w:rsidR="00116B5E" w:rsidRPr="00144BB0" w:rsidRDefault="00116B5E" w:rsidP="00254D66">
      <w:pPr>
        <w:pStyle w:val="RKnormal"/>
        <w:tabs>
          <w:tab w:val="clear" w:pos="1843"/>
        </w:tabs>
        <w:ind w:left="0"/>
        <w:rPr>
          <w:rFonts w:ascii="Garamond" w:hAnsi="Garamond"/>
        </w:rPr>
      </w:pPr>
      <w:r w:rsidRPr="00144BB0">
        <w:rPr>
          <w:rFonts w:ascii="Garamond" w:hAnsi="Garamond"/>
        </w:rPr>
        <w:t xml:space="preserve">35/11, 14708/11 </w:t>
      </w:r>
    </w:p>
    <w:p w:rsidR="00116B5E" w:rsidRPr="00144BB0" w:rsidRDefault="00116B5E" w:rsidP="00116B5E">
      <w:pPr>
        <w:pStyle w:val="RKnormal"/>
        <w:rPr>
          <w:rFonts w:ascii="Garamond" w:hAnsi="Garamond"/>
        </w:rPr>
      </w:pPr>
    </w:p>
    <w:p w:rsidR="00116B5E" w:rsidRPr="00144BB0" w:rsidRDefault="00116B5E" w:rsidP="00116B5E">
      <w:pPr>
        <w:spacing w:line="240" w:lineRule="auto"/>
        <w:rPr>
          <w:rFonts w:ascii="Times New Roman" w:hAnsi="Times New Roman"/>
        </w:rPr>
      </w:pPr>
      <w:r w:rsidRPr="00144BB0">
        <w:t>Ansvarigt departement: Landsbygdsdepartementet</w:t>
      </w:r>
    </w:p>
    <w:p w:rsidR="00116B5E" w:rsidRPr="00144BB0" w:rsidRDefault="00116B5E" w:rsidP="00116B5E">
      <w:pPr>
        <w:spacing w:line="240" w:lineRule="auto"/>
      </w:pPr>
    </w:p>
    <w:p w:rsidR="00116B5E" w:rsidRPr="00144BB0" w:rsidRDefault="00116B5E" w:rsidP="00116B5E">
      <w:pPr>
        <w:spacing w:line="240" w:lineRule="auto"/>
      </w:pPr>
      <w:r w:rsidRPr="00144BB0">
        <w:t>Ansvarigt statsråd: Eskil Erlandsson</w:t>
      </w:r>
    </w:p>
    <w:p w:rsidR="00116B5E" w:rsidRPr="00144BB0" w:rsidRDefault="00116B5E" w:rsidP="0082014F">
      <w:pPr>
        <w:spacing w:line="240" w:lineRule="auto"/>
      </w:pPr>
    </w:p>
    <w:p w:rsidR="00116B5E" w:rsidRPr="00144BB0" w:rsidRDefault="00116B5E" w:rsidP="00254D66">
      <w:pPr>
        <w:spacing w:line="240" w:lineRule="auto"/>
      </w:pPr>
      <w:r w:rsidRPr="00144BB0">
        <w:t xml:space="preserve">I december 2010 lade KOM fram ett förslag om att upphäva en rad rättsakter inom jordbruksområdet eftersom de har blivit obsoleta. Informella kontakter har ägt rum mellan rådet, Europaparlamentet och kommissionen i syfte att nå en överenskommelse vid första läsningen. SE kan stödja upphävandet av förordningarna. </w:t>
      </w:r>
    </w:p>
    <w:p w:rsidR="00116B5E" w:rsidRPr="00144BB0" w:rsidRDefault="00750107" w:rsidP="00116B5E">
      <w:pPr>
        <w:pStyle w:val="Rubrik2"/>
      </w:pPr>
      <w:bookmarkStart w:id="103" w:name="_Toc306779963"/>
      <w:r w:rsidRPr="00144BB0">
        <w:t>43</w:t>
      </w:r>
      <w:r w:rsidR="00254D66" w:rsidRPr="00144BB0">
        <w:t xml:space="preserve">. </w:t>
      </w:r>
      <w:r w:rsidR="00116B5E" w:rsidRPr="00144BB0">
        <w:t>Draft Council Regulation repealing Regulation (EEC) No 3448/80 on the implementation of Article 43 of the 1979 Act of Accession concerning the system of trade applicable to the goods covered by Regulations (EEC) No 3033/80 and (EEC) No 3035/80 = Adoption</w:t>
      </w:r>
      <w:bookmarkEnd w:id="103"/>
    </w:p>
    <w:p w:rsidR="00116B5E" w:rsidRPr="00144BB0" w:rsidRDefault="00116B5E" w:rsidP="00116B5E">
      <w:pPr>
        <w:spacing w:line="240" w:lineRule="auto"/>
        <w:rPr>
          <w:szCs w:val="24"/>
        </w:rPr>
      </w:pPr>
      <w:r w:rsidRPr="00144BB0">
        <w:rPr>
          <w:szCs w:val="24"/>
        </w:rPr>
        <w:t xml:space="preserve">14505/11 </w:t>
      </w:r>
    </w:p>
    <w:p w:rsidR="00116B5E" w:rsidRPr="00144BB0" w:rsidRDefault="00116B5E" w:rsidP="00116B5E">
      <w:pPr>
        <w:spacing w:line="240" w:lineRule="auto"/>
        <w:rPr>
          <w:szCs w:val="24"/>
        </w:rPr>
      </w:pPr>
    </w:p>
    <w:p w:rsidR="00116B5E" w:rsidRPr="00144BB0" w:rsidRDefault="00116B5E" w:rsidP="00116B5E">
      <w:pPr>
        <w:spacing w:line="240" w:lineRule="auto"/>
      </w:pPr>
      <w:r w:rsidRPr="00144BB0">
        <w:t xml:space="preserve">Ansvarigt </w:t>
      </w:r>
      <w:r w:rsidR="00750107" w:rsidRPr="00144BB0">
        <w:t>departement:</w:t>
      </w:r>
      <w:r w:rsidRPr="00144BB0">
        <w:t xml:space="preserve"> Landsbygdsdepartementet</w:t>
      </w:r>
    </w:p>
    <w:p w:rsidR="00750107" w:rsidRPr="00144BB0" w:rsidRDefault="00750107" w:rsidP="00116B5E">
      <w:pPr>
        <w:spacing w:line="240" w:lineRule="auto"/>
      </w:pPr>
    </w:p>
    <w:p w:rsidR="00750107" w:rsidRPr="00144BB0" w:rsidRDefault="00750107" w:rsidP="00116B5E">
      <w:pPr>
        <w:spacing w:line="240" w:lineRule="auto"/>
      </w:pPr>
      <w:r w:rsidRPr="00144BB0">
        <w:t>Ansvarigt statsråd: Eskil Erlandsson</w:t>
      </w:r>
    </w:p>
    <w:p w:rsidR="00116B5E" w:rsidRPr="00144BB0" w:rsidRDefault="00116B5E" w:rsidP="00116B5E">
      <w:pPr>
        <w:ind w:left="-1418"/>
        <w:rPr>
          <w:rFonts w:ascii="Garamond" w:hAnsi="Garamond"/>
          <w:b/>
        </w:rPr>
      </w:pPr>
    </w:p>
    <w:p w:rsidR="00116B5E" w:rsidRPr="00144BB0" w:rsidRDefault="00116B5E" w:rsidP="00116B5E">
      <w:pPr>
        <w:spacing w:line="240" w:lineRule="auto"/>
      </w:pPr>
      <w:r w:rsidRPr="00144BB0">
        <w:t xml:space="preserve">I december 2010 lade KOM fram ett förslag om att upphäva rådets förordning (EEG) nr 3448/80 som innehåller övergångsbestämmelser för perioden från och med den 1 november 1981 till och med den 31 juli 1982 för handel mellan EG och Grekland med varor som inte omfattas av bilaga I (bearbetade jordbruksprodukter). Bakgrunden till upphävande är att förordningen uppenbarligen har blivit obsolet. SE kan stödja upphävandet av förordningen. </w:t>
      </w:r>
    </w:p>
    <w:p w:rsidR="00116B5E" w:rsidRPr="00144BB0" w:rsidRDefault="00116B5E" w:rsidP="00116B5E">
      <w:pPr>
        <w:spacing w:line="240" w:lineRule="auto"/>
      </w:pPr>
    </w:p>
    <w:p w:rsidR="00116B5E" w:rsidRPr="00144BB0" w:rsidRDefault="00116B5E" w:rsidP="00116B5E">
      <w:pPr>
        <w:spacing w:line="240" w:lineRule="auto"/>
        <w:rPr>
          <w:rFonts w:ascii="Times New Roman" w:hAnsi="Times New Roman"/>
        </w:rPr>
      </w:pPr>
    </w:p>
    <w:p w:rsidR="00116B5E" w:rsidRPr="00144BB0" w:rsidRDefault="00116B5E" w:rsidP="00116B5E">
      <w:pPr>
        <w:spacing w:line="240" w:lineRule="auto"/>
      </w:pPr>
    </w:p>
    <w:p w:rsidR="005F1820" w:rsidRPr="00144BB0" w:rsidRDefault="005F1820">
      <w:pPr>
        <w:pStyle w:val="RKnormal"/>
        <w:tabs>
          <w:tab w:val="clear" w:pos="1843"/>
          <w:tab w:val="left" w:pos="0"/>
        </w:tabs>
        <w:ind w:left="0"/>
      </w:pPr>
    </w:p>
    <w:sectPr w:rsidR="005F1820" w:rsidRPr="00144BB0">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0A7" w:rsidRPr="00144BB0" w:rsidRDefault="00B900A7">
      <w:r w:rsidRPr="00144BB0">
        <w:separator/>
      </w:r>
    </w:p>
  </w:endnote>
  <w:endnote w:type="continuationSeparator" w:id="0">
    <w:p w:rsidR="00B900A7" w:rsidRPr="00144BB0" w:rsidRDefault="00B900A7">
      <w:r w:rsidRPr="00144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7" w:rsidRPr="00144BB0" w:rsidRDefault="00A96237">
    <w:pPr>
      <w:pStyle w:val="Sidfot"/>
      <w:framePr w:wrap="around" w:vAnchor="text" w:hAnchor="margin" w:xAlign="right" w:y="1"/>
      <w:rPr>
        <w:rStyle w:val="Sidnummer"/>
        <w:sz w:val="16"/>
      </w:rPr>
    </w:pPr>
    <w:r w:rsidRPr="00144BB0">
      <w:rPr>
        <w:rStyle w:val="Sidnummer"/>
        <w:sz w:val="16"/>
      </w:rPr>
      <w:fldChar w:fldCharType="begin" w:fldLock="1"/>
    </w:r>
    <w:r w:rsidRPr="00144BB0">
      <w:rPr>
        <w:rStyle w:val="Sidnummer"/>
        <w:sz w:val="16"/>
      </w:rPr>
      <w:instrText xml:space="preserve">PAGE  </w:instrText>
    </w:r>
    <w:r w:rsidRPr="00144BB0">
      <w:rPr>
        <w:rStyle w:val="Sidnummer"/>
        <w:sz w:val="16"/>
      </w:rPr>
      <w:fldChar w:fldCharType="separate"/>
    </w:r>
    <w:r w:rsidR="00D347C8" w:rsidRPr="00144BB0">
      <w:rPr>
        <w:rStyle w:val="Sidnummer"/>
        <w:sz w:val="16"/>
      </w:rPr>
      <w:t>8</w:t>
    </w:r>
    <w:r w:rsidRPr="00144BB0">
      <w:rPr>
        <w:rStyle w:val="Sidnummer"/>
        <w:sz w:val="16"/>
      </w:rPr>
      <w:fldChar w:fldCharType="end"/>
    </w:r>
    <w:r w:rsidRPr="00144BB0">
      <w:rPr>
        <w:rStyle w:val="Sidnummer"/>
        <w:sz w:val="16"/>
      </w:rPr>
      <w:t>(</w:t>
    </w:r>
    <w:r w:rsidRPr="00144BB0">
      <w:rPr>
        <w:rStyle w:val="Sidnummer"/>
        <w:sz w:val="16"/>
      </w:rPr>
      <w:fldChar w:fldCharType="begin" w:fldLock="1"/>
    </w:r>
    <w:r w:rsidRPr="00144BB0">
      <w:rPr>
        <w:rStyle w:val="Sidnummer"/>
        <w:sz w:val="16"/>
      </w:rPr>
      <w:instrText xml:space="preserve"> NUMPAGES </w:instrText>
    </w:r>
    <w:r w:rsidRPr="00144BB0">
      <w:rPr>
        <w:rStyle w:val="Sidnummer"/>
        <w:sz w:val="16"/>
      </w:rPr>
      <w:fldChar w:fldCharType="separate"/>
    </w:r>
    <w:r w:rsidR="00D55E22" w:rsidRPr="00144BB0">
      <w:rPr>
        <w:rStyle w:val="Sidnummer"/>
        <w:sz w:val="16"/>
      </w:rPr>
      <w:t>30</w:t>
    </w:r>
    <w:r w:rsidRPr="00144BB0">
      <w:rPr>
        <w:rStyle w:val="Sidnummer"/>
        <w:sz w:val="16"/>
      </w:rPr>
      <w:fldChar w:fldCharType="end"/>
    </w:r>
    <w:r w:rsidRPr="00144BB0">
      <w:rPr>
        <w:rStyle w:val="Sidnummer"/>
        <w:sz w:val="16"/>
      </w:rPr>
      <w:t>)</w:t>
    </w:r>
  </w:p>
  <w:p w:rsidR="00A96237" w:rsidRPr="00144BB0" w:rsidRDefault="00A9623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7" w:rsidRPr="00144BB0" w:rsidRDefault="00A96237">
    <w:pPr>
      <w:pStyle w:val="Sidfot"/>
      <w:framePr w:wrap="around" w:vAnchor="text" w:hAnchor="margin" w:xAlign="right" w:y="1"/>
      <w:rPr>
        <w:rStyle w:val="Sidnummer"/>
        <w:sz w:val="16"/>
      </w:rPr>
    </w:pPr>
    <w:r w:rsidRPr="00144BB0">
      <w:rPr>
        <w:rStyle w:val="Sidnummer"/>
        <w:sz w:val="16"/>
      </w:rPr>
      <w:fldChar w:fldCharType="begin" w:fldLock="1"/>
    </w:r>
    <w:r w:rsidRPr="00144BB0">
      <w:rPr>
        <w:rStyle w:val="Sidnummer"/>
        <w:sz w:val="16"/>
      </w:rPr>
      <w:instrText xml:space="preserve">PAGE  </w:instrText>
    </w:r>
    <w:r w:rsidRPr="00144BB0">
      <w:rPr>
        <w:rStyle w:val="Sidnummer"/>
        <w:sz w:val="16"/>
      </w:rPr>
      <w:fldChar w:fldCharType="separate"/>
    </w:r>
    <w:r w:rsidR="00D347C8" w:rsidRPr="00144BB0">
      <w:rPr>
        <w:rStyle w:val="Sidnummer"/>
        <w:sz w:val="16"/>
      </w:rPr>
      <w:t>1</w:t>
    </w:r>
    <w:r w:rsidRPr="00144BB0">
      <w:rPr>
        <w:rStyle w:val="Sidnummer"/>
        <w:sz w:val="16"/>
      </w:rPr>
      <w:fldChar w:fldCharType="end"/>
    </w:r>
    <w:r w:rsidRPr="00144BB0">
      <w:rPr>
        <w:rStyle w:val="Sidnummer"/>
        <w:sz w:val="16"/>
      </w:rPr>
      <w:t>(</w:t>
    </w:r>
    <w:r w:rsidRPr="00144BB0">
      <w:rPr>
        <w:rStyle w:val="Sidnummer"/>
        <w:sz w:val="16"/>
      </w:rPr>
      <w:fldChar w:fldCharType="begin" w:fldLock="1"/>
    </w:r>
    <w:r w:rsidRPr="00144BB0">
      <w:rPr>
        <w:rStyle w:val="Sidnummer"/>
        <w:sz w:val="16"/>
      </w:rPr>
      <w:instrText xml:space="preserve"> NUMPAGES </w:instrText>
    </w:r>
    <w:r w:rsidRPr="00144BB0">
      <w:rPr>
        <w:rStyle w:val="Sidnummer"/>
        <w:sz w:val="16"/>
      </w:rPr>
      <w:fldChar w:fldCharType="separate"/>
    </w:r>
    <w:r w:rsidR="00D55E22" w:rsidRPr="00144BB0">
      <w:rPr>
        <w:rStyle w:val="Sidnummer"/>
        <w:sz w:val="16"/>
      </w:rPr>
      <w:t>30</w:t>
    </w:r>
    <w:r w:rsidRPr="00144BB0">
      <w:rPr>
        <w:rStyle w:val="Sidnummer"/>
        <w:sz w:val="16"/>
      </w:rPr>
      <w:fldChar w:fldCharType="end"/>
    </w:r>
    <w:r w:rsidRPr="00144BB0">
      <w:rPr>
        <w:rStyle w:val="Sidnummer"/>
        <w:sz w:val="16"/>
      </w:rPr>
      <w:t>)</w:t>
    </w:r>
  </w:p>
  <w:p w:rsidR="00A96237" w:rsidRPr="00144BB0" w:rsidRDefault="00A9623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0A7" w:rsidRPr="00144BB0" w:rsidRDefault="00B900A7">
      <w:r w:rsidRPr="00144BB0">
        <w:separator/>
      </w:r>
    </w:p>
  </w:footnote>
  <w:footnote w:type="continuationSeparator" w:id="0">
    <w:p w:rsidR="00B900A7" w:rsidRPr="00144BB0" w:rsidRDefault="00B900A7">
      <w:r w:rsidRPr="00144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7" w:rsidRPr="00144BB0" w:rsidRDefault="00A96237">
    <w:pPr>
      <w:pStyle w:val="Sidhuvud"/>
      <w:framePr w:wrap="around" w:vAnchor="text" w:hAnchor="margin" w:xAlign="right" w:y="1"/>
      <w:rPr>
        <w:rStyle w:val="Sidnummer"/>
      </w:rPr>
    </w:pPr>
  </w:p>
  <w:p w:rsidR="00A96237" w:rsidRPr="00144BB0" w:rsidRDefault="00A96237">
    <w:pPr>
      <w:pStyle w:val="Sidhuvud"/>
      <w:ind w:right="360"/>
    </w:pPr>
  </w:p>
  <w:p w:rsidR="00A96237" w:rsidRPr="00144BB0" w:rsidRDefault="00A9623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7" w:rsidRPr="00144BB0" w:rsidRDefault="00144BB0">
    <w:pPr>
      <w:framePr w:w="2948" w:h="1321" w:hRule="exact" w:wrap="notBeside" w:vAnchor="page" w:hAnchor="page" w:x="1362" w:y="653"/>
    </w:pPr>
    <w:r w:rsidRPr="00144BB0">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A96237" w:rsidRPr="00144BB0" w:rsidRDefault="00A96237">
    <w:pPr>
      <w:pStyle w:val="Sidhuvud"/>
    </w:pPr>
  </w:p>
  <w:p w:rsidR="00A96237" w:rsidRPr="00144BB0" w:rsidRDefault="00A96237">
    <w:pPr>
      <w:pStyle w:val="Sidhuvud"/>
      <w:ind w:right="360"/>
    </w:pPr>
  </w:p>
  <w:p w:rsidR="00A96237" w:rsidRPr="00144BB0" w:rsidRDefault="00A9623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237" w:rsidRPr="00144BB0" w:rsidRDefault="00144BB0">
    <w:pPr>
      <w:framePr w:w="2948" w:h="1321" w:hRule="exact" w:wrap="notBeside" w:vAnchor="page" w:hAnchor="page" w:x="1362" w:y="653"/>
    </w:pPr>
    <w:r w:rsidRPr="00144BB0">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96237" w:rsidRPr="00144BB0" w:rsidRDefault="00A96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770205899">
    <w:abstractNumId w:val="10"/>
  </w:num>
  <w:num w:numId="2" w16cid:durableId="166096845">
    <w:abstractNumId w:val="8"/>
  </w:num>
  <w:num w:numId="3" w16cid:durableId="1750032048">
    <w:abstractNumId w:val="4"/>
  </w:num>
  <w:num w:numId="4" w16cid:durableId="1656493769">
    <w:abstractNumId w:val="9"/>
  </w:num>
  <w:num w:numId="5" w16cid:durableId="1170097893">
    <w:abstractNumId w:val="0"/>
  </w:num>
  <w:num w:numId="6" w16cid:durableId="159741783">
    <w:abstractNumId w:val="1"/>
  </w:num>
  <w:num w:numId="7" w16cid:durableId="694959081">
    <w:abstractNumId w:val="6"/>
  </w:num>
  <w:num w:numId="8" w16cid:durableId="437682156">
    <w:abstractNumId w:val="2"/>
  </w:num>
  <w:num w:numId="9" w16cid:durableId="1599674988">
    <w:abstractNumId w:val="3"/>
  </w:num>
  <w:num w:numId="10" w16cid:durableId="1630088041">
    <w:abstractNumId w:val="5"/>
  </w:num>
  <w:num w:numId="11" w16cid:durableId="31919045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114F"/>
    <w:rsid w:val="0002565D"/>
    <w:rsid w:val="000732C7"/>
    <w:rsid w:val="00116B5E"/>
    <w:rsid w:val="00144BB0"/>
    <w:rsid w:val="001F499C"/>
    <w:rsid w:val="00202489"/>
    <w:rsid w:val="00254D66"/>
    <w:rsid w:val="00287FC6"/>
    <w:rsid w:val="002C7FFD"/>
    <w:rsid w:val="00337CB6"/>
    <w:rsid w:val="003B56D5"/>
    <w:rsid w:val="003C211E"/>
    <w:rsid w:val="003E6CBB"/>
    <w:rsid w:val="00402DC0"/>
    <w:rsid w:val="004B62D7"/>
    <w:rsid w:val="00526241"/>
    <w:rsid w:val="0059585D"/>
    <w:rsid w:val="005A23F9"/>
    <w:rsid w:val="005C212F"/>
    <w:rsid w:val="005F1820"/>
    <w:rsid w:val="005F71A0"/>
    <w:rsid w:val="0069114F"/>
    <w:rsid w:val="006D1502"/>
    <w:rsid w:val="00750107"/>
    <w:rsid w:val="0082014F"/>
    <w:rsid w:val="008437F0"/>
    <w:rsid w:val="00847B54"/>
    <w:rsid w:val="008B6384"/>
    <w:rsid w:val="008C34D4"/>
    <w:rsid w:val="008E23EA"/>
    <w:rsid w:val="00927CE6"/>
    <w:rsid w:val="00936272"/>
    <w:rsid w:val="00A033E5"/>
    <w:rsid w:val="00A72123"/>
    <w:rsid w:val="00A96237"/>
    <w:rsid w:val="00AD0BAF"/>
    <w:rsid w:val="00AF0928"/>
    <w:rsid w:val="00B343C4"/>
    <w:rsid w:val="00B343FF"/>
    <w:rsid w:val="00B900A7"/>
    <w:rsid w:val="00BA6B91"/>
    <w:rsid w:val="00BC2B18"/>
    <w:rsid w:val="00C2178B"/>
    <w:rsid w:val="00CD2108"/>
    <w:rsid w:val="00D347C8"/>
    <w:rsid w:val="00D55E22"/>
    <w:rsid w:val="00D90A8F"/>
    <w:rsid w:val="00E2377A"/>
    <w:rsid w:val="00EC3C7C"/>
    <w:rsid w:val="00ED5DCC"/>
    <w:rsid w:val="00F056A7"/>
    <w:rsid w:val="00F15961"/>
    <w:rsid w:val="00FF0099"/>
    <w:rsid w:val="00FF5F5F"/>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FD8EF-0DAC-4F34-8109-EAA53C8C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ubrik2Char">
    <w:name w:val="Rubrik 2 Char"/>
    <w:basedOn w:val="Standardstycketeckensnitt"/>
    <w:link w:val="Rubrik2"/>
    <w:locked/>
    <w:rsid w:val="00116B5E"/>
    <w:rPr>
      <w:rFonts w:ascii="Arial" w:hAnsi="Arial" w:cs="Arial"/>
      <w:b/>
      <w:i/>
      <w:iCs/>
      <w:kern w:val="28"/>
      <w:sz w:val="24"/>
      <w:lang w:val="sv-SE" w:eastAsia="en-US" w:bidi="ar-SA"/>
    </w:rPr>
  </w:style>
  <w:style w:type="character" w:customStyle="1" w:styleId="RKnormalChar">
    <w:name w:val="RKnormal Char"/>
    <w:basedOn w:val="Standardstycketeckensnitt"/>
    <w:link w:val="RKnormal"/>
    <w:locked/>
    <w:rsid w:val="00116B5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7064</Words>
  <Characters>43234</Characters>
  <Application>Microsoft Office Word</Application>
  <DocSecurity>4</DocSecurity>
  <Lines>1168</Lines>
  <Paragraphs>441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49857</CharactersWithSpaces>
  <SharedDoc>false</SharedDoc>
  <HLinks>
    <vt:vector size="294" baseType="variant">
      <vt:variant>
        <vt:i4>2031675</vt:i4>
      </vt:variant>
      <vt:variant>
        <vt:i4>290</vt:i4>
      </vt:variant>
      <vt:variant>
        <vt:i4>0</vt:i4>
      </vt:variant>
      <vt:variant>
        <vt:i4>5</vt:i4>
      </vt:variant>
      <vt:variant>
        <vt:lpwstr/>
      </vt:variant>
      <vt:variant>
        <vt:lpwstr>_Toc306779963</vt:lpwstr>
      </vt:variant>
      <vt:variant>
        <vt:i4>2031675</vt:i4>
      </vt:variant>
      <vt:variant>
        <vt:i4>284</vt:i4>
      </vt:variant>
      <vt:variant>
        <vt:i4>0</vt:i4>
      </vt:variant>
      <vt:variant>
        <vt:i4>5</vt:i4>
      </vt:variant>
      <vt:variant>
        <vt:lpwstr/>
      </vt:variant>
      <vt:variant>
        <vt:lpwstr>_Toc306779962</vt:lpwstr>
      </vt:variant>
      <vt:variant>
        <vt:i4>2031675</vt:i4>
      </vt:variant>
      <vt:variant>
        <vt:i4>278</vt:i4>
      </vt:variant>
      <vt:variant>
        <vt:i4>0</vt:i4>
      </vt:variant>
      <vt:variant>
        <vt:i4>5</vt:i4>
      </vt:variant>
      <vt:variant>
        <vt:lpwstr/>
      </vt:variant>
      <vt:variant>
        <vt:lpwstr>_Toc306779961</vt:lpwstr>
      </vt:variant>
      <vt:variant>
        <vt:i4>2031675</vt:i4>
      </vt:variant>
      <vt:variant>
        <vt:i4>272</vt:i4>
      </vt:variant>
      <vt:variant>
        <vt:i4>0</vt:i4>
      </vt:variant>
      <vt:variant>
        <vt:i4>5</vt:i4>
      </vt:variant>
      <vt:variant>
        <vt:lpwstr/>
      </vt:variant>
      <vt:variant>
        <vt:lpwstr>_Toc306779960</vt:lpwstr>
      </vt:variant>
      <vt:variant>
        <vt:i4>1835067</vt:i4>
      </vt:variant>
      <vt:variant>
        <vt:i4>266</vt:i4>
      </vt:variant>
      <vt:variant>
        <vt:i4>0</vt:i4>
      </vt:variant>
      <vt:variant>
        <vt:i4>5</vt:i4>
      </vt:variant>
      <vt:variant>
        <vt:lpwstr/>
      </vt:variant>
      <vt:variant>
        <vt:lpwstr>_Toc306779959</vt:lpwstr>
      </vt:variant>
      <vt:variant>
        <vt:i4>1835067</vt:i4>
      </vt:variant>
      <vt:variant>
        <vt:i4>260</vt:i4>
      </vt:variant>
      <vt:variant>
        <vt:i4>0</vt:i4>
      </vt:variant>
      <vt:variant>
        <vt:i4>5</vt:i4>
      </vt:variant>
      <vt:variant>
        <vt:lpwstr/>
      </vt:variant>
      <vt:variant>
        <vt:lpwstr>_Toc306779958</vt:lpwstr>
      </vt:variant>
      <vt:variant>
        <vt:i4>1835067</vt:i4>
      </vt:variant>
      <vt:variant>
        <vt:i4>254</vt:i4>
      </vt:variant>
      <vt:variant>
        <vt:i4>0</vt:i4>
      </vt:variant>
      <vt:variant>
        <vt:i4>5</vt:i4>
      </vt:variant>
      <vt:variant>
        <vt:lpwstr/>
      </vt:variant>
      <vt:variant>
        <vt:lpwstr>_Toc306779957</vt:lpwstr>
      </vt:variant>
      <vt:variant>
        <vt:i4>1835067</vt:i4>
      </vt:variant>
      <vt:variant>
        <vt:i4>248</vt:i4>
      </vt:variant>
      <vt:variant>
        <vt:i4>0</vt:i4>
      </vt:variant>
      <vt:variant>
        <vt:i4>5</vt:i4>
      </vt:variant>
      <vt:variant>
        <vt:lpwstr/>
      </vt:variant>
      <vt:variant>
        <vt:lpwstr>_Toc306779956</vt:lpwstr>
      </vt:variant>
      <vt:variant>
        <vt:i4>1835067</vt:i4>
      </vt:variant>
      <vt:variant>
        <vt:i4>242</vt:i4>
      </vt:variant>
      <vt:variant>
        <vt:i4>0</vt:i4>
      </vt:variant>
      <vt:variant>
        <vt:i4>5</vt:i4>
      </vt:variant>
      <vt:variant>
        <vt:lpwstr/>
      </vt:variant>
      <vt:variant>
        <vt:lpwstr>_Toc306779955</vt:lpwstr>
      </vt:variant>
      <vt:variant>
        <vt:i4>1835067</vt:i4>
      </vt:variant>
      <vt:variant>
        <vt:i4>236</vt:i4>
      </vt:variant>
      <vt:variant>
        <vt:i4>0</vt:i4>
      </vt:variant>
      <vt:variant>
        <vt:i4>5</vt:i4>
      </vt:variant>
      <vt:variant>
        <vt:lpwstr/>
      </vt:variant>
      <vt:variant>
        <vt:lpwstr>_Toc306779954</vt:lpwstr>
      </vt:variant>
      <vt:variant>
        <vt:i4>1835067</vt:i4>
      </vt:variant>
      <vt:variant>
        <vt:i4>230</vt:i4>
      </vt:variant>
      <vt:variant>
        <vt:i4>0</vt:i4>
      </vt:variant>
      <vt:variant>
        <vt:i4>5</vt:i4>
      </vt:variant>
      <vt:variant>
        <vt:lpwstr/>
      </vt:variant>
      <vt:variant>
        <vt:lpwstr>_Toc306779953</vt:lpwstr>
      </vt:variant>
      <vt:variant>
        <vt:i4>1835067</vt:i4>
      </vt:variant>
      <vt:variant>
        <vt:i4>224</vt:i4>
      </vt:variant>
      <vt:variant>
        <vt:i4>0</vt:i4>
      </vt:variant>
      <vt:variant>
        <vt:i4>5</vt:i4>
      </vt:variant>
      <vt:variant>
        <vt:lpwstr/>
      </vt:variant>
      <vt:variant>
        <vt:lpwstr>_Toc306779952</vt:lpwstr>
      </vt:variant>
      <vt:variant>
        <vt:i4>1835067</vt:i4>
      </vt:variant>
      <vt:variant>
        <vt:i4>218</vt:i4>
      </vt:variant>
      <vt:variant>
        <vt:i4>0</vt:i4>
      </vt:variant>
      <vt:variant>
        <vt:i4>5</vt:i4>
      </vt:variant>
      <vt:variant>
        <vt:lpwstr/>
      </vt:variant>
      <vt:variant>
        <vt:lpwstr>_Toc306779951</vt:lpwstr>
      </vt:variant>
      <vt:variant>
        <vt:i4>1835067</vt:i4>
      </vt:variant>
      <vt:variant>
        <vt:i4>212</vt:i4>
      </vt:variant>
      <vt:variant>
        <vt:i4>0</vt:i4>
      </vt:variant>
      <vt:variant>
        <vt:i4>5</vt:i4>
      </vt:variant>
      <vt:variant>
        <vt:lpwstr/>
      </vt:variant>
      <vt:variant>
        <vt:lpwstr>_Toc306779950</vt:lpwstr>
      </vt:variant>
      <vt:variant>
        <vt:i4>1900603</vt:i4>
      </vt:variant>
      <vt:variant>
        <vt:i4>206</vt:i4>
      </vt:variant>
      <vt:variant>
        <vt:i4>0</vt:i4>
      </vt:variant>
      <vt:variant>
        <vt:i4>5</vt:i4>
      </vt:variant>
      <vt:variant>
        <vt:lpwstr/>
      </vt:variant>
      <vt:variant>
        <vt:lpwstr>_Toc306779949</vt:lpwstr>
      </vt:variant>
      <vt:variant>
        <vt:i4>1900603</vt:i4>
      </vt:variant>
      <vt:variant>
        <vt:i4>200</vt:i4>
      </vt:variant>
      <vt:variant>
        <vt:i4>0</vt:i4>
      </vt:variant>
      <vt:variant>
        <vt:i4>5</vt:i4>
      </vt:variant>
      <vt:variant>
        <vt:lpwstr/>
      </vt:variant>
      <vt:variant>
        <vt:lpwstr>_Toc306779948</vt:lpwstr>
      </vt:variant>
      <vt:variant>
        <vt:i4>1900603</vt:i4>
      </vt:variant>
      <vt:variant>
        <vt:i4>194</vt:i4>
      </vt:variant>
      <vt:variant>
        <vt:i4>0</vt:i4>
      </vt:variant>
      <vt:variant>
        <vt:i4>5</vt:i4>
      </vt:variant>
      <vt:variant>
        <vt:lpwstr/>
      </vt:variant>
      <vt:variant>
        <vt:lpwstr>_Toc306779947</vt:lpwstr>
      </vt:variant>
      <vt:variant>
        <vt:i4>1900603</vt:i4>
      </vt:variant>
      <vt:variant>
        <vt:i4>188</vt:i4>
      </vt:variant>
      <vt:variant>
        <vt:i4>0</vt:i4>
      </vt:variant>
      <vt:variant>
        <vt:i4>5</vt:i4>
      </vt:variant>
      <vt:variant>
        <vt:lpwstr/>
      </vt:variant>
      <vt:variant>
        <vt:lpwstr>_Toc306779946</vt:lpwstr>
      </vt:variant>
      <vt:variant>
        <vt:i4>1900603</vt:i4>
      </vt:variant>
      <vt:variant>
        <vt:i4>182</vt:i4>
      </vt:variant>
      <vt:variant>
        <vt:i4>0</vt:i4>
      </vt:variant>
      <vt:variant>
        <vt:i4>5</vt:i4>
      </vt:variant>
      <vt:variant>
        <vt:lpwstr/>
      </vt:variant>
      <vt:variant>
        <vt:lpwstr>_Toc306779945</vt:lpwstr>
      </vt:variant>
      <vt:variant>
        <vt:i4>1900603</vt:i4>
      </vt:variant>
      <vt:variant>
        <vt:i4>176</vt:i4>
      </vt:variant>
      <vt:variant>
        <vt:i4>0</vt:i4>
      </vt:variant>
      <vt:variant>
        <vt:i4>5</vt:i4>
      </vt:variant>
      <vt:variant>
        <vt:lpwstr/>
      </vt:variant>
      <vt:variant>
        <vt:lpwstr>_Toc306779944</vt:lpwstr>
      </vt:variant>
      <vt:variant>
        <vt:i4>1900603</vt:i4>
      </vt:variant>
      <vt:variant>
        <vt:i4>170</vt:i4>
      </vt:variant>
      <vt:variant>
        <vt:i4>0</vt:i4>
      </vt:variant>
      <vt:variant>
        <vt:i4>5</vt:i4>
      </vt:variant>
      <vt:variant>
        <vt:lpwstr/>
      </vt:variant>
      <vt:variant>
        <vt:lpwstr>_Toc306779943</vt:lpwstr>
      </vt:variant>
      <vt:variant>
        <vt:i4>1900603</vt:i4>
      </vt:variant>
      <vt:variant>
        <vt:i4>164</vt:i4>
      </vt:variant>
      <vt:variant>
        <vt:i4>0</vt:i4>
      </vt:variant>
      <vt:variant>
        <vt:i4>5</vt:i4>
      </vt:variant>
      <vt:variant>
        <vt:lpwstr/>
      </vt:variant>
      <vt:variant>
        <vt:lpwstr>_Toc306779942</vt:lpwstr>
      </vt:variant>
      <vt:variant>
        <vt:i4>1900603</vt:i4>
      </vt:variant>
      <vt:variant>
        <vt:i4>158</vt:i4>
      </vt:variant>
      <vt:variant>
        <vt:i4>0</vt:i4>
      </vt:variant>
      <vt:variant>
        <vt:i4>5</vt:i4>
      </vt:variant>
      <vt:variant>
        <vt:lpwstr/>
      </vt:variant>
      <vt:variant>
        <vt:lpwstr>_Toc306779941</vt:lpwstr>
      </vt:variant>
      <vt:variant>
        <vt:i4>1900603</vt:i4>
      </vt:variant>
      <vt:variant>
        <vt:i4>152</vt:i4>
      </vt:variant>
      <vt:variant>
        <vt:i4>0</vt:i4>
      </vt:variant>
      <vt:variant>
        <vt:i4>5</vt:i4>
      </vt:variant>
      <vt:variant>
        <vt:lpwstr/>
      </vt:variant>
      <vt:variant>
        <vt:lpwstr>_Toc306779940</vt:lpwstr>
      </vt:variant>
      <vt:variant>
        <vt:i4>1703995</vt:i4>
      </vt:variant>
      <vt:variant>
        <vt:i4>146</vt:i4>
      </vt:variant>
      <vt:variant>
        <vt:i4>0</vt:i4>
      </vt:variant>
      <vt:variant>
        <vt:i4>5</vt:i4>
      </vt:variant>
      <vt:variant>
        <vt:lpwstr/>
      </vt:variant>
      <vt:variant>
        <vt:lpwstr>_Toc306779939</vt:lpwstr>
      </vt:variant>
      <vt:variant>
        <vt:i4>1703995</vt:i4>
      </vt:variant>
      <vt:variant>
        <vt:i4>140</vt:i4>
      </vt:variant>
      <vt:variant>
        <vt:i4>0</vt:i4>
      </vt:variant>
      <vt:variant>
        <vt:i4>5</vt:i4>
      </vt:variant>
      <vt:variant>
        <vt:lpwstr/>
      </vt:variant>
      <vt:variant>
        <vt:lpwstr>_Toc306779938</vt:lpwstr>
      </vt:variant>
      <vt:variant>
        <vt:i4>1703995</vt:i4>
      </vt:variant>
      <vt:variant>
        <vt:i4>134</vt:i4>
      </vt:variant>
      <vt:variant>
        <vt:i4>0</vt:i4>
      </vt:variant>
      <vt:variant>
        <vt:i4>5</vt:i4>
      </vt:variant>
      <vt:variant>
        <vt:lpwstr/>
      </vt:variant>
      <vt:variant>
        <vt:lpwstr>_Toc306779937</vt:lpwstr>
      </vt:variant>
      <vt:variant>
        <vt:i4>1703995</vt:i4>
      </vt:variant>
      <vt:variant>
        <vt:i4>128</vt:i4>
      </vt:variant>
      <vt:variant>
        <vt:i4>0</vt:i4>
      </vt:variant>
      <vt:variant>
        <vt:i4>5</vt:i4>
      </vt:variant>
      <vt:variant>
        <vt:lpwstr/>
      </vt:variant>
      <vt:variant>
        <vt:lpwstr>_Toc306779936</vt:lpwstr>
      </vt:variant>
      <vt:variant>
        <vt:i4>1703995</vt:i4>
      </vt:variant>
      <vt:variant>
        <vt:i4>122</vt:i4>
      </vt:variant>
      <vt:variant>
        <vt:i4>0</vt:i4>
      </vt:variant>
      <vt:variant>
        <vt:i4>5</vt:i4>
      </vt:variant>
      <vt:variant>
        <vt:lpwstr/>
      </vt:variant>
      <vt:variant>
        <vt:lpwstr>_Toc306779935</vt:lpwstr>
      </vt:variant>
      <vt:variant>
        <vt:i4>1703995</vt:i4>
      </vt:variant>
      <vt:variant>
        <vt:i4>116</vt:i4>
      </vt:variant>
      <vt:variant>
        <vt:i4>0</vt:i4>
      </vt:variant>
      <vt:variant>
        <vt:i4>5</vt:i4>
      </vt:variant>
      <vt:variant>
        <vt:lpwstr/>
      </vt:variant>
      <vt:variant>
        <vt:lpwstr>_Toc306779934</vt:lpwstr>
      </vt:variant>
      <vt:variant>
        <vt:i4>1703995</vt:i4>
      </vt:variant>
      <vt:variant>
        <vt:i4>110</vt:i4>
      </vt:variant>
      <vt:variant>
        <vt:i4>0</vt:i4>
      </vt:variant>
      <vt:variant>
        <vt:i4>5</vt:i4>
      </vt:variant>
      <vt:variant>
        <vt:lpwstr/>
      </vt:variant>
      <vt:variant>
        <vt:lpwstr>_Toc306779933</vt:lpwstr>
      </vt:variant>
      <vt:variant>
        <vt:i4>1703995</vt:i4>
      </vt:variant>
      <vt:variant>
        <vt:i4>104</vt:i4>
      </vt:variant>
      <vt:variant>
        <vt:i4>0</vt:i4>
      </vt:variant>
      <vt:variant>
        <vt:i4>5</vt:i4>
      </vt:variant>
      <vt:variant>
        <vt:lpwstr/>
      </vt:variant>
      <vt:variant>
        <vt:lpwstr>_Toc306779932</vt:lpwstr>
      </vt:variant>
      <vt:variant>
        <vt:i4>1703995</vt:i4>
      </vt:variant>
      <vt:variant>
        <vt:i4>98</vt:i4>
      </vt:variant>
      <vt:variant>
        <vt:i4>0</vt:i4>
      </vt:variant>
      <vt:variant>
        <vt:i4>5</vt:i4>
      </vt:variant>
      <vt:variant>
        <vt:lpwstr/>
      </vt:variant>
      <vt:variant>
        <vt:lpwstr>_Toc306779931</vt:lpwstr>
      </vt:variant>
      <vt:variant>
        <vt:i4>1703995</vt:i4>
      </vt:variant>
      <vt:variant>
        <vt:i4>92</vt:i4>
      </vt:variant>
      <vt:variant>
        <vt:i4>0</vt:i4>
      </vt:variant>
      <vt:variant>
        <vt:i4>5</vt:i4>
      </vt:variant>
      <vt:variant>
        <vt:lpwstr/>
      </vt:variant>
      <vt:variant>
        <vt:lpwstr>_Toc306779930</vt:lpwstr>
      </vt:variant>
      <vt:variant>
        <vt:i4>1769531</vt:i4>
      </vt:variant>
      <vt:variant>
        <vt:i4>86</vt:i4>
      </vt:variant>
      <vt:variant>
        <vt:i4>0</vt:i4>
      </vt:variant>
      <vt:variant>
        <vt:i4>5</vt:i4>
      </vt:variant>
      <vt:variant>
        <vt:lpwstr/>
      </vt:variant>
      <vt:variant>
        <vt:lpwstr>_Toc306779929</vt:lpwstr>
      </vt:variant>
      <vt:variant>
        <vt:i4>1769531</vt:i4>
      </vt:variant>
      <vt:variant>
        <vt:i4>80</vt:i4>
      </vt:variant>
      <vt:variant>
        <vt:i4>0</vt:i4>
      </vt:variant>
      <vt:variant>
        <vt:i4>5</vt:i4>
      </vt:variant>
      <vt:variant>
        <vt:lpwstr/>
      </vt:variant>
      <vt:variant>
        <vt:lpwstr>_Toc306779928</vt:lpwstr>
      </vt:variant>
      <vt:variant>
        <vt:i4>1769531</vt:i4>
      </vt:variant>
      <vt:variant>
        <vt:i4>74</vt:i4>
      </vt:variant>
      <vt:variant>
        <vt:i4>0</vt:i4>
      </vt:variant>
      <vt:variant>
        <vt:i4>5</vt:i4>
      </vt:variant>
      <vt:variant>
        <vt:lpwstr/>
      </vt:variant>
      <vt:variant>
        <vt:lpwstr>_Toc306779927</vt:lpwstr>
      </vt:variant>
      <vt:variant>
        <vt:i4>1769531</vt:i4>
      </vt:variant>
      <vt:variant>
        <vt:i4>68</vt:i4>
      </vt:variant>
      <vt:variant>
        <vt:i4>0</vt:i4>
      </vt:variant>
      <vt:variant>
        <vt:i4>5</vt:i4>
      </vt:variant>
      <vt:variant>
        <vt:lpwstr/>
      </vt:variant>
      <vt:variant>
        <vt:lpwstr>_Toc306779926</vt:lpwstr>
      </vt:variant>
      <vt:variant>
        <vt:i4>1769531</vt:i4>
      </vt:variant>
      <vt:variant>
        <vt:i4>62</vt:i4>
      </vt:variant>
      <vt:variant>
        <vt:i4>0</vt:i4>
      </vt:variant>
      <vt:variant>
        <vt:i4>5</vt:i4>
      </vt:variant>
      <vt:variant>
        <vt:lpwstr/>
      </vt:variant>
      <vt:variant>
        <vt:lpwstr>_Toc306779925</vt:lpwstr>
      </vt:variant>
      <vt:variant>
        <vt:i4>1769531</vt:i4>
      </vt:variant>
      <vt:variant>
        <vt:i4>56</vt:i4>
      </vt:variant>
      <vt:variant>
        <vt:i4>0</vt:i4>
      </vt:variant>
      <vt:variant>
        <vt:i4>5</vt:i4>
      </vt:variant>
      <vt:variant>
        <vt:lpwstr/>
      </vt:variant>
      <vt:variant>
        <vt:lpwstr>_Toc306779924</vt:lpwstr>
      </vt:variant>
      <vt:variant>
        <vt:i4>1769531</vt:i4>
      </vt:variant>
      <vt:variant>
        <vt:i4>50</vt:i4>
      </vt:variant>
      <vt:variant>
        <vt:i4>0</vt:i4>
      </vt:variant>
      <vt:variant>
        <vt:i4>5</vt:i4>
      </vt:variant>
      <vt:variant>
        <vt:lpwstr/>
      </vt:variant>
      <vt:variant>
        <vt:lpwstr>_Toc306779923</vt:lpwstr>
      </vt:variant>
      <vt:variant>
        <vt:i4>1769531</vt:i4>
      </vt:variant>
      <vt:variant>
        <vt:i4>44</vt:i4>
      </vt:variant>
      <vt:variant>
        <vt:i4>0</vt:i4>
      </vt:variant>
      <vt:variant>
        <vt:i4>5</vt:i4>
      </vt:variant>
      <vt:variant>
        <vt:lpwstr/>
      </vt:variant>
      <vt:variant>
        <vt:lpwstr>_Toc306779922</vt:lpwstr>
      </vt:variant>
      <vt:variant>
        <vt:i4>1769531</vt:i4>
      </vt:variant>
      <vt:variant>
        <vt:i4>38</vt:i4>
      </vt:variant>
      <vt:variant>
        <vt:i4>0</vt:i4>
      </vt:variant>
      <vt:variant>
        <vt:i4>5</vt:i4>
      </vt:variant>
      <vt:variant>
        <vt:lpwstr/>
      </vt:variant>
      <vt:variant>
        <vt:lpwstr>_Toc306779921</vt:lpwstr>
      </vt:variant>
      <vt:variant>
        <vt:i4>1769531</vt:i4>
      </vt:variant>
      <vt:variant>
        <vt:i4>32</vt:i4>
      </vt:variant>
      <vt:variant>
        <vt:i4>0</vt:i4>
      </vt:variant>
      <vt:variant>
        <vt:i4>5</vt:i4>
      </vt:variant>
      <vt:variant>
        <vt:lpwstr/>
      </vt:variant>
      <vt:variant>
        <vt:lpwstr>_Toc306779920</vt:lpwstr>
      </vt:variant>
      <vt:variant>
        <vt:i4>1572923</vt:i4>
      </vt:variant>
      <vt:variant>
        <vt:i4>26</vt:i4>
      </vt:variant>
      <vt:variant>
        <vt:i4>0</vt:i4>
      </vt:variant>
      <vt:variant>
        <vt:i4>5</vt:i4>
      </vt:variant>
      <vt:variant>
        <vt:lpwstr/>
      </vt:variant>
      <vt:variant>
        <vt:lpwstr>_Toc306779919</vt:lpwstr>
      </vt:variant>
      <vt:variant>
        <vt:i4>1572923</vt:i4>
      </vt:variant>
      <vt:variant>
        <vt:i4>20</vt:i4>
      </vt:variant>
      <vt:variant>
        <vt:i4>0</vt:i4>
      </vt:variant>
      <vt:variant>
        <vt:i4>5</vt:i4>
      </vt:variant>
      <vt:variant>
        <vt:lpwstr/>
      </vt:variant>
      <vt:variant>
        <vt:lpwstr>_Toc306779918</vt:lpwstr>
      </vt:variant>
      <vt:variant>
        <vt:i4>1572923</vt:i4>
      </vt:variant>
      <vt:variant>
        <vt:i4>14</vt:i4>
      </vt:variant>
      <vt:variant>
        <vt:i4>0</vt:i4>
      </vt:variant>
      <vt:variant>
        <vt:i4>5</vt:i4>
      </vt:variant>
      <vt:variant>
        <vt:lpwstr/>
      </vt:variant>
      <vt:variant>
        <vt:lpwstr>_Toc306779917</vt:lpwstr>
      </vt:variant>
      <vt:variant>
        <vt:i4>1572923</vt:i4>
      </vt:variant>
      <vt:variant>
        <vt:i4>8</vt:i4>
      </vt:variant>
      <vt:variant>
        <vt:i4>0</vt:i4>
      </vt:variant>
      <vt:variant>
        <vt:i4>5</vt:i4>
      </vt:variant>
      <vt:variant>
        <vt:lpwstr/>
      </vt:variant>
      <vt:variant>
        <vt:lpwstr>_Toc306779916</vt:lpwstr>
      </vt:variant>
      <vt:variant>
        <vt:i4>1572923</vt:i4>
      </vt:variant>
      <vt:variant>
        <vt:i4>2</vt:i4>
      </vt:variant>
      <vt:variant>
        <vt:i4>0</vt:i4>
      </vt:variant>
      <vt:variant>
        <vt:i4>5</vt:i4>
      </vt:variant>
      <vt:variant>
        <vt:lpwstr/>
      </vt:variant>
      <vt:variant>
        <vt:lpwstr>_Toc306779915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2011-10-19T11:09:00Z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