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101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18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Joanna Lewerentz (M) </w:t>
            </w:r>
            <w:r>
              <w:rPr>
                <w:rtl w:val="0"/>
              </w:rPr>
              <w:t>som suppleant i utrikesutskottet fr.o.m. den 22 april t.o.m. den 1 december under Magdalena Thuressons (M) </w:t>
            </w:r>
            <w:r>
              <w:rPr>
                <w:rtl w:val="0"/>
              </w:rPr>
              <w:t>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2023/24:690 av Roger Hedlund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Tillkännagivandet om att inte tvångsansluta till va-nätet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2023/24:691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Tvångsanslutning till kommunalt avlopp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2023/24:RR4 Riksrevisionens redogörelse för granskningen av Årsredovisning för staten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2023/24:108 Bättre möjligheter att verkställa frihetsberövanden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2023/24:2844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2023/24:KU14 Riksdagens arbetsformer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2023/24:JuU23 Nationell strategi mot våldsbejakande extremism och terrorism – förebygga, förhindra, skydda och hantera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2023/24:JuU18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2023/24:SkU13 Punktskatt och tull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2023/24:SfU12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2023/24:JuU16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2023/24:JuU21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2023/24:CU9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2023/24:KrU6 Idrott och friluftsliv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2023/24:UbU14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Romina Pourmokhtari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Lotta Edholm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Justitieminister Gunnar Strömmer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Mats Persson (L)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18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2024-04-18</SAFIR_Sammantradesdatum_Doc>
    <SAFIR_SammantradeID xmlns="C07A1A6C-0B19-41D9-BDF8-F523BA3921EB">f3658cac-9d64-4cfb-a2bc-8225c37243eb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0705A90-49D1-4AE4-8048-DCCD33708E2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