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04082408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C15FDC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C15FDC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FF3440">
              <w:rPr>
                <w:b/>
              </w:rPr>
              <w:t>3</w:t>
            </w:r>
            <w:r w:rsidR="005028BE">
              <w:rPr>
                <w:b/>
              </w:rPr>
              <w:t>3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5EC68011" w:rsidR="0096348C" w:rsidRDefault="00EF70DA" w:rsidP="0096348C">
            <w:r>
              <w:t>20</w:t>
            </w:r>
            <w:r w:rsidR="00C3591B">
              <w:t>2</w:t>
            </w:r>
            <w:r w:rsidR="00004002">
              <w:t>4</w:t>
            </w:r>
            <w:r w:rsidR="009D6560">
              <w:t>-</w:t>
            </w:r>
            <w:r w:rsidR="00004002">
              <w:t>0</w:t>
            </w:r>
            <w:r w:rsidR="005028BE">
              <w:t>5</w:t>
            </w:r>
            <w:r w:rsidR="007A17C6">
              <w:t>-</w:t>
            </w:r>
            <w:r w:rsidR="005028BE">
              <w:t>02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4F11F50C" w:rsidR="00D12EAD" w:rsidRDefault="007A17C6" w:rsidP="0096348C">
            <w:r>
              <w:t>1</w:t>
            </w:r>
            <w:r w:rsidR="005028BE">
              <w:t>1</w:t>
            </w:r>
            <w:r>
              <w:t>.00</w:t>
            </w:r>
            <w:r w:rsidR="002C03CD">
              <w:t>-</w:t>
            </w:r>
            <w:r w:rsidR="0066354B">
              <w:t>11.35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028BE" w14:paraId="04E9C902" w14:textId="77777777" w:rsidTr="007E1B8E">
        <w:tc>
          <w:tcPr>
            <w:tcW w:w="567" w:type="dxa"/>
          </w:tcPr>
          <w:p w14:paraId="0ADFF8EB" w14:textId="1B4A406A" w:rsidR="005028BE" w:rsidRDefault="009760E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9450D8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6118E434" w14:textId="77777777" w:rsidR="005028BE" w:rsidRDefault="005028BE" w:rsidP="005028B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>
              <w:rPr>
                <w:b/>
              </w:rPr>
              <w:t>EU-i</w:t>
            </w:r>
            <w:r w:rsidRPr="00CC7C49">
              <w:rPr>
                <w:b/>
              </w:rPr>
              <w:t>nformation</w:t>
            </w:r>
          </w:p>
          <w:p w14:paraId="4D5D0731" w14:textId="6F69262B" w:rsidR="005028BE" w:rsidRDefault="009760E3" w:rsidP="009760E3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  <w:rPr>
                <w:b/>
              </w:rPr>
            </w:pPr>
            <w:r w:rsidRPr="00EA4A4C">
              <w:rPr>
                <w:bCs/>
              </w:rPr>
              <w:t>Statssekreterare Carolina Lindholm</w:t>
            </w:r>
            <w:r>
              <w:rPr>
                <w:bCs/>
              </w:rPr>
              <w:t xml:space="preserve"> med medarbetare från</w:t>
            </w:r>
            <w:r w:rsidRPr="00EA4A4C">
              <w:rPr>
                <w:bCs/>
              </w:rPr>
              <w:t xml:space="preserve"> Finansdepartementet</w:t>
            </w:r>
            <w:r w:rsidR="005F422B">
              <w:rPr>
                <w:bCs/>
              </w:rPr>
              <w:t xml:space="preserve"> informerade om aktuella EU-frågor inför </w:t>
            </w:r>
            <w:proofErr w:type="spellStart"/>
            <w:r w:rsidR="005F422B">
              <w:rPr>
                <w:bCs/>
              </w:rPr>
              <w:t>Ekofin</w:t>
            </w:r>
            <w:proofErr w:type="spellEnd"/>
            <w:r w:rsidR="005F422B">
              <w:rPr>
                <w:bCs/>
              </w:rPr>
              <w:t>-mötet den 14 maj: mervärdesskatt i den digitala tidsåldern (VIDA) och direktiv om snabbare och säkrare skattelättnad för överskjutande källskatt (FASTER).</w:t>
            </w:r>
          </w:p>
        </w:tc>
      </w:tr>
      <w:tr w:rsidR="005028BE" w14:paraId="6A19D507" w14:textId="77777777" w:rsidTr="007E1B8E">
        <w:tc>
          <w:tcPr>
            <w:tcW w:w="567" w:type="dxa"/>
          </w:tcPr>
          <w:p w14:paraId="037ECC5B" w14:textId="352FE8D4" w:rsidR="005028BE" w:rsidRDefault="009760E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9450D8">
              <w:rPr>
                <w:b/>
                <w:snapToGrid w:val="0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4406855D" w14:textId="734F74AC" w:rsidR="005028BE" w:rsidRDefault="009760E3" w:rsidP="00DD467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43239C">
              <w:rPr>
                <w:b/>
              </w:rPr>
              <w:t>Förslag till direktiv om att tillämpa hemviststatens skatteregler</w:t>
            </w:r>
          </w:p>
          <w:p w14:paraId="16E2043B" w14:textId="2FEA388F" w:rsidR="005028BE" w:rsidRDefault="00C95BBF" w:rsidP="009760E3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  <w:rPr>
                <w:bCs/>
              </w:rPr>
            </w:pPr>
            <w:r>
              <w:rPr>
                <w:bCs/>
              </w:rPr>
              <w:t>Utskottet överlade med</w:t>
            </w:r>
            <w:r w:rsidR="005F422B">
              <w:rPr>
                <w:bCs/>
              </w:rPr>
              <w:t xml:space="preserve"> </w:t>
            </w:r>
            <w:r>
              <w:rPr>
                <w:bCs/>
              </w:rPr>
              <w:t>s</w:t>
            </w:r>
            <w:r w:rsidR="009760E3" w:rsidRPr="00EA4A4C">
              <w:rPr>
                <w:bCs/>
              </w:rPr>
              <w:t>tatssekreterare Carolina Lindholm, Finansdepartementet</w:t>
            </w:r>
            <w:r>
              <w:rPr>
                <w:bCs/>
              </w:rPr>
              <w:t>.</w:t>
            </w:r>
          </w:p>
          <w:p w14:paraId="67685C1A" w14:textId="77777777" w:rsidR="00C95BBF" w:rsidRDefault="00C95BBF" w:rsidP="009760E3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  <w:rPr>
                <w:bCs/>
              </w:rPr>
            </w:pPr>
            <w:r>
              <w:rPr>
                <w:bCs/>
              </w:rPr>
              <w:t xml:space="preserve">Underlaget utgjordes av kommissionens förslag </w:t>
            </w:r>
            <w:proofErr w:type="gramStart"/>
            <w:r>
              <w:rPr>
                <w:bCs/>
              </w:rPr>
              <w:t>COM(</w:t>
            </w:r>
            <w:proofErr w:type="gramEnd"/>
            <w:r>
              <w:rPr>
                <w:bCs/>
              </w:rPr>
              <w:t>2023) 528 samt Regeringskansliet överläggningspromemoria daterad 29 april 2024 (dnr 183-2023/24).</w:t>
            </w:r>
          </w:p>
          <w:p w14:paraId="4214CC73" w14:textId="77777777" w:rsidR="00BF15F9" w:rsidRDefault="00C95BBF" w:rsidP="00BF15F9">
            <w:pPr>
              <w:widowControl/>
              <w:autoSpaceDE w:val="0"/>
              <w:autoSpaceDN w:val="0"/>
              <w:adjustRightInd w:val="0"/>
              <w:spacing w:after="240"/>
              <w:rPr>
                <w:bCs/>
              </w:rPr>
            </w:pPr>
            <w:r>
              <w:rPr>
                <w:bCs/>
              </w:rPr>
              <w:t xml:space="preserve">Statssekreteraren redogjorde för regeringens ståndpunkt i enlighet med </w:t>
            </w:r>
            <w:proofErr w:type="spellStart"/>
            <w:r>
              <w:rPr>
                <w:bCs/>
              </w:rPr>
              <w:t>överläggningspromemoiran</w:t>
            </w:r>
            <w:proofErr w:type="spellEnd"/>
            <w:r>
              <w:rPr>
                <w:bCs/>
              </w:rPr>
              <w:t>:</w:t>
            </w:r>
          </w:p>
          <w:p w14:paraId="647A6759" w14:textId="29CF817B" w:rsidR="00C95BBF" w:rsidRPr="00BF15F9" w:rsidRDefault="00C95BBF" w:rsidP="0081772D">
            <w:pPr>
              <w:widowControl/>
              <w:autoSpaceDE w:val="0"/>
              <w:autoSpaceDN w:val="0"/>
              <w:adjustRightInd w:val="0"/>
              <w:spacing w:after="120"/>
              <w:ind w:left="340"/>
              <w:rPr>
                <w:sz w:val="22"/>
                <w:szCs w:val="22"/>
              </w:rPr>
            </w:pPr>
            <w:r w:rsidRPr="00BF15F9">
              <w:rPr>
                <w:sz w:val="22"/>
                <w:szCs w:val="22"/>
              </w:rPr>
              <w:t>Sverige är negativt till förslaget på ett principiellt plan. Sverige anser att ett företags</w:t>
            </w:r>
            <w:r w:rsidR="00BF15F9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verksamhet som bedrivs i en medlemsstat bör beskattas enligt den statens skatteregler,</w:t>
            </w:r>
            <w:r w:rsidR="00BF15F9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oavsett var företaget har skatterättslig hemvist. Förslaget innebär att verksamhet som</w:t>
            </w:r>
            <w:r w:rsidR="00BF15F9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bedrivs i en medlemsstat genom ett fast driftställe inte längre kommer att beskattas på</w:t>
            </w:r>
            <w:r w:rsidR="00BF15F9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samma sätt som samma typ av verksamhet som bedrivs av ett företag hemmahörande i den</w:t>
            </w:r>
            <w:r w:rsidR="00BF15F9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medlemsstaten. Förslaget innebär därför ett avsteg från en grundläggande princip inom</w:t>
            </w:r>
            <w:r w:rsidR="00BF15F9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internationell skatterätt som utgår från att ett fast driftställe ska beskattas i enlighet med</w:t>
            </w:r>
            <w:r w:rsidR="00BF15F9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reglerna i det land där verksamheten bedrivs. Detta riskerar bl.a. att snedvrida</w:t>
            </w:r>
            <w:r w:rsidR="00BF15F9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konkurrensen på etableringsstatens marknad. På grund av förslagets närmare utformning,</w:t>
            </w:r>
            <w:r w:rsidR="0081772D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där ett företag inte kan omfattas om dess omsättning på den utländska marknad där det</w:t>
            </w:r>
            <w:r w:rsidR="0081772D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fasta driftstället är beläget kraftigt överstiger företagets omsättning i hemviststaten, finns</w:t>
            </w:r>
            <w:r w:rsidR="0081772D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det dessutom en risk för att företag med hemvist i medlemsstater med en mindre marknad</w:t>
            </w:r>
            <w:r w:rsidR="0081772D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inte kommer att kunna utnyttja den valmöjlighet som direktivet ger i samma utsträckning</w:t>
            </w:r>
            <w:r w:rsidR="0081772D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som företag hemmahörande i en medlemsstat med en större hemmamarknad. Förslaget</w:t>
            </w:r>
            <w:r w:rsidR="0081772D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kan även komma att bidra till ett mer komplicerat förfarande för uppbörd av</w:t>
            </w:r>
            <w:r w:rsidR="0081772D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inkomstskatt från fasta driftställen.</w:t>
            </w:r>
          </w:p>
          <w:p w14:paraId="6A37DCD5" w14:textId="17C83D39" w:rsidR="00C95BBF" w:rsidRDefault="00C95BBF" w:rsidP="0081772D">
            <w:pPr>
              <w:widowControl/>
              <w:autoSpaceDE w:val="0"/>
              <w:autoSpaceDN w:val="0"/>
              <w:adjustRightInd w:val="0"/>
              <w:spacing w:after="120"/>
              <w:ind w:left="340"/>
              <w:rPr>
                <w:sz w:val="22"/>
                <w:szCs w:val="22"/>
              </w:rPr>
            </w:pPr>
            <w:r w:rsidRPr="00BF15F9">
              <w:rPr>
                <w:sz w:val="22"/>
                <w:szCs w:val="22"/>
              </w:rPr>
              <w:t>Sverige anser generellt att det är lämpligt och viktigt att arbeta för att förenkla</w:t>
            </w:r>
            <w:r w:rsidR="0081772D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beskattningsreglerna för mindre företag. Förenklingar för de skattskyldiga bör dock inte</w:t>
            </w:r>
            <w:r w:rsidR="0081772D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 xml:space="preserve">innebära en oproportionerlig ökning av de </w:t>
            </w:r>
            <w:r w:rsidRPr="00BF15F9">
              <w:rPr>
                <w:sz w:val="22"/>
                <w:szCs w:val="22"/>
              </w:rPr>
              <w:lastRenderedPageBreak/>
              <w:t>administrativa kostnaderna för berörda</w:t>
            </w:r>
            <w:r w:rsidR="0081772D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skattemyndigheter. Det är viktigt att det administrativa samarbetet mellan</w:t>
            </w:r>
            <w:r w:rsidR="0081772D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medlemsstaterna har en rimlig balans mellan komplexitet och effektivitet. Reglerna bör</w:t>
            </w:r>
            <w:r w:rsidR="0081772D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vara förutsebara, proportionerliga och träffsäkra utifrån syftet. Nyttan av att ha</w:t>
            </w:r>
            <w:r w:rsidR="0081772D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harmoniserade regler måste vägas mot medlemsstaternas befogenheter och möjligheten att</w:t>
            </w:r>
            <w:r w:rsidR="0081772D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kunna införa och behålla egna nationella regler.</w:t>
            </w:r>
          </w:p>
          <w:p w14:paraId="15023231" w14:textId="47888005" w:rsidR="00C95BBF" w:rsidRPr="00BF15F9" w:rsidRDefault="00C95BBF" w:rsidP="0081772D">
            <w:pPr>
              <w:widowControl/>
              <w:autoSpaceDE w:val="0"/>
              <w:autoSpaceDN w:val="0"/>
              <w:adjustRightInd w:val="0"/>
              <w:spacing w:after="120"/>
              <w:ind w:left="340"/>
              <w:rPr>
                <w:sz w:val="22"/>
                <w:szCs w:val="22"/>
              </w:rPr>
            </w:pPr>
            <w:r w:rsidRPr="00BF15F9">
              <w:rPr>
                <w:sz w:val="22"/>
                <w:szCs w:val="22"/>
              </w:rPr>
              <w:t>Sverige ställer sig frågande till i vilken utsträckning det presenterade förslaget verkligen</w:t>
            </w:r>
            <w:r w:rsidR="0081772D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innebär en förenkling för berörda företag. En valfri beskattningsmodell i enlighet med</w:t>
            </w:r>
            <w:r w:rsidR="0081772D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kommissionens förslag synes i stället riskera att ge upphov till komplicerade skattemässiga</w:t>
            </w:r>
            <w:r w:rsidR="0081772D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bedömningar innan företaget etablerar sig i en annan medlemsstat. Förslaget innebär</w:t>
            </w:r>
            <w:r w:rsidR="0081772D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ökade möjligheter till skatteplanering, där den skattskyldige kan välja mellan olika</w:t>
            </w:r>
            <w:r w:rsidR="0081772D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beskattningsmodeller genom att etablera sig via ett fast driftställe och välja hemviststatens</w:t>
            </w:r>
            <w:r w:rsidR="0081772D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skatteregler eller att etablera sig via ett fast driftställe och välja etableringsstatens regler.</w:t>
            </w:r>
            <w:r w:rsidR="0081772D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En annan omständighet som minskar förenklingseffekten är den allmänna</w:t>
            </w:r>
            <w:r w:rsidR="0081772D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bokföringsskyldighet som gäller för alla utländska företag som bedriver verksamhet genom</w:t>
            </w:r>
            <w:r w:rsidR="0081772D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en filial i Sverige samt att företaget fortsatt även kan behöva sköta redovisning av</w:t>
            </w:r>
            <w:r w:rsidR="0081772D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arbetsgivaravgifter och preliminärskatteavdrag i Sverige. Att förslaget har en tveksam</w:t>
            </w:r>
            <w:r w:rsidR="0081772D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förenklingspotential måste sättas i relation till en risk för ökning av administrationen vid</w:t>
            </w:r>
            <w:r w:rsidR="0081772D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förfarandet vid inkomstbeskattningen i hemviststaten. Baserat på den</w:t>
            </w:r>
            <w:r w:rsidR="0081772D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konsekvens</w:t>
            </w:r>
            <w:r w:rsidR="005F422B">
              <w:rPr>
                <w:sz w:val="22"/>
                <w:szCs w:val="22"/>
              </w:rPr>
              <w:t>-</w:t>
            </w:r>
            <w:r w:rsidRPr="00BF15F9">
              <w:rPr>
                <w:sz w:val="22"/>
                <w:szCs w:val="22"/>
              </w:rPr>
              <w:t>bedömning som kommissionen har presenterat och med hänsyn tagen till de</w:t>
            </w:r>
            <w:r w:rsidR="0081772D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brister som Sverige anser finns i förslaget, bedömer Sverige att förslaget inte är</w:t>
            </w:r>
            <w:r w:rsidR="0081772D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proportionellt sett till syftet. I stället uppstår en rad frågor om hur direktivet ska tolkas</w:t>
            </w:r>
            <w:r w:rsidR="0081772D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och tillämpas i enskilda fall.</w:t>
            </w:r>
          </w:p>
          <w:p w14:paraId="1BF0012C" w14:textId="66A6D894" w:rsidR="00C95BBF" w:rsidRDefault="00C95BBF" w:rsidP="0081772D">
            <w:pPr>
              <w:widowControl/>
              <w:autoSpaceDE w:val="0"/>
              <w:autoSpaceDN w:val="0"/>
              <w:adjustRightInd w:val="0"/>
              <w:spacing w:after="120"/>
              <w:ind w:left="340"/>
              <w:rPr>
                <w:sz w:val="22"/>
                <w:szCs w:val="22"/>
              </w:rPr>
            </w:pPr>
            <w:r w:rsidRPr="00BF15F9">
              <w:rPr>
                <w:sz w:val="22"/>
                <w:szCs w:val="22"/>
              </w:rPr>
              <w:t>Sammantaget är Sverige negativ till förslaget och anser att det har tydliga brister i</w:t>
            </w:r>
            <w:r w:rsidR="0081772D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träffsäkerhet och proportionalitet utifrån det angivna syftet. Förslaget riskerar att leda till</w:t>
            </w:r>
            <w:r w:rsidR="00BF15F9" w:rsidRPr="00BF15F9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en ökning av den administrativa komplexiteten som sannolikt inte motsvaras av en i vissa</w:t>
            </w:r>
            <w:r w:rsidR="00BF15F9" w:rsidRPr="00BF15F9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avseenden uppskattad förenkling för företagen. Vidare finns det en uppenbar risk att</w:t>
            </w:r>
            <w:r w:rsidR="00BF15F9" w:rsidRPr="00BF15F9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förslaget snedvrider konkurrensen mellan företag verksamma inom en och samma</w:t>
            </w:r>
            <w:r w:rsidR="00BF15F9" w:rsidRPr="00BF15F9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medlemsstat samt uppmuntrar till val av företagsform och etableringsstat utifrån önskemål</w:t>
            </w:r>
            <w:r w:rsidR="00BF15F9" w:rsidRPr="00BF15F9">
              <w:rPr>
                <w:sz w:val="22"/>
                <w:szCs w:val="22"/>
              </w:rPr>
              <w:t xml:space="preserve"> </w:t>
            </w:r>
            <w:r w:rsidRPr="00BF15F9">
              <w:rPr>
                <w:sz w:val="22"/>
                <w:szCs w:val="22"/>
              </w:rPr>
              <w:t>om skatteoptimering.</w:t>
            </w:r>
          </w:p>
          <w:p w14:paraId="37000B79" w14:textId="77777777" w:rsidR="00BF15F9" w:rsidRPr="0081772D" w:rsidRDefault="0081772D" w:rsidP="009450D8">
            <w:pPr>
              <w:widowControl/>
              <w:autoSpaceDE w:val="0"/>
              <w:autoSpaceDN w:val="0"/>
              <w:adjustRightInd w:val="0"/>
              <w:spacing w:before="240" w:after="240"/>
              <w:rPr>
                <w:szCs w:val="24"/>
              </w:rPr>
            </w:pPr>
            <w:r w:rsidRPr="0081772D">
              <w:rPr>
                <w:szCs w:val="24"/>
              </w:rPr>
              <w:t>Ordföranden konstaterade att det fanns stöd för regeringens ståndpunkt.</w:t>
            </w:r>
          </w:p>
          <w:p w14:paraId="32726858" w14:textId="45D3C374" w:rsidR="0081772D" w:rsidRPr="00BF15F9" w:rsidRDefault="0081772D" w:rsidP="009450D8">
            <w:pPr>
              <w:widowControl/>
              <w:autoSpaceDE w:val="0"/>
              <w:autoSpaceDN w:val="0"/>
              <w:adjustRightInd w:val="0"/>
              <w:spacing w:before="240" w:after="240"/>
              <w:rPr>
                <w:rFonts w:ascii="Garamond-Italic" w:hAnsi="Garamond-Italic" w:cs="Garamond-Italic"/>
                <w:i/>
                <w:iCs/>
                <w:sz w:val="25"/>
                <w:szCs w:val="25"/>
              </w:rPr>
            </w:pPr>
            <w:r w:rsidRPr="0081772D">
              <w:rPr>
                <w:szCs w:val="24"/>
              </w:rPr>
              <w:t>Denna paragraf förklarades omedelbart justerad.</w:t>
            </w:r>
          </w:p>
        </w:tc>
      </w:tr>
      <w:tr w:rsidR="005028BE" w14:paraId="15A92866" w14:textId="77777777" w:rsidTr="007E1B8E">
        <w:tc>
          <w:tcPr>
            <w:tcW w:w="567" w:type="dxa"/>
          </w:tcPr>
          <w:p w14:paraId="5579BC42" w14:textId="4E9D40B1" w:rsidR="005028BE" w:rsidRDefault="009760E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9450D8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252D831B" w14:textId="77777777" w:rsidR="005028BE" w:rsidRDefault="009760E3" w:rsidP="00DD467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>
              <w:rPr>
                <w:b/>
              </w:rPr>
              <w:t>Biogas</w:t>
            </w:r>
          </w:p>
          <w:p w14:paraId="3A381C79" w14:textId="7013C30C" w:rsidR="009760E3" w:rsidRDefault="009760E3" w:rsidP="009760E3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  <w:rPr>
                <w:b/>
              </w:rPr>
            </w:pPr>
            <w:r w:rsidRPr="00EA4A4C">
              <w:rPr>
                <w:bCs/>
              </w:rPr>
              <w:t>Statssekreterare Carolina Lindholm</w:t>
            </w:r>
            <w:r>
              <w:rPr>
                <w:bCs/>
              </w:rPr>
              <w:t xml:space="preserve"> med medarbetare från</w:t>
            </w:r>
            <w:r w:rsidRPr="00EA4A4C">
              <w:rPr>
                <w:bCs/>
              </w:rPr>
              <w:t xml:space="preserve"> Finansdepartementet</w:t>
            </w:r>
            <w:r>
              <w:rPr>
                <w:bCs/>
              </w:rPr>
              <w:t xml:space="preserve"> informerade om </w:t>
            </w:r>
            <w:r w:rsidR="005F422B">
              <w:rPr>
                <w:bCs/>
              </w:rPr>
              <w:t xml:space="preserve">frågan rörande </w:t>
            </w:r>
            <w:r>
              <w:rPr>
                <w:bCs/>
              </w:rPr>
              <w:t>biogas och svarade på ledamöternas frågor.</w:t>
            </w:r>
          </w:p>
        </w:tc>
      </w:tr>
      <w:tr w:rsidR="00E356E9" w14:paraId="5D417394" w14:textId="77777777" w:rsidTr="007E1B8E">
        <w:tc>
          <w:tcPr>
            <w:tcW w:w="567" w:type="dxa"/>
          </w:tcPr>
          <w:p w14:paraId="1B5F086C" w14:textId="64B5DB76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450D8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1357B98B" w14:textId="5FDC446E" w:rsidR="00780544" w:rsidRDefault="00DD4673" w:rsidP="00DD467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Justering av protokoll</w:t>
            </w:r>
          </w:p>
          <w:p w14:paraId="27D2CE4F" w14:textId="39E376BB" w:rsidR="00AE1695" w:rsidRPr="007362D7" w:rsidRDefault="00DD4673" w:rsidP="00DD4673">
            <w:pPr>
              <w:tabs>
                <w:tab w:val="left" w:pos="1701"/>
              </w:tabs>
              <w:spacing w:before="240" w:after="240"/>
              <w:rPr>
                <w:b/>
                <w:bCs/>
                <w:szCs w:val="24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A665CC">
              <w:rPr>
                <w:bCs/>
                <w:snapToGrid w:val="0"/>
              </w:rPr>
              <w:t>juster</w:t>
            </w:r>
            <w:r w:rsidR="003D170F">
              <w:rPr>
                <w:bCs/>
                <w:snapToGrid w:val="0"/>
              </w:rPr>
              <w:t>ade</w:t>
            </w:r>
            <w:r>
              <w:rPr>
                <w:bCs/>
                <w:snapToGrid w:val="0"/>
              </w:rPr>
              <w:t xml:space="preserve"> protokoll 2023/24:</w:t>
            </w:r>
            <w:r w:rsidR="00FF3440">
              <w:rPr>
                <w:bCs/>
                <w:snapToGrid w:val="0"/>
              </w:rPr>
              <w:t>3</w:t>
            </w:r>
            <w:r w:rsidR="009760E3">
              <w:rPr>
                <w:bCs/>
                <w:snapToGrid w:val="0"/>
              </w:rPr>
              <w:t>2</w:t>
            </w:r>
            <w:r w:rsidR="005E12EA">
              <w:rPr>
                <w:bCs/>
                <w:snapToGrid w:val="0"/>
              </w:rPr>
              <w:t>.</w:t>
            </w:r>
          </w:p>
        </w:tc>
      </w:tr>
      <w:tr w:rsidR="00AC1A15" w14:paraId="04889674" w14:textId="77777777" w:rsidTr="007E1B8E">
        <w:tc>
          <w:tcPr>
            <w:tcW w:w="567" w:type="dxa"/>
          </w:tcPr>
          <w:p w14:paraId="61BDC7D8" w14:textId="03F7C808" w:rsidR="00AC1A15" w:rsidRDefault="00016B3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450D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09F337E0" w14:textId="0B2BADC1" w:rsidR="00FF3440" w:rsidRPr="00FF3440" w:rsidRDefault="009760E3" w:rsidP="00FF344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>
              <w:rPr>
                <w:b/>
                <w:snapToGrid w:val="0"/>
              </w:rPr>
              <w:t>Sveriges tillträde till vissa Natoavtal</w:t>
            </w:r>
          </w:p>
          <w:p w14:paraId="52B33B81" w14:textId="0A069286" w:rsidR="00FF3440" w:rsidRDefault="00FF3440" w:rsidP="00FF3440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 w:rsidRPr="005E12EA">
              <w:rPr>
                <w:bCs/>
              </w:rPr>
              <w:t xml:space="preserve">Utskottet </w:t>
            </w:r>
            <w:r>
              <w:rPr>
                <w:bCs/>
              </w:rPr>
              <w:t xml:space="preserve">behandlade frågan om yttrande till </w:t>
            </w:r>
            <w:r w:rsidR="009760E3">
              <w:rPr>
                <w:bCs/>
              </w:rPr>
              <w:t>försvarsutskottet</w:t>
            </w:r>
            <w:r>
              <w:rPr>
                <w:bCs/>
              </w:rPr>
              <w:t xml:space="preserve"> över proposition 2023/24:</w:t>
            </w:r>
            <w:r w:rsidR="009760E3">
              <w:rPr>
                <w:bCs/>
              </w:rPr>
              <w:t>133</w:t>
            </w:r>
            <w:r>
              <w:rPr>
                <w:bCs/>
              </w:rPr>
              <w:t>.</w:t>
            </w:r>
          </w:p>
          <w:p w14:paraId="3F362D18" w14:textId="77777777" w:rsidR="00FF3440" w:rsidRDefault="009760E3" w:rsidP="00FF3440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</w:rPr>
              <w:lastRenderedPageBreak/>
              <w:t>Frågan bordlades</w:t>
            </w:r>
            <w:r w:rsidR="0066399F">
              <w:rPr>
                <w:bCs/>
                <w:snapToGrid w:val="0"/>
              </w:rPr>
              <w:t>.</w:t>
            </w:r>
          </w:p>
          <w:p w14:paraId="48A8887A" w14:textId="3D34EF62" w:rsidR="009450D8" w:rsidRPr="00E64AED" w:rsidRDefault="009450D8" w:rsidP="00FF3440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9450D8">
              <w:rPr>
                <w:bCs/>
                <w:snapToGrid w:val="0"/>
              </w:rPr>
              <w:t xml:space="preserve">Utskottets ledamöter informerades om att på grund av den korta beredningstiden för ett ev. yttrande behöver synpunkter eller avvikande meningar inkomma senast den 10 maj </w:t>
            </w:r>
            <w:r w:rsidR="005F422B" w:rsidRPr="009450D8">
              <w:rPr>
                <w:bCs/>
                <w:snapToGrid w:val="0"/>
              </w:rPr>
              <w:t>kl.</w:t>
            </w:r>
            <w:r w:rsidRPr="009450D8">
              <w:rPr>
                <w:bCs/>
                <w:snapToGrid w:val="0"/>
              </w:rPr>
              <w:t xml:space="preserve"> 17.00.</w:t>
            </w:r>
          </w:p>
        </w:tc>
      </w:tr>
      <w:tr w:rsidR="00563737" w14:paraId="245349F4" w14:textId="77777777" w:rsidTr="007E1B8E">
        <w:tc>
          <w:tcPr>
            <w:tcW w:w="567" w:type="dxa"/>
          </w:tcPr>
          <w:p w14:paraId="182F7664" w14:textId="4089396A" w:rsidR="00563737" w:rsidRDefault="000D5C99" w:rsidP="004B6772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450D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1796E01C" w14:textId="3FF902FC" w:rsidR="00563737" w:rsidRDefault="009760E3" w:rsidP="004B6772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14:paraId="6FDDA015" w14:textId="01251FE1" w:rsidR="00636DF4" w:rsidRPr="00636DF4" w:rsidRDefault="009760E3" w:rsidP="004B6772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Inkomna skrivelser anmäldes enligt bilaga 2.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3C44DDFC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t xml:space="preserve">§ </w:t>
            </w:r>
            <w:r w:rsidR="009450D8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1319637" w14:textId="042F2D68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47E85460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9760E3">
              <w:rPr>
                <w:snapToGrid w:val="0"/>
              </w:rPr>
              <w:t>tisdagen</w:t>
            </w:r>
            <w:r>
              <w:rPr>
                <w:snapToGrid w:val="0"/>
              </w:rPr>
              <w:t xml:space="preserve"> den </w:t>
            </w:r>
            <w:r w:rsidR="009760E3">
              <w:rPr>
                <w:snapToGrid w:val="0"/>
              </w:rPr>
              <w:t>7</w:t>
            </w:r>
            <w:r w:rsidR="00EB0608">
              <w:rPr>
                <w:snapToGrid w:val="0"/>
              </w:rPr>
              <w:t xml:space="preserve"> maj</w:t>
            </w:r>
            <w:r w:rsidR="00D80743">
              <w:rPr>
                <w:snapToGrid w:val="0"/>
              </w:rPr>
              <w:t xml:space="preserve"> 2024</w:t>
            </w:r>
            <w:r>
              <w:rPr>
                <w:snapToGrid w:val="0"/>
              </w:rPr>
              <w:t xml:space="preserve"> kl. </w:t>
            </w:r>
            <w:r w:rsidR="00EB0608">
              <w:rPr>
                <w:snapToGrid w:val="0"/>
              </w:rPr>
              <w:t>11</w:t>
            </w:r>
            <w:r>
              <w:rPr>
                <w:snapToGrid w:val="0"/>
              </w:rPr>
              <w:t>.</w:t>
            </w:r>
            <w:r w:rsidR="00EB0608">
              <w:rPr>
                <w:snapToGrid w:val="0"/>
              </w:rPr>
              <w:t>0</w:t>
            </w:r>
            <w:r w:rsidR="008F475F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</w:p>
        </w:tc>
      </w:tr>
      <w:tr w:rsidR="00780544" w14:paraId="7437DCEC" w14:textId="77777777" w:rsidTr="007E1B8E">
        <w:tc>
          <w:tcPr>
            <w:tcW w:w="567" w:type="dxa"/>
          </w:tcPr>
          <w:p w14:paraId="5147E047" w14:textId="77777777" w:rsidR="00780544" w:rsidRDefault="0078054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D73F2D6" w14:textId="77777777" w:rsidR="00780544" w:rsidRDefault="00780544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0B43BE6F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9450D8">
              <w:t>7</w:t>
            </w:r>
            <w:r w:rsidR="00EB0608">
              <w:t xml:space="preserve"> maj</w:t>
            </w:r>
            <w:r>
              <w:t xml:space="preserve"> 202</w:t>
            </w:r>
            <w:r w:rsidR="001308F8">
              <w:t>4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bookmarkStart w:id="2" w:name="_Hlk127252390"/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7775D0" w14:paraId="4E57EF45" w14:textId="77777777" w:rsidTr="00A5244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E0F1E9E" w14:textId="77777777" w:rsidR="007775D0" w:rsidRDefault="007775D0" w:rsidP="00A5244F">
            <w:pPr>
              <w:tabs>
                <w:tab w:val="left" w:pos="1701"/>
              </w:tabs>
            </w:pPr>
            <w:r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164C91" w14:textId="77777777" w:rsidR="007775D0" w:rsidRDefault="007775D0" w:rsidP="00A5244F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844737" w14:textId="77777777" w:rsidR="007775D0" w:rsidRDefault="007775D0" w:rsidP="00A5244F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4AD0297" w14:textId="77777777" w:rsidR="007775D0" w:rsidRPr="00B07302" w:rsidRDefault="007775D0" w:rsidP="00A5244F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6C492D33" w14:textId="39C6F440" w:rsidR="007775D0" w:rsidRPr="00B07302" w:rsidRDefault="007775D0" w:rsidP="00A5244F">
            <w:pPr>
              <w:rPr>
                <w:b/>
              </w:rPr>
            </w:pPr>
            <w:r w:rsidRPr="00B07302">
              <w:rPr>
                <w:b/>
              </w:rPr>
              <w:t>2023/24:</w:t>
            </w:r>
            <w:r w:rsidR="009D0348">
              <w:rPr>
                <w:b/>
              </w:rPr>
              <w:t>3</w:t>
            </w:r>
            <w:r w:rsidR="005028BE">
              <w:rPr>
                <w:b/>
              </w:rPr>
              <w:t>3</w:t>
            </w:r>
          </w:p>
        </w:tc>
      </w:tr>
      <w:tr w:rsidR="007775D0" w14:paraId="0899987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F9B8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BE8B" w14:textId="2A98B514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</w:t>
            </w:r>
            <w:r w:rsidR="009E6EE2">
              <w:rPr>
                <w:sz w:val="22"/>
              </w:rPr>
              <w:t xml:space="preserve"> </w:t>
            </w:r>
            <w:proofErr w:type="gramStart"/>
            <w:r w:rsidR="0066354B">
              <w:rPr>
                <w:sz w:val="22"/>
              </w:rPr>
              <w:t>1-3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A4E6" w14:textId="4D7383AC" w:rsidR="007775D0" w:rsidRDefault="0066354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4-7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F38F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6CEB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678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CD50C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5F9B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250EBC5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669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D31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E45E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0810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106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EB6F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FE3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5B01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F12C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095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BB75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4316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5B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2D8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1BF0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775D0" w14:paraId="3D79935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8D54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B80B" w14:textId="638F359A" w:rsidR="007775D0" w:rsidRDefault="0066354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406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5C6E5" w14:textId="46D0946A" w:rsidR="007775D0" w:rsidRDefault="00024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0A1E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1351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ACBE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DA06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8BCC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FF0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9B4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475D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A0B0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5AF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F6E6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8378F7" w14:paraId="71110B9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77BA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2111" w14:textId="08082E30" w:rsidR="007775D0" w:rsidRPr="001E1FAC" w:rsidRDefault="0066354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64D1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5F06" w14:textId="5BD872D0" w:rsidR="007775D0" w:rsidRPr="001E1FAC" w:rsidRDefault="00024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2C64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CF8B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5F1D2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577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F758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BEE3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F516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391E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EB91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184E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4147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7775D0" w:rsidRPr="001E1FAC" w14:paraId="47D9BC5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C485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proofErr w:type="spellStart"/>
            <w:r w:rsidRPr="00136AB8">
              <w:rPr>
                <w:szCs w:val="24"/>
              </w:rPr>
              <w:t>Boriana</w:t>
            </w:r>
            <w:proofErr w:type="spellEnd"/>
            <w:r w:rsidRPr="00136AB8">
              <w:rPr>
                <w:szCs w:val="24"/>
              </w:rPr>
              <w:t xml:space="preserve">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EC1F" w14:textId="3CE0A7BA" w:rsidR="007775D0" w:rsidRPr="00E70A95" w:rsidRDefault="0066354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37E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8BAD" w14:textId="0A34D206" w:rsidR="007775D0" w:rsidRPr="00E70A95" w:rsidRDefault="00024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E5CF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3A6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6D81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92A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533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B40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85B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D6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82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DB4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171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52B2A8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965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Hanna </w:t>
            </w:r>
            <w:proofErr w:type="spellStart"/>
            <w:r w:rsidRPr="00136AB8">
              <w:rPr>
                <w:szCs w:val="24"/>
              </w:rPr>
              <w:t>Westerén</w:t>
            </w:r>
            <w:proofErr w:type="spellEnd"/>
            <w:r w:rsidRPr="00136AB8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624D" w14:textId="7915B083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E8C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2A9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29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A7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CE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3DD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E62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601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A70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51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226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E70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8AD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362ABEA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26A9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Eric </w:t>
            </w:r>
            <w:proofErr w:type="spellStart"/>
            <w:r w:rsidRPr="00136AB8">
              <w:rPr>
                <w:szCs w:val="24"/>
              </w:rPr>
              <w:t>Westroth</w:t>
            </w:r>
            <w:proofErr w:type="spellEnd"/>
            <w:r w:rsidRPr="00136AB8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E728" w14:textId="118F5E91" w:rsidR="007775D0" w:rsidRPr="00E70A95" w:rsidRDefault="0066354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A12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4049" w14:textId="761545D6" w:rsidR="007775D0" w:rsidRPr="00E70A95" w:rsidRDefault="00024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18E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E40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D9E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16B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FD6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D01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491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DFE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5D4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CF3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ABA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02FB7CA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C5FE" w14:textId="5E1C8E26" w:rsidR="007775D0" w:rsidRPr="005028BE" w:rsidRDefault="005028BE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proofErr w:type="spellStart"/>
            <w:r w:rsidRPr="005028BE">
              <w:rPr>
                <w:szCs w:val="24"/>
                <w:lang w:val="en-US"/>
              </w:rPr>
              <w:t>Peder</w:t>
            </w:r>
            <w:proofErr w:type="spellEnd"/>
            <w:r w:rsidRPr="005028BE">
              <w:rPr>
                <w:szCs w:val="24"/>
                <w:lang w:val="en-US"/>
              </w:rPr>
              <w:t xml:space="preserve">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85306" w14:textId="442BABE7" w:rsidR="007775D0" w:rsidRPr="00E70A95" w:rsidRDefault="0066354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FE6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5424" w14:textId="7D030C24" w:rsidR="007775D0" w:rsidRPr="00E70A95" w:rsidRDefault="00024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AE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765F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67E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0B7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D7E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6B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2577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4E7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44C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611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6E9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2717EA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FF05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08F6" w14:textId="5A6EA4D8" w:rsidR="007775D0" w:rsidRPr="00E70A95" w:rsidRDefault="0066354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7AE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E88B" w14:textId="4BC0FBA0" w:rsidR="007775D0" w:rsidRPr="00E70A95" w:rsidRDefault="00024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0A3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D0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116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C410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0C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891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FA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299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AE3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79C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970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254116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9799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94A3" w14:textId="61B6C9D5" w:rsidR="007775D0" w:rsidRPr="00E70A95" w:rsidRDefault="0066354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F2B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B3CA" w14:textId="5490A104" w:rsidR="007775D0" w:rsidRPr="00E70A95" w:rsidRDefault="00024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226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90F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8C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885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8A6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DF8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CBE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740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1E9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1A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57E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8336BD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B07A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0F29" w14:textId="3C69E8A4" w:rsidR="007775D0" w:rsidRPr="00E70A95" w:rsidRDefault="0066354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185B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8870" w14:textId="0284ABBB" w:rsidR="007775D0" w:rsidRPr="00E70A95" w:rsidRDefault="00024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3164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AFA6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6CC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F8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96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7A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92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2AE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140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B73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AA0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7343EF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E17DC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488F" w14:textId="460EA382" w:rsidR="007775D0" w:rsidRPr="00E70A95" w:rsidRDefault="0066354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768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1E6A" w14:textId="6AA3271C" w:rsidR="007775D0" w:rsidRPr="00E70A95" w:rsidRDefault="00024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EA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96CC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8FF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105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74A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1A7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FB0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42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BBE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3E1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3E7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B9767C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3438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FB71" w14:textId="3AA39A74" w:rsidR="007775D0" w:rsidRPr="00E70A95" w:rsidRDefault="0066354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199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3D60" w14:textId="70D3BE6B" w:rsidR="007775D0" w:rsidRPr="00E70A95" w:rsidRDefault="00024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858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983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502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363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6D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5F2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7C9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83E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B1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E62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3A9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0295640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602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Ilona </w:t>
            </w:r>
            <w:proofErr w:type="spellStart"/>
            <w:r w:rsidRPr="00136AB8">
              <w:rPr>
                <w:szCs w:val="24"/>
              </w:rPr>
              <w:t>Szatmári</w:t>
            </w:r>
            <w:proofErr w:type="spellEnd"/>
            <w:r w:rsidRPr="00136AB8">
              <w:rPr>
                <w:szCs w:val="24"/>
              </w:rPr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E6EF" w14:textId="31692105" w:rsidR="007775D0" w:rsidRPr="00E70A95" w:rsidRDefault="0066354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1BF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B4F7" w14:textId="33923277" w:rsidR="007775D0" w:rsidRPr="00E70A95" w:rsidRDefault="00024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203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4294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C12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293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413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CFF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88F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1CB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E05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B78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D5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4FC721E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E710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2316" w14:textId="29247E3B" w:rsidR="007775D0" w:rsidRPr="00E70A95" w:rsidRDefault="0066354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E6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656" w14:textId="183620D1" w:rsidR="007775D0" w:rsidRPr="00E70A95" w:rsidRDefault="00024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E0D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88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F65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5AB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A87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B38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BF3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BE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A09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CC3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54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0A0EDB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A1F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76D8" w14:textId="780B66DC" w:rsidR="007775D0" w:rsidRPr="00E70A95" w:rsidRDefault="0066354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3A0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C8AF" w14:textId="38C32ED6" w:rsidR="007775D0" w:rsidRPr="00E70A95" w:rsidRDefault="00024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B1B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D3D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99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4A8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6FA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297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A1A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20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462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FBE1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CED8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015BF8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777B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71EA" w14:textId="241469C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FBB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8AC7" w14:textId="2ED601E1" w:rsidR="007775D0" w:rsidRPr="00E70A95" w:rsidRDefault="0066354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DDB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A53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68B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665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936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F66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2C9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D45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7A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13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9A46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32522A1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F816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Annika Hirvonen</w:t>
            </w:r>
            <w:r w:rsidRPr="00136AB8">
              <w:rPr>
                <w:szCs w:val="24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2D7F" w14:textId="6876066C" w:rsidR="007775D0" w:rsidRPr="00E70A95" w:rsidRDefault="0066354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423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DF4" w14:textId="324463B9" w:rsidR="007775D0" w:rsidRPr="00E70A95" w:rsidRDefault="00024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8C8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162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B10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4C9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02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9E7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995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C74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2E6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50E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659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679BFB20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C00E" w14:textId="19347D52" w:rsidR="007775D0" w:rsidRPr="00136AB8" w:rsidRDefault="00A353C5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Patrik Karlson</w:t>
            </w:r>
            <w:r w:rsidR="007775D0" w:rsidRPr="00136AB8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95EE" w14:textId="12E14ADC" w:rsidR="007775D0" w:rsidRPr="00E70A95" w:rsidRDefault="0066354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91D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EE45" w14:textId="2EDE868A" w:rsidR="007775D0" w:rsidRPr="00E70A95" w:rsidRDefault="00024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A3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296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81A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959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949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DFB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4E6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17B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1A8C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51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17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4EAFC28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DF608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70F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8854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B4C4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8A2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214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BD0F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F1B8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F0B1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8FC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276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3BC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7B3D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8D0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41E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07A0D40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D605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Hellsborn</w:t>
            </w:r>
            <w:proofErr w:type="spellEnd"/>
            <w:r w:rsidRPr="00136AB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5123" w14:textId="6801836E" w:rsidR="007775D0" w:rsidRPr="0078232D" w:rsidRDefault="0066354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784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6B4A" w14:textId="27ACE4E6" w:rsidR="007775D0" w:rsidRPr="0078232D" w:rsidRDefault="0066354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F0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5C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036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6A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A0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2D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0A8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36D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14AF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D6F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A72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AB167C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53CE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ED4F" w14:textId="1D1C04EE" w:rsidR="007775D0" w:rsidRPr="0078232D" w:rsidRDefault="0066354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E9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2CCE" w14:textId="544FD891" w:rsidR="007775D0" w:rsidRPr="0078232D" w:rsidRDefault="00024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2C6E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A31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1A52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0C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D9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C7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626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5AB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1E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0B6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9F1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33D4B0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69F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4FE6" w14:textId="56F5DC80" w:rsidR="007775D0" w:rsidRPr="0078232D" w:rsidRDefault="0066354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E7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3AAC" w14:textId="351BA635" w:rsidR="007775D0" w:rsidRPr="0078232D" w:rsidRDefault="00024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A9B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5A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459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87E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8A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F1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909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BD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B7E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ED48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3C2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:rsidRPr="005028BE" w14:paraId="60D218C5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82A3" w14:textId="4A87FDB3" w:rsidR="007775D0" w:rsidRPr="005028BE" w:rsidRDefault="005028BE" w:rsidP="00A5244F">
            <w:pPr>
              <w:rPr>
                <w:sz w:val="22"/>
                <w:szCs w:val="22"/>
                <w:lang w:val="en-US"/>
              </w:rPr>
            </w:pPr>
            <w:proofErr w:type="spellStart"/>
            <w:r w:rsidRPr="005028BE">
              <w:rPr>
                <w:sz w:val="22"/>
                <w:szCs w:val="22"/>
                <w:lang w:val="en-US"/>
              </w:rPr>
              <w:t>Patrik</w:t>
            </w:r>
            <w:proofErr w:type="spellEnd"/>
            <w:r w:rsidRPr="005028B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28BE">
              <w:rPr>
                <w:sz w:val="22"/>
                <w:szCs w:val="22"/>
                <w:lang w:val="en-US"/>
              </w:rPr>
              <w:t>Björck</w:t>
            </w:r>
            <w:proofErr w:type="spellEnd"/>
            <w:r w:rsidRPr="005028BE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8B2C" w14:textId="311903A0" w:rsidR="007775D0" w:rsidRPr="005028BE" w:rsidRDefault="0066354B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D64D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0E1B" w14:textId="00C40DC8" w:rsidR="007775D0" w:rsidRPr="005028BE" w:rsidRDefault="00024EE2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FC40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DFF1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FF56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5778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462C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ECEF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7CB2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7368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4635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289C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BBD8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75D0" w14:paraId="309473B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2C75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7E1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F0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D97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13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D8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10C7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3F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282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2BB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D17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AD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0B3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D87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B3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C48C27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D4C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779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09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A8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16E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AE61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FD1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4BC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3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C1B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6E1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FFD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28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59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87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52D650D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717F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E61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ADE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882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7EE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FE1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B09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2C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8C1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2D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682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43DA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BEB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D2F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2F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775DF1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A58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Ezelius</w:t>
            </w:r>
            <w:proofErr w:type="spellEnd"/>
            <w:r w:rsidRPr="00136AB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AF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35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306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279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E60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A0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5F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A6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DCF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936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9B4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EF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3DB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08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47D8B3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779C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833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FCB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F97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080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889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475E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D4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5B6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D2A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82A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F6C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565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0EA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8AA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D8DFEDE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D4C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FD0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155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556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AC4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F10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122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FA0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294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368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C4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5AD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B6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2A7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586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D94469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853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08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87E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A28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B1E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24F0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435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710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54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C0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5D4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44A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18E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355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D3A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CECA2B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4E1E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B12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563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C84C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53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ED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E2F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ADC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333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AE9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0E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2C4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FBA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4D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5D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D4BA9A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D63F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0176" w14:textId="11EE2FC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C5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998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53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A9C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474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336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C5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B1F0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8D8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734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086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B4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59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79B2863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707D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32D92" w14:textId="79AB93D2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22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76A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95C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BF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7A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9AD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E7B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7D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5F1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42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BB2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CC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10A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95990C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505D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D2C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4B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0E8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0E8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3C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53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B0A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519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9E1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EE8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AB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5FB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A5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B8F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735259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133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proofErr w:type="spellStart"/>
            <w:r w:rsidRPr="00136AB8">
              <w:rPr>
                <w:sz w:val="22"/>
                <w:szCs w:val="22"/>
              </w:rPr>
              <w:t>Janine</w:t>
            </w:r>
            <w:proofErr w:type="spellEnd"/>
            <w:r w:rsidRPr="00136AB8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CE31" w14:textId="4652D7C6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03E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36B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9F21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D7A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77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668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7F8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AF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4CC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8E4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98F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736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31C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28ABFB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F550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</w:t>
            </w:r>
            <w:r w:rsidRPr="00136AB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F2D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5C1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64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FDD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1A3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1B7B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1F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5B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E8D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703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55C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4FF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1C9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BAD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1C1A21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BC9B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6552" w14:textId="281BF15A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BA8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A32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6A5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24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EE8B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169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665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EFC1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C7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6A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047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6D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5B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A19890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3315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8797" w14:textId="5306D0BA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995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D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4E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FD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7D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EC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3E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76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889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688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B715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B5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433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43D19C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52C6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3F5D" w14:textId="02418350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86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097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160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73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3DE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80A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95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919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53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DD4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59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494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01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5F2410D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E399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4B8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90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6E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7AF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92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7A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C1A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356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96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82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DA2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25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415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90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1C2673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8AD6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Berglund</w:t>
            </w:r>
            <w:r w:rsidRPr="00136A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EF1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F37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DE5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64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F13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74E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56D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AA2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86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9B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8A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2D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503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20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538465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5D6F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3247F" w14:textId="3031D86F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FD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FC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C9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0D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07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A4C2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0D0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8AC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B8B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5EC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385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03A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D66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3942152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49F4" w14:textId="2B17980B" w:rsidR="007775D0" w:rsidRPr="00136AB8" w:rsidRDefault="00A353C5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="007775D0"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10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4C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8E8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89D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3F0E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8D1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3D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3D1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8A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D2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B0E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4D3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55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F65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AF5699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795F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 xml:space="preserve">Helena </w:t>
            </w:r>
            <w:proofErr w:type="spellStart"/>
            <w:r w:rsidRPr="00136AB8">
              <w:rPr>
                <w:sz w:val="22"/>
                <w:szCs w:val="22"/>
              </w:rPr>
              <w:t>Gellerman</w:t>
            </w:r>
            <w:proofErr w:type="spellEnd"/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03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FB7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D2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9E4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15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12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73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412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00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3F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3AE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59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9C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24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1A6F844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3315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62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F8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A8E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1B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99C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B07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E0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0FB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C19B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A3E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8D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9A4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A8A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0F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:rsidRPr="00024EE2" w14:paraId="5810E4F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E8EB" w14:textId="77777777" w:rsidR="007775D0" w:rsidRPr="00975CA0" w:rsidRDefault="007775D0" w:rsidP="00A5244F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Utterstedt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A839E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40B4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206B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795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01F4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D771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CFCF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1629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F432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D8B6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A0F3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542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601F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33B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775D0" w14:paraId="53B24E4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1B2DEB9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4BB401B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7775D0" w14:paraId="5D80E63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7A71C53E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79A8D85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19768523" w14:textId="07B464AA" w:rsidR="000A2410" w:rsidRDefault="000A2410" w:rsidP="00592BE9">
      <w:pPr>
        <w:widowControl/>
      </w:pP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3143"/>
        <w:gridCol w:w="2619"/>
      </w:tblGrid>
      <w:tr w:rsidR="00C95BBF" w14:paraId="24EE7A7D" w14:textId="77777777" w:rsidTr="00A7390D">
        <w:tc>
          <w:tcPr>
            <w:tcW w:w="2881" w:type="dxa"/>
          </w:tcPr>
          <w:p w14:paraId="78D68F71" w14:textId="77777777" w:rsidR="00C95BBF" w:rsidRDefault="00C95BBF" w:rsidP="00A7390D">
            <w:pPr>
              <w:tabs>
                <w:tab w:val="left" w:pos="1276"/>
              </w:tabs>
              <w:rPr>
                <w:sz w:val="28"/>
              </w:rPr>
            </w:pPr>
            <w:r>
              <w:lastRenderedPageBreak/>
              <w:t>SKATTEUTSKOTTET</w:t>
            </w:r>
          </w:p>
        </w:tc>
        <w:tc>
          <w:tcPr>
            <w:tcW w:w="3143" w:type="dxa"/>
          </w:tcPr>
          <w:p w14:paraId="5A49CD7F" w14:textId="77777777" w:rsidR="00C95BBF" w:rsidRDefault="00C95BBF" w:rsidP="00A7390D">
            <w:pPr>
              <w:tabs>
                <w:tab w:val="left" w:pos="1276"/>
              </w:tabs>
            </w:pPr>
          </w:p>
        </w:tc>
        <w:tc>
          <w:tcPr>
            <w:tcW w:w="2619" w:type="dxa"/>
          </w:tcPr>
          <w:p w14:paraId="5C5D6D42" w14:textId="77777777" w:rsidR="00C95BBF" w:rsidRDefault="00C95BBF" w:rsidP="00A7390D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2</w:t>
            </w:r>
          </w:p>
          <w:p w14:paraId="07355AF1" w14:textId="77777777" w:rsidR="00C95BBF" w:rsidRDefault="00C95BBF" w:rsidP="00A7390D">
            <w:pPr>
              <w:tabs>
                <w:tab w:val="left" w:pos="1276"/>
              </w:tabs>
              <w:rPr>
                <w:b/>
              </w:rPr>
            </w:pPr>
            <w:r>
              <w:t>till protokoll 2023/24:33</w:t>
            </w:r>
          </w:p>
        </w:tc>
      </w:tr>
    </w:tbl>
    <w:p w14:paraId="6BDDC3F5" w14:textId="77777777" w:rsidR="00C95BBF" w:rsidRDefault="00C95BBF" w:rsidP="00C95BBF">
      <w:pPr>
        <w:tabs>
          <w:tab w:val="left" w:pos="1276"/>
        </w:tabs>
        <w:ind w:left="-1134" w:firstLine="1134"/>
      </w:pPr>
    </w:p>
    <w:p w14:paraId="35B370D6" w14:textId="77777777" w:rsidR="00C95BBF" w:rsidRDefault="00C95BBF" w:rsidP="00C95BBF">
      <w:pPr>
        <w:tabs>
          <w:tab w:val="left" w:pos="142"/>
          <w:tab w:val="left" w:pos="7655"/>
        </w:tabs>
        <w:ind w:right="-568"/>
        <w:rPr>
          <w:sz w:val="22"/>
        </w:rPr>
      </w:pPr>
    </w:p>
    <w:p w14:paraId="3FFC8BB2" w14:textId="77777777" w:rsidR="00C95BBF" w:rsidRDefault="00C95BBF" w:rsidP="00C95BBF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För kännedom</w:t>
      </w:r>
    </w:p>
    <w:p w14:paraId="56881037" w14:textId="77777777" w:rsidR="00C95BBF" w:rsidRPr="004C2DAD" w:rsidRDefault="00C95BBF" w:rsidP="00C95BBF">
      <w:pPr>
        <w:tabs>
          <w:tab w:val="left" w:pos="7655"/>
        </w:tabs>
        <w:ind w:right="-568"/>
        <w:rPr>
          <w:szCs w:val="24"/>
        </w:rPr>
      </w:pPr>
    </w:p>
    <w:p w14:paraId="3CE3050B" w14:textId="77777777" w:rsidR="00C95BBF" w:rsidRDefault="00C95BBF" w:rsidP="00C95BBF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  <w:r w:rsidRPr="00D97F2E">
        <w:rPr>
          <w:i/>
          <w:szCs w:val="24"/>
        </w:rPr>
        <w:t>Dnr</w:t>
      </w:r>
      <w:r w:rsidRPr="00D97F2E">
        <w:rPr>
          <w:i/>
          <w:szCs w:val="24"/>
        </w:rPr>
        <w:tab/>
      </w:r>
      <w:r>
        <w:rPr>
          <w:i/>
          <w:szCs w:val="24"/>
        </w:rPr>
        <w:t>Ämne</w:t>
      </w:r>
    </w:p>
    <w:p w14:paraId="6C454285" w14:textId="77777777" w:rsidR="00C95BBF" w:rsidRDefault="00C95BBF" w:rsidP="00C95BBF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</w:p>
    <w:p w14:paraId="3815EC1E" w14:textId="77777777" w:rsidR="00C95BBF" w:rsidRPr="00D97F2E" w:rsidRDefault="00C95BBF" w:rsidP="00C95BBF">
      <w:pPr>
        <w:tabs>
          <w:tab w:val="left" w:pos="1985"/>
          <w:tab w:val="left" w:pos="7655"/>
        </w:tabs>
        <w:ind w:left="2127" w:right="-568" w:hanging="2127"/>
        <w:rPr>
          <w:iCs/>
          <w:szCs w:val="24"/>
        </w:rPr>
      </w:pPr>
      <w:proofErr w:type="gramStart"/>
      <w:r w:rsidRPr="00F25D97">
        <w:rPr>
          <w:iCs/>
          <w:szCs w:val="24"/>
        </w:rPr>
        <w:t>1634-2023</w:t>
      </w:r>
      <w:proofErr w:type="gramEnd"/>
      <w:r w:rsidRPr="00F25D97">
        <w:rPr>
          <w:iCs/>
          <w:szCs w:val="24"/>
        </w:rPr>
        <w:t>/24</w:t>
      </w:r>
      <w:r w:rsidRPr="00D97F2E">
        <w:rPr>
          <w:iCs/>
          <w:szCs w:val="24"/>
        </w:rPr>
        <w:tab/>
      </w:r>
      <w:hyperlink r:id="rId6" w:history="1">
        <w:r w:rsidRPr="00DB05BB">
          <w:rPr>
            <w:rStyle w:val="Hyperlnk"/>
            <w:iCs/>
            <w:szCs w:val="24"/>
          </w:rPr>
          <w:t>Riksrevisionens uppföljningsrapport 2024</w:t>
        </w:r>
      </w:hyperlink>
    </w:p>
    <w:p w14:paraId="3C1001DB" w14:textId="77777777" w:rsidR="00C95BBF" w:rsidRDefault="00C95BBF" w:rsidP="00C95BBF">
      <w:pPr>
        <w:tabs>
          <w:tab w:val="left" w:pos="1985"/>
          <w:tab w:val="left" w:pos="7655"/>
        </w:tabs>
        <w:ind w:left="2127" w:right="-568" w:hanging="2127"/>
      </w:pPr>
    </w:p>
    <w:p w14:paraId="4D2408EC" w14:textId="77777777" w:rsidR="00C95BBF" w:rsidRDefault="00C95BBF" w:rsidP="00C95BBF">
      <w:pPr>
        <w:tabs>
          <w:tab w:val="left" w:pos="1985"/>
          <w:tab w:val="left" w:pos="7655"/>
        </w:tabs>
        <w:ind w:left="2127" w:right="-568" w:hanging="2127"/>
      </w:pPr>
    </w:p>
    <w:p w14:paraId="7A7721D1" w14:textId="77777777" w:rsidR="00C95BBF" w:rsidRDefault="00C95BBF" w:rsidP="00C95BBF">
      <w:pPr>
        <w:widowControl/>
      </w:pPr>
    </w:p>
    <w:p w14:paraId="47595832" w14:textId="77777777" w:rsidR="00C95BBF" w:rsidRDefault="00C95BBF" w:rsidP="00C95BBF">
      <w:pPr>
        <w:widowControl/>
        <w:rPr>
          <w:szCs w:val="24"/>
        </w:rPr>
      </w:pPr>
    </w:p>
    <w:p w14:paraId="49994703" w14:textId="77777777" w:rsidR="00C95BBF" w:rsidRDefault="00C95BBF" w:rsidP="00C95BBF">
      <w:pPr>
        <w:widowControl/>
      </w:pPr>
    </w:p>
    <w:p w14:paraId="2E867F83" w14:textId="77777777" w:rsidR="00C95BBF" w:rsidRDefault="00C95BBF" w:rsidP="00592BE9">
      <w:pPr>
        <w:widowControl/>
      </w:pPr>
    </w:p>
    <w:sectPr w:rsidR="00C95BBF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Italic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744F"/>
    <w:rsid w:val="00012D39"/>
    <w:rsid w:val="00016B3F"/>
    <w:rsid w:val="00024EE2"/>
    <w:rsid w:val="0003470E"/>
    <w:rsid w:val="00034CDD"/>
    <w:rsid w:val="00035496"/>
    <w:rsid w:val="00037EDF"/>
    <w:rsid w:val="0004283E"/>
    <w:rsid w:val="00043563"/>
    <w:rsid w:val="000641CD"/>
    <w:rsid w:val="00064405"/>
    <w:rsid w:val="00071C98"/>
    <w:rsid w:val="00073002"/>
    <w:rsid w:val="000833DF"/>
    <w:rsid w:val="000854D9"/>
    <w:rsid w:val="000910E8"/>
    <w:rsid w:val="000925AE"/>
    <w:rsid w:val="0009468C"/>
    <w:rsid w:val="000A10F5"/>
    <w:rsid w:val="000A2410"/>
    <w:rsid w:val="000B2293"/>
    <w:rsid w:val="000B2877"/>
    <w:rsid w:val="000B36D4"/>
    <w:rsid w:val="000B7C05"/>
    <w:rsid w:val="000C0F16"/>
    <w:rsid w:val="000D0939"/>
    <w:rsid w:val="000D3043"/>
    <w:rsid w:val="000D4D83"/>
    <w:rsid w:val="000D5C99"/>
    <w:rsid w:val="000D5D60"/>
    <w:rsid w:val="000E59DD"/>
    <w:rsid w:val="000E707A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331A"/>
    <w:rsid w:val="001308F8"/>
    <w:rsid w:val="00133B7E"/>
    <w:rsid w:val="00137E14"/>
    <w:rsid w:val="00140387"/>
    <w:rsid w:val="00144FCB"/>
    <w:rsid w:val="001507C0"/>
    <w:rsid w:val="001522CE"/>
    <w:rsid w:val="00161AA6"/>
    <w:rsid w:val="001631CE"/>
    <w:rsid w:val="00184C32"/>
    <w:rsid w:val="00186BCD"/>
    <w:rsid w:val="0019207A"/>
    <w:rsid w:val="0019469E"/>
    <w:rsid w:val="001A1578"/>
    <w:rsid w:val="001B463E"/>
    <w:rsid w:val="001C74B4"/>
    <w:rsid w:val="001E1EE0"/>
    <w:rsid w:val="001E1FAC"/>
    <w:rsid w:val="001F67F5"/>
    <w:rsid w:val="0021301E"/>
    <w:rsid w:val="002174A8"/>
    <w:rsid w:val="0022241F"/>
    <w:rsid w:val="002240E5"/>
    <w:rsid w:val="002348E1"/>
    <w:rsid w:val="00234B75"/>
    <w:rsid w:val="002373C0"/>
    <w:rsid w:val="00245992"/>
    <w:rsid w:val="00246D79"/>
    <w:rsid w:val="00246FAC"/>
    <w:rsid w:val="002544E0"/>
    <w:rsid w:val="0025581D"/>
    <w:rsid w:val="00256C69"/>
    <w:rsid w:val="002624FF"/>
    <w:rsid w:val="00267857"/>
    <w:rsid w:val="00274266"/>
    <w:rsid w:val="00275CD2"/>
    <w:rsid w:val="00276013"/>
    <w:rsid w:val="00276F72"/>
    <w:rsid w:val="00277F93"/>
    <w:rsid w:val="00285DF8"/>
    <w:rsid w:val="00286838"/>
    <w:rsid w:val="00296D10"/>
    <w:rsid w:val="002B1854"/>
    <w:rsid w:val="002B194F"/>
    <w:rsid w:val="002B4EF3"/>
    <w:rsid w:val="002B51DB"/>
    <w:rsid w:val="002C03CD"/>
    <w:rsid w:val="002D2AB5"/>
    <w:rsid w:val="002E1614"/>
    <w:rsid w:val="002F284C"/>
    <w:rsid w:val="003075C2"/>
    <w:rsid w:val="003102EF"/>
    <w:rsid w:val="00314F14"/>
    <w:rsid w:val="00315D18"/>
    <w:rsid w:val="003276CE"/>
    <w:rsid w:val="003378A2"/>
    <w:rsid w:val="00340F42"/>
    <w:rsid w:val="0035321B"/>
    <w:rsid w:val="0035624B"/>
    <w:rsid w:val="00360479"/>
    <w:rsid w:val="00362805"/>
    <w:rsid w:val="00363647"/>
    <w:rsid w:val="003649DD"/>
    <w:rsid w:val="003745F4"/>
    <w:rsid w:val="00374AAE"/>
    <w:rsid w:val="0037567A"/>
    <w:rsid w:val="00380417"/>
    <w:rsid w:val="003815DF"/>
    <w:rsid w:val="00394192"/>
    <w:rsid w:val="003952A4"/>
    <w:rsid w:val="0039591D"/>
    <w:rsid w:val="003970ED"/>
    <w:rsid w:val="003A48EB"/>
    <w:rsid w:val="003A729A"/>
    <w:rsid w:val="003B0182"/>
    <w:rsid w:val="003C4FCF"/>
    <w:rsid w:val="003D170F"/>
    <w:rsid w:val="003D2B22"/>
    <w:rsid w:val="003D3213"/>
    <w:rsid w:val="003D65DF"/>
    <w:rsid w:val="003E3027"/>
    <w:rsid w:val="003E60DD"/>
    <w:rsid w:val="003F3C29"/>
    <w:rsid w:val="003F49FA"/>
    <w:rsid w:val="003F642F"/>
    <w:rsid w:val="003F76C0"/>
    <w:rsid w:val="004030B9"/>
    <w:rsid w:val="0040375C"/>
    <w:rsid w:val="0041580F"/>
    <w:rsid w:val="0041582D"/>
    <w:rsid w:val="00416EC2"/>
    <w:rsid w:val="00417945"/>
    <w:rsid w:val="004206DB"/>
    <w:rsid w:val="00423BDD"/>
    <w:rsid w:val="004245AC"/>
    <w:rsid w:val="00425991"/>
    <w:rsid w:val="00433D1B"/>
    <w:rsid w:val="00437AEB"/>
    <w:rsid w:val="00442491"/>
    <w:rsid w:val="00445589"/>
    <w:rsid w:val="00446353"/>
    <w:rsid w:val="00446C86"/>
    <w:rsid w:val="0045270F"/>
    <w:rsid w:val="00455642"/>
    <w:rsid w:val="0046308D"/>
    <w:rsid w:val="004673D5"/>
    <w:rsid w:val="00475E76"/>
    <w:rsid w:val="00481B64"/>
    <w:rsid w:val="00494D6F"/>
    <w:rsid w:val="004A0DC8"/>
    <w:rsid w:val="004A0EF6"/>
    <w:rsid w:val="004B5542"/>
    <w:rsid w:val="004B6772"/>
    <w:rsid w:val="004B6D8F"/>
    <w:rsid w:val="004C0D97"/>
    <w:rsid w:val="004C27C6"/>
    <w:rsid w:val="004C5D4F"/>
    <w:rsid w:val="004C6112"/>
    <w:rsid w:val="004D3A1E"/>
    <w:rsid w:val="004D717F"/>
    <w:rsid w:val="004E0699"/>
    <w:rsid w:val="004E7397"/>
    <w:rsid w:val="004F14A4"/>
    <w:rsid w:val="004F1B55"/>
    <w:rsid w:val="004F680C"/>
    <w:rsid w:val="004F7851"/>
    <w:rsid w:val="0050040F"/>
    <w:rsid w:val="00502075"/>
    <w:rsid w:val="005028BE"/>
    <w:rsid w:val="005108E6"/>
    <w:rsid w:val="00511E86"/>
    <w:rsid w:val="0051376D"/>
    <w:rsid w:val="00517E7E"/>
    <w:rsid w:val="005300FA"/>
    <w:rsid w:val="00533D68"/>
    <w:rsid w:val="00540AE9"/>
    <w:rsid w:val="00555EB7"/>
    <w:rsid w:val="00563737"/>
    <w:rsid w:val="00565087"/>
    <w:rsid w:val="0056689D"/>
    <w:rsid w:val="005727BD"/>
    <w:rsid w:val="00574036"/>
    <w:rsid w:val="00574897"/>
    <w:rsid w:val="00581568"/>
    <w:rsid w:val="00585B29"/>
    <w:rsid w:val="00592BE9"/>
    <w:rsid w:val="005A3782"/>
    <w:rsid w:val="005B0262"/>
    <w:rsid w:val="005B13B2"/>
    <w:rsid w:val="005B2625"/>
    <w:rsid w:val="005C1541"/>
    <w:rsid w:val="005C1EAD"/>
    <w:rsid w:val="005C2F5F"/>
    <w:rsid w:val="005C3A33"/>
    <w:rsid w:val="005D0343"/>
    <w:rsid w:val="005E12EA"/>
    <w:rsid w:val="005E13C8"/>
    <w:rsid w:val="005E28B9"/>
    <w:rsid w:val="005E439C"/>
    <w:rsid w:val="005F3182"/>
    <w:rsid w:val="005F422B"/>
    <w:rsid w:val="005F4792"/>
    <w:rsid w:val="005F493C"/>
    <w:rsid w:val="005F57D4"/>
    <w:rsid w:val="00613B07"/>
    <w:rsid w:val="00614540"/>
    <w:rsid w:val="00614844"/>
    <w:rsid w:val="006150AA"/>
    <w:rsid w:val="00627372"/>
    <w:rsid w:val="00636DF4"/>
    <w:rsid w:val="00640261"/>
    <w:rsid w:val="00647BE8"/>
    <w:rsid w:val="006604CB"/>
    <w:rsid w:val="00662C0B"/>
    <w:rsid w:val="0066354B"/>
    <w:rsid w:val="0066399F"/>
    <w:rsid w:val="00674171"/>
    <w:rsid w:val="00681B04"/>
    <w:rsid w:val="00694A06"/>
    <w:rsid w:val="00697EB5"/>
    <w:rsid w:val="006A511D"/>
    <w:rsid w:val="006B7B0C"/>
    <w:rsid w:val="006C21FA"/>
    <w:rsid w:val="006C33F2"/>
    <w:rsid w:val="006C34A5"/>
    <w:rsid w:val="006D3126"/>
    <w:rsid w:val="006D5165"/>
    <w:rsid w:val="006D7353"/>
    <w:rsid w:val="006F03D9"/>
    <w:rsid w:val="006F5FFE"/>
    <w:rsid w:val="00722669"/>
    <w:rsid w:val="00723D66"/>
    <w:rsid w:val="0072602E"/>
    <w:rsid w:val="00726EE5"/>
    <w:rsid w:val="0073064C"/>
    <w:rsid w:val="00731EE4"/>
    <w:rsid w:val="007362D7"/>
    <w:rsid w:val="00737785"/>
    <w:rsid w:val="00750FF0"/>
    <w:rsid w:val="007515BB"/>
    <w:rsid w:val="00751CCC"/>
    <w:rsid w:val="0075315C"/>
    <w:rsid w:val="007534D9"/>
    <w:rsid w:val="007557B6"/>
    <w:rsid w:val="00755B50"/>
    <w:rsid w:val="0075792B"/>
    <w:rsid w:val="00760E17"/>
    <w:rsid w:val="00767BDA"/>
    <w:rsid w:val="00771B76"/>
    <w:rsid w:val="007747AD"/>
    <w:rsid w:val="007773BF"/>
    <w:rsid w:val="007775D0"/>
    <w:rsid w:val="00780544"/>
    <w:rsid w:val="00780720"/>
    <w:rsid w:val="00785299"/>
    <w:rsid w:val="00791AAB"/>
    <w:rsid w:val="007A17C6"/>
    <w:rsid w:val="007C61E3"/>
    <w:rsid w:val="007C7574"/>
    <w:rsid w:val="007D2629"/>
    <w:rsid w:val="007E1B8E"/>
    <w:rsid w:val="007E1FAE"/>
    <w:rsid w:val="007E4B5A"/>
    <w:rsid w:val="007F2EDA"/>
    <w:rsid w:val="007F55E5"/>
    <w:rsid w:val="007F6B0D"/>
    <w:rsid w:val="007F78E4"/>
    <w:rsid w:val="008015D8"/>
    <w:rsid w:val="008020C2"/>
    <w:rsid w:val="0080789B"/>
    <w:rsid w:val="00815B5B"/>
    <w:rsid w:val="0081772D"/>
    <w:rsid w:val="00820AC7"/>
    <w:rsid w:val="00832238"/>
    <w:rsid w:val="00832411"/>
    <w:rsid w:val="00834B38"/>
    <w:rsid w:val="00835DF4"/>
    <w:rsid w:val="008378F7"/>
    <w:rsid w:val="0084012B"/>
    <w:rsid w:val="00841280"/>
    <w:rsid w:val="00843FF8"/>
    <w:rsid w:val="00851785"/>
    <w:rsid w:val="00853FCC"/>
    <w:rsid w:val="008557FA"/>
    <w:rsid w:val="0086262B"/>
    <w:rsid w:val="0087359E"/>
    <w:rsid w:val="008808A5"/>
    <w:rsid w:val="008844B7"/>
    <w:rsid w:val="0088687F"/>
    <w:rsid w:val="0088705A"/>
    <w:rsid w:val="008958A1"/>
    <w:rsid w:val="008A5327"/>
    <w:rsid w:val="008C2DE4"/>
    <w:rsid w:val="008C68ED"/>
    <w:rsid w:val="008D12B1"/>
    <w:rsid w:val="008D49B9"/>
    <w:rsid w:val="008E297D"/>
    <w:rsid w:val="008E72AD"/>
    <w:rsid w:val="008F1A6E"/>
    <w:rsid w:val="008F475F"/>
    <w:rsid w:val="008F4D68"/>
    <w:rsid w:val="008F656A"/>
    <w:rsid w:val="008F79F2"/>
    <w:rsid w:val="00906C2D"/>
    <w:rsid w:val="00915674"/>
    <w:rsid w:val="009161EA"/>
    <w:rsid w:val="009216D5"/>
    <w:rsid w:val="00921E58"/>
    <w:rsid w:val="00923554"/>
    <w:rsid w:val="009249A0"/>
    <w:rsid w:val="0092600A"/>
    <w:rsid w:val="00926304"/>
    <w:rsid w:val="00937BF3"/>
    <w:rsid w:val="00941E57"/>
    <w:rsid w:val="009450D8"/>
    <w:rsid w:val="00946978"/>
    <w:rsid w:val="00947E4C"/>
    <w:rsid w:val="00953D59"/>
    <w:rsid w:val="00954010"/>
    <w:rsid w:val="009609ED"/>
    <w:rsid w:val="0096238C"/>
    <w:rsid w:val="0096348C"/>
    <w:rsid w:val="00973D8B"/>
    <w:rsid w:val="009760E3"/>
    <w:rsid w:val="009801E5"/>
    <w:rsid w:val="009815DB"/>
    <w:rsid w:val="00984F1C"/>
    <w:rsid w:val="00986D7D"/>
    <w:rsid w:val="00994644"/>
    <w:rsid w:val="009A06C3"/>
    <w:rsid w:val="009A68FE"/>
    <w:rsid w:val="009B0A01"/>
    <w:rsid w:val="009B0E9B"/>
    <w:rsid w:val="009B33D5"/>
    <w:rsid w:val="009C3B62"/>
    <w:rsid w:val="009C3BE7"/>
    <w:rsid w:val="009D0348"/>
    <w:rsid w:val="009D19B3"/>
    <w:rsid w:val="009D1BB5"/>
    <w:rsid w:val="009D6560"/>
    <w:rsid w:val="009E1310"/>
    <w:rsid w:val="009E6EE2"/>
    <w:rsid w:val="009F6E99"/>
    <w:rsid w:val="00A01787"/>
    <w:rsid w:val="00A11536"/>
    <w:rsid w:val="00A13963"/>
    <w:rsid w:val="00A258F2"/>
    <w:rsid w:val="00A304E0"/>
    <w:rsid w:val="00A31820"/>
    <w:rsid w:val="00A353C5"/>
    <w:rsid w:val="00A401A5"/>
    <w:rsid w:val="00A46C20"/>
    <w:rsid w:val="00A47006"/>
    <w:rsid w:val="00A508D0"/>
    <w:rsid w:val="00A5183C"/>
    <w:rsid w:val="00A55748"/>
    <w:rsid w:val="00A63738"/>
    <w:rsid w:val="00A665CC"/>
    <w:rsid w:val="00A70B78"/>
    <w:rsid w:val="00A744C3"/>
    <w:rsid w:val="00A74C6F"/>
    <w:rsid w:val="00A81721"/>
    <w:rsid w:val="00A84DE6"/>
    <w:rsid w:val="00A907AB"/>
    <w:rsid w:val="00A90C14"/>
    <w:rsid w:val="00A9262A"/>
    <w:rsid w:val="00AB15F1"/>
    <w:rsid w:val="00AB3136"/>
    <w:rsid w:val="00AC1A15"/>
    <w:rsid w:val="00AD4893"/>
    <w:rsid w:val="00AE1695"/>
    <w:rsid w:val="00AE41CE"/>
    <w:rsid w:val="00AE4635"/>
    <w:rsid w:val="00AE7291"/>
    <w:rsid w:val="00AF2031"/>
    <w:rsid w:val="00AF4E88"/>
    <w:rsid w:val="00AF7C8D"/>
    <w:rsid w:val="00B15788"/>
    <w:rsid w:val="00B17955"/>
    <w:rsid w:val="00B304B3"/>
    <w:rsid w:val="00B30F51"/>
    <w:rsid w:val="00B3204F"/>
    <w:rsid w:val="00B54D41"/>
    <w:rsid w:val="00B60B32"/>
    <w:rsid w:val="00B64A91"/>
    <w:rsid w:val="00B722B3"/>
    <w:rsid w:val="00B85160"/>
    <w:rsid w:val="00B9203B"/>
    <w:rsid w:val="00BA7672"/>
    <w:rsid w:val="00BC20B3"/>
    <w:rsid w:val="00BE56A5"/>
    <w:rsid w:val="00BE7A1F"/>
    <w:rsid w:val="00BF03FD"/>
    <w:rsid w:val="00BF15F9"/>
    <w:rsid w:val="00BF4C14"/>
    <w:rsid w:val="00C00C2D"/>
    <w:rsid w:val="00C03BBC"/>
    <w:rsid w:val="00C137FA"/>
    <w:rsid w:val="00C15FDC"/>
    <w:rsid w:val="00C16B87"/>
    <w:rsid w:val="00C25306"/>
    <w:rsid w:val="00C25B02"/>
    <w:rsid w:val="00C33FC2"/>
    <w:rsid w:val="00C3591B"/>
    <w:rsid w:val="00C3694B"/>
    <w:rsid w:val="00C4713F"/>
    <w:rsid w:val="00C60220"/>
    <w:rsid w:val="00C66C0B"/>
    <w:rsid w:val="00C702CD"/>
    <w:rsid w:val="00C761EE"/>
    <w:rsid w:val="00C81684"/>
    <w:rsid w:val="00C901AA"/>
    <w:rsid w:val="00C919F3"/>
    <w:rsid w:val="00C92589"/>
    <w:rsid w:val="00C93236"/>
    <w:rsid w:val="00C95BBF"/>
    <w:rsid w:val="00CA0868"/>
    <w:rsid w:val="00CA262C"/>
    <w:rsid w:val="00CA39FE"/>
    <w:rsid w:val="00CA4F10"/>
    <w:rsid w:val="00CB4BD3"/>
    <w:rsid w:val="00CB6177"/>
    <w:rsid w:val="00CC3321"/>
    <w:rsid w:val="00CC55AD"/>
    <w:rsid w:val="00CF09C7"/>
    <w:rsid w:val="00CF4289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2626"/>
    <w:rsid w:val="00D5385D"/>
    <w:rsid w:val="00D55F95"/>
    <w:rsid w:val="00D63B73"/>
    <w:rsid w:val="00D67826"/>
    <w:rsid w:val="00D73352"/>
    <w:rsid w:val="00D77353"/>
    <w:rsid w:val="00D77F51"/>
    <w:rsid w:val="00D80743"/>
    <w:rsid w:val="00D81F39"/>
    <w:rsid w:val="00D824A3"/>
    <w:rsid w:val="00D86979"/>
    <w:rsid w:val="00D87775"/>
    <w:rsid w:val="00D90620"/>
    <w:rsid w:val="00D93637"/>
    <w:rsid w:val="00D96F98"/>
    <w:rsid w:val="00DA15EE"/>
    <w:rsid w:val="00DA3029"/>
    <w:rsid w:val="00DA7DB7"/>
    <w:rsid w:val="00DB5429"/>
    <w:rsid w:val="00DC2D9C"/>
    <w:rsid w:val="00DC3767"/>
    <w:rsid w:val="00DC58D9"/>
    <w:rsid w:val="00DD0388"/>
    <w:rsid w:val="00DD2E3A"/>
    <w:rsid w:val="00DD4673"/>
    <w:rsid w:val="00DD6387"/>
    <w:rsid w:val="00DD7DC3"/>
    <w:rsid w:val="00DE3F87"/>
    <w:rsid w:val="00E02BEB"/>
    <w:rsid w:val="00E066D8"/>
    <w:rsid w:val="00E13C56"/>
    <w:rsid w:val="00E23475"/>
    <w:rsid w:val="00E31AA3"/>
    <w:rsid w:val="00E33857"/>
    <w:rsid w:val="00E356E9"/>
    <w:rsid w:val="00E45D77"/>
    <w:rsid w:val="00E57DF8"/>
    <w:rsid w:val="00E64AED"/>
    <w:rsid w:val="00E67EBA"/>
    <w:rsid w:val="00E70A95"/>
    <w:rsid w:val="00E73DF4"/>
    <w:rsid w:val="00E77817"/>
    <w:rsid w:val="00E83750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60FE"/>
    <w:rsid w:val="00EB6A08"/>
    <w:rsid w:val="00EC7C39"/>
    <w:rsid w:val="00ED4EF3"/>
    <w:rsid w:val="00EE24C9"/>
    <w:rsid w:val="00EE30AF"/>
    <w:rsid w:val="00EE7FFE"/>
    <w:rsid w:val="00EF70DA"/>
    <w:rsid w:val="00F0569E"/>
    <w:rsid w:val="00F064EF"/>
    <w:rsid w:val="00F236AC"/>
    <w:rsid w:val="00F243E4"/>
    <w:rsid w:val="00F37A94"/>
    <w:rsid w:val="00F4261B"/>
    <w:rsid w:val="00F46F5A"/>
    <w:rsid w:val="00F4704E"/>
    <w:rsid w:val="00F545BA"/>
    <w:rsid w:val="00F61FD7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267"/>
    <w:rsid w:val="00FD13A3"/>
    <w:rsid w:val="00FD75A8"/>
    <w:rsid w:val="00FE2C59"/>
    <w:rsid w:val="00FE35DD"/>
    <w:rsid w:val="00FF2806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URA_2024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216</TotalTime>
  <Pages>5</Pages>
  <Words>1006</Words>
  <Characters>6753</Characters>
  <Application>Microsoft Office Word</Application>
  <DocSecurity>0</DocSecurity>
  <Lines>964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11</cp:revision>
  <cp:lastPrinted>2024-05-07T08:38:00Z</cp:lastPrinted>
  <dcterms:created xsi:type="dcterms:W3CDTF">2024-05-02T05:36:00Z</dcterms:created>
  <dcterms:modified xsi:type="dcterms:W3CDTF">2024-05-07T09:28:00Z</dcterms:modified>
</cp:coreProperties>
</file>