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672F8" w:rsidTr="006B3C4C">
        <w:tblPrEx>
          <w:tblCellMar>
            <w:top w:w="0" w:type="dxa"/>
            <w:bottom w:w="0" w:type="dxa"/>
          </w:tblCellMar>
        </w:tblPrEx>
        <w:tc>
          <w:tcPr>
            <w:tcW w:w="2268" w:type="dxa"/>
          </w:tcPr>
          <w:p w:rsidR="006E4E11" w:rsidRPr="00A672F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672F8" w:rsidRDefault="006E4E11" w:rsidP="007242A3">
            <w:pPr>
              <w:framePr w:w="5035" w:h="1644" w:wrap="notBeside" w:vAnchor="page" w:hAnchor="page" w:x="6573" w:y="721"/>
              <w:rPr>
                <w:rFonts w:ascii="TradeGothic" w:hAnsi="TradeGothic"/>
                <w:i/>
                <w:sz w:val="18"/>
              </w:rPr>
            </w:pPr>
          </w:p>
        </w:tc>
      </w:tr>
      <w:tr w:rsidR="006B3C4C" w:rsidRPr="00A672F8" w:rsidTr="006B3C4C">
        <w:tblPrEx>
          <w:tblCellMar>
            <w:top w:w="0" w:type="dxa"/>
            <w:bottom w:w="0" w:type="dxa"/>
          </w:tblCellMar>
        </w:tblPrEx>
        <w:tc>
          <w:tcPr>
            <w:tcW w:w="5267" w:type="dxa"/>
            <w:gridSpan w:val="3"/>
          </w:tcPr>
          <w:p w:rsidR="006B3C4C" w:rsidRPr="00A672F8" w:rsidRDefault="006B3C4C" w:rsidP="007242A3">
            <w:pPr>
              <w:framePr w:w="5035" w:h="1644" w:wrap="notBeside" w:vAnchor="page" w:hAnchor="page" w:x="6573" w:y="721"/>
              <w:rPr>
                <w:rFonts w:ascii="TradeGothic" w:hAnsi="TradeGothic"/>
                <w:b/>
                <w:sz w:val="22"/>
              </w:rPr>
            </w:pPr>
            <w:r w:rsidRPr="00A672F8">
              <w:rPr>
                <w:rFonts w:ascii="TradeGothic" w:hAnsi="TradeGothic"/>
                <w:b/>
                <w:sz w:val="22"/>
              </w:rPr>
              <w:t>Rådspromemoria</w:t>
            </w:r>
          </w:p>
        </w:tc>
      </w:tr>
      <w:tr w:rsidR="006E4E11" w:rsidRPr="00A672F8" w:rsidTr="006B3C4C">
        <w:tblPrEx>
          <w:tblCellMar>
            <w:top w:w="0" w:type="dxa"/>
            <w:bottom w:w="0" w:type="dxa"/>
          </w:tblCellMar>
        </w:tblPrEx>
        <w:tc>
          <w:tcPr>
            <w:tcW w:w="3402" w:type="dxa"/>
            <w:gridSpan w:val="2"/>
          </w:tcPr>
          <w:p w:rsidR="006E4E11" w:rsidRPr="00A672F8" w:rsidRDefault="006E4E11" w:rsidP="007242A3">
            <w:pPr>
              <w:framePr w:w="5035" w:h="1644" w:wrap="notBeside" w:vAnchor="page" w:hAnchor="page" w:x="6573" w:y="721"/>
            </w:pPr>
          </w:p>
        </w:tc>
        <w:tc>
          <w:tcPr>
            <w:tcW w:w="1865" w:type="dxa"/>
          </w:tcPr>
          <w:p w:rsidR="006E4E11" w:rsidRPr="00A672F8" w:rsidRDefault="006E4E11" w:rsidP="007242A3">
            <w:pPr>
              <w:framePr w:w="5035" w:h="1644" w:wrap="notBeside" w:vAnchor="page" w:hAnchor="page" w:x="6573" w:y="721"/>
            </w:pPr>
          </w:p>
        </w:tc>
      </w:tr>
      <w:tr w:rsidR="006E4E11" w:rsidRPr="00A672F8" w:rsidTr="006B3C4C">
        <w:tblPrEx>
          <w:tblCellMar>
            <w:top w:w="0" w:type="dxa"/>
            <w:bottom w:w="0" w:type="dxa"/>
          </w:tblCellMar>
        </w:tblPrEx>
        <w:tc>
          <w:tcPr>
            <w:tcW w:w="2268" w:type="dxa"/>
          </w:tcPr>
          <w:p w:rsidR="006E4E11" w:rsidRPr="00A672F8" w:rsidRDefault="006B3C4C" w:rsidP="007242A3">
            <w:pPr>
              <w:framePr w:w="5035" w:h="1644" w:wrap="notBeside" w:vAnchor="page" w:hAnchor="page" w:x="6573" w:y="721"/>
            </w:pPr>
            <w:r w:rsidRPr="00A672F8">
              <w:t>2011-</w:t>
            </w:r>
            <w:r w:rsidR="00EB7202" w:rsidRPr="00A672F8">
              <w:t>11-17</w:t>
            </w:r>
          </w:p>
        </w:tc>
        <w:tc>
          <w:tcPr>
            <w:tcW w:w="2999" w:type="dxa"/>
            <w:gridSpan w:val="2"/>
          </w:tcPr>
          <w:p w:rsidR="006E4E11" w:rsidRPr="00A672F8" w:rsidRDefault="006E4E11" w:rsidP="007242A3">
            <w:pPr>
              <w:framePr w:w="5035" w:h="1644" w:wrap="notBeside" w:vAnchor="page" w:hAnchor="page" w:x="6573" w:y="721"/>
              <w:rPr>
                <w:sz w:val="20"/>
              </w:rPr>
            </w:pPr>
          </w:p>
        </w:tc>
      </w:tr>
      <w:tr w:rsidR="006E4E11" w:rsidRPr="00A672F8" w:rsidTr="006B3C4C">
        <w:tblPrEx>
          <w:tblCellMar>
            <w:top w:w="0" w:type="dxa"/>
            <w:bottom w:w="0" w:type="dxa"/>
          </w:tblCellMar>
        </w:tblPrEx>
        <w:tc>
          <w:tcPr>
            <w:tcW w:w="2268" w:type="dxa"/>
          </w:tcPr>
          <w:p w:rsidR="006E4E11" w:rsidRPr="00A672F8" w:rsidRDefault="006E4E11" w:rsidP="007242A3">
            <w:pPr>
              <w:framePr w:w="5035" w:h="1644" w:wrap="notBeside" w:vAnchor="page" w:hAnchor="page" w:x="6573" w:y="721"/>
            </w:pPr>
          </w:p>
        </w:tc>
        <w:tc>
          <w:tcPr>
            <w:tcW w:w="2999" w:type="dxa"/>
            <w:gridSpan w:val="2"/>
          </w:tcPr>
          <w:p w:rsidR="006E4E11" w:rsidRPr="00A672F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672F8">
        <w:tblPrEx>
          <w:tblCellMar>
            <w:top w:w="0" w:type="dxa"/>
            <w:bottom w:w="0" w:type="dxa"/>
          </w:tblCellMar>
        </w:tblPrEx>
        <w:trPr>
          <w:trHeight w:val="284"/>
        </w:trPr>
        <w:tc>
          <w:tcPr>
            <w:tcW w:w="4911" w:type="dxa"/>
          </w:tcPr>
          <w:p w:rsidR="006E4E11" w:rsidRPr="00A672F8" w:rsidRDefault="006B3C4C">
            <w:pPr>
              <w:pStyle w:val="Avsndare"/>
              <w:framePr w:h="2483" w:wrap="notBeside" w:x="1504"/>
              <w:rPr>
                <w:b/>
                <w:i w:val="0"/>
                <w:sz w:val="22"/>
              </w:rPr>
            </w:pPr>
            <w:r w:rsidRPr="00A672F8">
              <w:rPr>
                <w:b/>
                <w:i w:val="0"/>
                <w:sz w:val="22"/>
              </w:rPr>
              <w:t>Utbildningsdepartementet</w:t>
            </w: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r w:rsidR="006E4E11" w:rsidRPr="00A672F8">
        <w:tblPrEx>
          <w:tblCellMar>
            <w:top w:w="0" w:type="dxa"/>
            <w:bottom w:w="0" w:type="dxa"/>
          </w:tblCellMar>
        </w:tblPrEx>
        <w:trPr>
          <w:trHeight w:val="284"/>
        </w:trPr>
        <w:tc>
          <w:tcPr>
            <w:tcW w:w="4911" w:type="dxa"/>
          </w:tcPr>
          <w:p w:rsidR="006E4E11" w:rsidRPr="00A672F8" w:rsidRDefault="006B3C4C">
            <w:pPr>
              <w:pStyle w:val="Avsndare"/>
              <w:framePr w:h="2483" w:wrap="notBeside" w:x="1504"/>
              <w:rPr>
                <w:bCs/>
                <w:iCs/>
              </w:rPr>
            </w:pPr>
            <w:r w:rsidRPr="00A672F8">
              <w:rPr>
                <w:bCs/>
                <w:iCs/>
              </w:rPr>
              <w:t>Forskningspolitiska enheten</w:t>
            </w: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r w:rsidR="006E4E11" w:rsidRPr="00A672F8">
        <w:tblPrEx>
          <w:tblCellMar>
            <w:top w:w="0" w:type="dxa"/>
            <w:bottom w:w="0" w:type="dxa"/>
          </w:tblCellMar>
        </w:tblPrEx>
        <w:trPr>
          <w:trHeight w:val="284"/>
        </w:trPr>
        <w:tc>
          <w:tcPr>
            <w:tcW w:w="4911" w:type="dxa"/>
          </w:tcPr>
          <w:p w:rsidR="006E4E11" w:rsidRPr="00A672F8" w:rsidRDefault="006E4E11">
            <w:pPr>
              <w:pStyle w:val="Avsndare"/>
              <w:framePr w:h="2483" w:wrap="notBeside" w:x="1504"/>
              <w:rPr>
                <w:bCs/>
                <w:iCs/>
              </w:rPr>
            </w:pPr>
          </w:p>
        </w:tc>
      </w:tr>
    </w:tbl>
    <w:p w:rsidR="006E4E11" w:rsidRPr="00A672F8" w:rsidRDefault="006B3C4C">
      <w:pPr>
        <w:framePr w:w="4400" w:h="2523" w:wrap="notBeside" w:vAnchor="page" w:hAnchor="page" w:x="6453" w:y="2445"/>
        <w:ind w:left="142"/>
        <w:rPr>
          <w:b/>
        </w:rPr>
      </w:pPr>
      <w:r w:rsidRPr="00A672F8">
        <w:rPr>
          <w:b/>
        </w:rPr>
        <w:t>Riksdagen</w:t>
      </w:r>
    </w:p>
    <w:p w:rsidR="006B3C4C" w:rsidRPr="00A672F8" w:rsidRDefault="006B3C4C">
      <w:pPr>
        <w:pStyle w:val="RKrubrik"/>
        <w:pBdr>
          <w:bottom w:val="single" w:sz="6" w:space="1" w:color="auto"/>
        </w:pBdr>
      </w:pPr>
      <w:bookmarkStart w:id="0" w:name="bRubrik"/>
      <w:bookmarkEnd w:id="0"/>
      <w:r w:rsidRPr="00A672F8">
        <w:t>Rådets möte (KK</w:t>
      </w:r>
      <w:r w:rsidR="00EB7202" w:rsidRPr="00A672F8">
        <w:t>R</w:t>
      </w:r>
      <w:r w:rsidRPr="00A672F8">
        <w:t xml:space="preserve">) den </w:t>
      </w:r>
      <w:r w:rsidR="00EB7202" w:rsidRPr="00A672F8">
        <w:t>5-6 novembe</w:t>
      </w:r>
      <w:r w:rsidRPr="00A672F8">
        <w:t>r 2011</w:t>
      </w:r>
    </w:p>
    <w:p w:rsidR="006B3C4C" w:rsidRPr="00A672F8" w:rsidRDefault="006B3C4C">
      <w:pPr>
        <w:pStyle w:val="RKnormal"/>
      </w:pPr>
    </w:p>
    <w:p w:rsidR="006B3C4C" w:rsidRPr="00A672F8" w:rsidRDefault="006B3C4C" w:rsidP="006B3C4C">
      <w:pPr>
        <w:pStyle w:val="RKnormal"/>
        <w:rPr>
          <w:b/>
        </w:rPr>
      </w:pPr>
      <w:r w:rsidRPr="00A672F8">
        <w:rPr>
          <w:b/>
        </w:rPr>
        <w:t>Dagordningspunkt:</w:t>
      </w:r>
      <w:r w:rsidR="00EB7202" w:rsidRPr="00A672F8">
        <w:t xml:space="preserve"> 15</w:t>
      </w:r>
    </w:p>
    <w:p w:rsidR="006B3C4C" w:rsidRPr="00A672F8" w:rsidRDefault="006B3C4C">
      <w:pPr>
        <w:pStyle w:val="RKnormal"/>
      </w:pPr>
    </w:p>
    <w:p w:rsidR="006B3C4C" w:rsidRPr="00A672F8" w:rsidRDefault="006B3C4C">
      <w:pPr>
        <w:pStyle w:val="RKnormal"/>
      </w:pPr>
      <w:r w:rsidRPr="00A672F8">
        <w:rPr>
          <w:b/>
        </w:rPr>
        <w:t>Rubrik:</w:t>
      </w:r>
      <w:r w:rsidRPr="00A672F8">
        <w:t xml:space="preserve"> Rådslutsatser om </w:t>
      </w:r>
      <w:r w:rsidR="00EB7202" w:rsidRPr="00A672F8">
        <w:t>gemensamma programinitiativ</w:t>
      </w:r>
    </w:p>
    <w:p w:rsidR="00EB7202" w:rsidRPr="00A672F8" w:rsidRDefault="00EB7202">
      <w:pPr>
        <w:pStyle w:val="RKnormal"/>
      </w:pPr>
    </w:p>
    <w:p w:rsidR="006B3C4C" w:rsidRPr="00A672F8" w:rsidRDefault="006B3C4C">
      <w:pPr>
        <w:pStyle w:val="RKnormal"/>
        <w:rPr>
          <w:b/>
        </w:rPr>
      </w:pPr>
      <w:r w:rsidRPr="00A672F8">
        <w:rPr>
          <w:b/>
        </w:rPr>
        <w:t>Dokument:</w:t>
      </w:r>
      <w:r w:rsidR="00AE3C0E" w:rsidRPr="00A672F8">
        <w:rPr>
          <w:b/>
        </w:rPr>
        <w:t xml:space="preserve"> </w:t>
      </w:r>
      <w:r w:rsidR="00EB7202" w:rsidRPr="00A672F8">
        <w:t>17 059</w:t>
      </w:r>
      <w:r w:rsidR="00AE3C0E" w:rsidRPr="00A672F8">
        <w:t>/11</w:t>
      </w:r>
    </w:p>
    <w:p w:rsidR="006B3C4C" w:rsidRPr="00A672F8" w:rsidRDefault="006B3C4C">
      <w:pPr>
        <w:pStyle w:val="RKnormal"/>
      </w:pPr>
    </w:p>
    <w:p w:rsidR="006B3C4C" w:rsidRPr="00A672F8" w:rsidRDefault="006B3C4C">
      <w:pPr>
        <w:pStyle w:val="RKnormal"/>
      </w:pPr>
      <w:r w:rsidRPr="00A672F8">
        <w:rPr>
          <w:b/>
        </w:rPr>
        <w:t>Tidigare dokument:</w:t>
      </w:r>
      <w:r w:rsidR="00B70D86" w:rsidRPr="00A672F8">
        <w:t xml:space="preserve"> -</w:t>
      </w:r>
    </w:p>
    <w:p w:rsidR="00B70D86" w:rsidRPr="00A672F8" w:rsidRDefault="00B70D86">
      <w:pPr>
        <w:pStyle w:val="RKnormal"/>
      </w:pPr>
    </w:p>
    <w:p w:rsidR="006B3C4C" w:rsidRPr="00A672F8" w:rsidRDefault="006B3C4C">
      <w:pPr>
        <w:pStyle w:val="RKnormal"/>
        <w:rPr>
          <w:b/>
        </w:rPr>
      </w:pPr>
      <w:r w:rsidRPr="00A672F8">
        <w:rPr>
          <w:b/>
        </w:rPr>
        <w:t xml:space="preserve">Tidigare behandlad </w:t>
      </w:r>
      <w:r w:rsidR="00B70D86" w:rsidRPr="00A672F8">
        <w:rPr>
          <w:b/>
        </w:rPr>
        <w:t xml:space="preserve">vid samråd med EU-nämnden: </w:t>
      </w:r>
      <w:r w:rsidR="00B70D86" w:rsidRPr="00A672F8">
        <w:t>-</w:t>
      </w:r>
    </w:p>
    <w:p w:rsidR="006B3C4C" w:rsidRPr="00A672F8" w:rsidRDefault="006B3C4C">
      <w:pPr>
        <w:pStyle w:val="RKrubrik"/>
      </w:pPr>
      <w:r w:rsidRPr="00A672F8">
        <w:t>Bakgrund</w:t>
      </w:r>
    </w:p>
    <w:p w:rsidR="003C41A7" w:rsidRPr="00A672F8" w:rsidRDefault="00151C43" w:rsidP="003C41A7">
      <w:pPr>
        <w:pStyle w:val="RKnormal"/>
      </w:pPr>
      <w:r w:rsidRPr="00A672F8">
        <w:t xml:space="preserve">I februari 2008 </w:t>
      </w:r>
      <w:r w:rsidR="003C41A7" w:rsidRPr="00A672F8">
        <w:t xml:space="preserve">uppmuntrade </w:t>
      </w:r>
      <w:r w:rsidRPr="00A672F8">
        <w:t xml:space="preserve">rådet (KKR) medlemsstaterna och kommissionen att utveckla gemensamma forskningsprogram inom olika </w:t>
      </w:r>
      <w:r w:rsidR="00210C27" w:rsidRPr="00A672F8">
        <w:t>forsknings</w:t>
      </w:r>
      <w:r w:rsidRPr="00A672F8">
        <w:t>områden.</w:t>
      </w:r>
    </w:p>
    <w:p w:rsidR="003C41A7" w:rsidRPr="00A672F8" w:rsidRDefault="003C41A7" w:rsidP="003C41A7">
      <w:pPr>
        <w:pStyle w:val="RKnormal"/>
      </w:pPr>
    </w:p>
    <w:p w:rsidR="003C41A7" w:rsidRPr="00A672F8" w:rsidRDefault="003C41A7" w:rsidP="003C41A7">
      <w:pPr>
        <w:pStyle w:val="RKnormal"/>
      </w:pPr>
      <w:r w:rsidRPr="00A672F8">
        <w:t xml:space="preserve">Europeiska Rådet bekräftade i Lissabonstrategin för tillväxt och jobb (2008-2010) att gemensamma forskningsprogram skulle uppmärksammas i arbetet för att stärka EU:s forskning och innovation och därigenom Europas konkurrenskraft. </w:t>
      </w:r>
    </w:p>
    <w:p w:rsidR="003C41A7" w:rsidRPr="00A672F8" w:rsidRDefault="003C41A7" w:rsidP="003C41A7">
      <w:pPr>
        <w:pStyle w:val="RKnormal"/>
      </w:pPr>
    </w:p>
    <w:p w:rsidR="00151C43" w:rsidRPr="00A672F8" w:rsidRDefault="00151C43" w:rsidP="003C41A7">
      <w:pPr>
        <w:pStyle w:val="RKnormal"/>
      </w:pPr>
      <w:r w:rsidRPr="00A672F8">
        <w:t xml:space="preserve">I december </w:t>
      </w:r>
      <w:r w:rsidR="003C41A7" w:rsidRPr="00A672F8">
        <w:t xml:space="preserve">2008 kom ytterligare rådsslutsatser </w:t>
      </w:r>
      <w:r w:rsidRPr="00A672F8">
        <w:t>som innebar att en särskild högnivågrupp bildades (GPC) för arbetet med att identifiera och föreslå initiativ.</w:t>
      </w:r>
    </w:p>
    <w:p w:rsidR="00151C43" w:rsidRPr="00A672F8" w:rsidRDefault="00151C43" w:rsidP="003C41A7">
      <w:pPr>
        <w:pStyle w:val="RKnormal"/>
      </w:pPr>
    </w:p>
    <w:p w:rsidR="003C41A7" w:rsidRPr="00A672F8" w:rsidRDefault="003C41A7" w:rsidP="003C41A7">
      <w:pPr>
        <w:pStyle w:val="RKnormal"/>
      </w:pPr>
      <w:r w:rsidRPr="00A672F8">
        <w:t>2009 lanserades</w:t>
      </w:r>
      <w:r w:rsidR="00151C43" w:rsidRPr="00A672F8">
        <w:t xml:space="preserve"> ett</w:t>
      </w:r>
      <w:r w:rsidRPr="00A672F8">
        <w:t xml:space="preserve"> pilotprojekt </w:t>
      </w:r>
      <w:r w:rsidR="00151C43" w:rsidRPr="00A672F8">
        <w:t>inom området neurodegenerativa sjukdomar, särskild Alzheimers. Tre ytterligare program välkomnades samtidigt inom områdena i) jordbruk, livsmedelssäkerhet och klimatförändring, ii) kulturarvet och global förändring samt iii) hälsosam diet för ett hälsosamt liv.</w:t>
      </w:r>
    </w:p>
    <w:p w:rsidR="00210C27" w:rsidRPr="00A672F8" w:rsidRDefault="00210C27" w:rsidP="003C41A7">
      <w:pPr>
        <w:pStyle w:val="RKnormal"/>
      </w:pPr>
    </w:p>
    <w:p w:rsidR="00EB7202" w:rsidRPr="00A672F8" w:rsidRDefault="00210C27" w:rsidP="003C41A7">
      <w:pPr>
        <w:pStyle w:val="RKnormal"/>
      </w:pPr>
      <w:r w:rsidRPr="00A672F8">
        <w:lastRenderedPageBreak/>
        <w:t>I maj 2010 inviterade rådet KOM att bidra till förberedelserna av ytterligare sex initiativ till gemensam programplanering</w:t>
      </w:r>
      <w:r w:rsidR="00EA4C42" w:rsidRPr="00A672F8">
        <w:rPr>
          <w:rStyle w:val="Fotnotsreferens"/>
        </w:rPr>
        <w:footnoteReference w:id="1"/>
      </w:r>
      <w:r w:rsidRPr="00A672F8">
        <w:t>, varav ett gällde initiativet ”Fler år bättre liv”</w:t>
      </w:r>
      <w:r w:rsidR="00EB7202" w:rsidRPr="00A672F8">
        <w:t xml:space="preserve"> som behandlades vid KKR i september 2011</w:t>
      </w:r>
      <w:r w:rsidRPr="00A672F8">
        <w:t>.</w:t>
      </w:r>
      <w:r w:rsidR="00EB7202" w:rsidRPr="00A672F8">
        <w:t xml:space="preserve"> De fem återstående initiativen inom denna s.k. andra våg av initiativ behandlas i de nu aktuella slutsatserna.</w:t>
      </w:r>
    </w:p>
    <w:p w:rsidR="006B3C4C" w:rsidRPr="00A672F8" w:rsidRDefault="006B3C4C">
      <w:pPr>
        <w:pStyle w:val="RKrubrik"/>
      </w:pPr>
      <w:r w:rsidRPr="00A672F8">
        <w:t>Rättslig grund och beslutsförfarande</w:t>
      </w:r>
    </w:p>
    <w:p w:rsidR="00387692" w:rsidRPr="00A672F8" w:rsidRDefault="00387692" w:rsidP="00387692">
      <w:pPr>
        <w:pStyle w:val="RKnormal"/>
      </w:pPr>
      <w:r w:rsidRPr="00A672F8">
        <w:t xml:space="preserve">Arbetet med gemensamma program är </w:t>
      </w:r>
      <w:r w:rsidR="007B73B0" w:rsidRPr="00A672F8">
        <w:t>i</w:t>
      </w:r>
      <w:r w:rsidRPr="00A672F8">
        <w:t>nte huvudsakligen ett EU-projekt, utan ett mellanstatligt samarbete där medlemsländerna går samman för att implementera gemensamma forskningsprogram som de kommit överens om i EU:s konkurrenskraftsråd. För att samordna denna process har en högnivågrupp skapats på Europeisk nivå (GPC).</w:t>
      </w:r>
    </w:p>
    <w:p w:rsidR="006B3C4C" w:rsidRPr="00A672F8" w:rsidRDefault="006B3C4C">
      <w:pPr>
        <w:pStyle w:val="RKrubrik"/>
        <w:rPr>
          <w:i/>
          <w:iCs/>
        </w:rPr>
      </w:pPr>
      <w:r w:rsidRPr="00A672F8">
        <w:rPr>
          <w:i/>
          <w:iCs/>
        </w:rPr>
        <w:t>Svensk ståndpunkt</w:t>
      </w:r>
    </w:p>
    <w:p w:rsidR="00930F7B" w:rsidRPr="00A672F8" w:rsidRDefault="00B70D86">
      <w:pPr>
        <w:pStyle w:val="RKnormal"/>
      </w:pPr>
      <w:r w:rsidRPr="00A672F8">
        <w:t xml:space="preserve">Regeringen anser att Sverige kan stödja de aktuella slutsatserna. </w:t>
      </w:r>
      <w:r w:rsidR="00FB5AA3" w:rsidRPr="00A672F8">
        <w:t>Alla initiativen görs inom mycket angelägna områden.</w:t>
      </w:r>
    </w:p>
    <w:p w:rsidR="006B3C4C" w:rsidRPr="00A672F8" w:rsidRDefault="006B3C4C">
      <w:pPr>
        <w:pStyle w:val="RKrubrik"/>
      </w:pPr>
      <w:r w:rsidRPr="00A672F8">
        <w:t>Europaparlamentets inställning</w:t>
      </w:r>
    </w:p>
    <w:p w:rsidR="006B3C4C" w:rsidRPr="00A672F8" w:rsidRDefault="00930F7B">
      <w:pPr>
        <w:pStyle w:val="RKnormal"/>
      </w:pPr>
      <w:r w:rsidRPr="00A672F8">
        <w:t xml:space="preserve">- </w:t>
      </w:r>
    </w:p>
    <w:p w:rsidR="006B3C4C" w:rsidRPr="00A672F8" w:rsidRDefault="006B3C4C">
      <w:pPr>
        <w:pStyle w:val="RKrubrik"/>
        <w:rPr>
          <w:i/>
          <w:iCs/>
        </w:rPr>
      </w:pPr>
      <w:r w:rsidRPr="00A672F8">
        <w:rPr>
          <w:i/>
          <w:iCs/>
        </w:rPr>
        <w:t>Förslaget</w:t>
      </w:r>
    </w:p>
    <w:p w:rsidR="00930F7B" w:rsidRPr="00A672F8" w:rsidRDefault="00930F7B" w:rsidP="00930F7B">
      <w:pPr>
        <w:pStyle w:val="RKnormal"/>
      </w:pPr>
      <w:r w:rsidRPr="00A672F8">
        <w:t xml:space="preserve">Rådslutsatserna innebär att ett gemensamt programinitiativ ska tas inom </w:t>
      </w:r>
      <w:r w:rsidR="00EB7202" w:rsidRPr="00A672F8">
        <w:t>områdena:</w:t>
      </w:r>
    </w:p>
    <w:p w:rsidR="00EB7202" w:rsidRPr="00A672F8" w:rsidRDefault="00EB7202" w:rsidP="00930F7B">
      <w:pPr>
        <w:pStyle w:val="RKnormal"/>
      </w:pPr>
    </w:p>
    <w:p w:rsidR="00624C88" w:rsidRPr="00A672F8" w:rsidRDefault="00624C88" w:rsidP="00624C88">
      <w:pPr>
        <w:pStyle w:val="RKnormal"/>
        <w:numPr>
          <w:ilvl w:val="0"/>
          <w:numId w:val="3"/>
        </w:numPr>
      </w:pPr>
      <w:r w:rsidRPr="00A672F8">
        <w:t>Friska och produktiva hav och oceaner</w:t>
      </w:r>
    </w:p>
    <w:p w:rsidR="00EB7202" w:rsidRPr="00A672F8" w:rsidRDefault="003B6AA9" w:rsidP="00624C88">
      <w:pPr>
        <w:pStyle w:val="RKnormal"/>
        <w:numPr>
          <w:ilvl w:val="0"/>
          <w:numId w:val="3"/>
        </w:numPr>
      </w:pPr>
      <w:r w:rsidRPr="00A672F8">
        <w:t>Ett urbant Europa – globala utmaningar för städerna, gemensamma europeiska lösningar</w:t>
      </w:r>
    </w:p>
    <w:p w:rsidR="003B6AA9" w:rsidRPr="00A672F8" w:rsidRDefault="003B6AA9" w:rsidP="00624C88">
      <w:pPr>
        <w:pStyle w:val="RKnormal"/>
        <w:numPr>
          <w:ilvl w:val="0"/>
          <w:numId w:val="3"/>
        </w:numPr>
      </w:pPr>
      <w:r w:rsidRPr="00A672F8">
        <w:t>Sammanlänkning av klimatkunskap för Europa</w:t>
      </w:r>
    </w:p>
    <w:p w:rsidR="00EB7202" w:rsidRPr="00A672F8" w:rsidRDefault="003B6AA9" w:rsidP="00624C88">
      <w:pPr>
        <w:pStyle w:val="RKnormal"/>
        <w:numPr>
          <w:ilvl w:val="0"/>
          <w:numId w:val="3"/>
        </w:numPr>
      </w:pPr>
      <w:r w:rsidRPr="00A672F8">
        <w:t>Vatten – utmaningar i en föränderlig värld</w:t>
      </w:r>
    </w:p>
    <w:p w:rsidR="003B6AA9" w:rsidRPr="00A672F8" w:rsidRDefault="003B6AA9" w:rsidP="00624C88">
      <w:pPr>
        <w:pStyle w:val="RKnormal"/>
        <w:numPr>
          <w:ilvl w:val="0"/>
          <w:numId w:val="3"/>
        </w:numPr>
      </w:pPr>
      <w:r w:rsidRPr="00A672F8">
        <w:t>Den mikrobiella utmaningen – ett nytt hot mot människors hälsa</w:t>
      </w:r>
    </w:p>
    <w:p w:rsidR="00930F7B" w:rsidRPr="00A672F8" w:rsidRDefault="00930F7B" w:rsidP="00930F7B">
      <w:pPr>
        <w:pStyle w:val="RKnormal"/>
      </w:pPr>
    </w:p>
    <w:p w:rsidR="00930F7B" w:rsidRPr="00A672F8" w:rsidRDefault="00930F7B" w:rsidP="00930F7B">
      <w:pPr>
        <w:pStyle w:val="RKnormal"/>
      </w:pPr>
      <w:r w:rsidRPr="00A672F8">
        <w:t xml:space="preserve">MS inbjuds i slutsatserna att utveckla en gemensam vision och en strategisk forskningsagenda </w:t>
      </w:r>
      <w:r w:rsidR="003E78DD" w:rsidRPr="00A672F8">
        <w:t xml:space="preserve">(SRA) </w:t>
      </w:r>
      <w:r w:rsidRPr="00A672F8">
        <w:t xml:space="preserve">för </w:t>
      </w:r>
      <w:r w:rsidR="003E78DD" w:rsidRPr="00A672F8">
        <w:t>respektive initiativ</w:t>
      </w:r>
      <w:r w:rsidRPr="00A672F8">
        <w:t xml:space="preserve">. </w:t>
      </w:r>
      <w:r w:rsidR="003E78DD" w:rsidRPr="00A672F8">
        <w:t>Vidare inviteras MS att implementera SRA</w:t>
      </w:r>
      <w:r w:rsidR="00624C88" w:rsidRPr="00A672F8">
        <w:t xml:space="preserve"> och samtidigt beakta de frivilliga riktlinjer som tagits fram. </w:t>
      </w:r>
      <w:r w:rsidRPr="00A672F8">
        <w:t>KOM inbjuds att bidra till arbetet med initiativet, samtidigt som det betonas att MS är ansvariga för processen.</w:t>
      </w:r>
    </w:p>
    <w:p w:rsidR="00624C88" w:rsidRPr="00A672F8" w:rsidRDefault="00624C88" w:rsidP="00930F7B">
      <w:pPr>
        <w:pStyle w:val="RKnormal"/>
      </w:pPr>
    </w:p>
    <w:p w:rsidR="00624C88" w:rsidRPr="00A672F8" w:rsidRDefault="00624C88" w:rsidP="00930F7B">
      <w:pPr>
        <w:pStyle w:val="RKnormal"/>
      </w:pPr>
      <w:r w:rsidRPr="00A672F8">
        <w:t>Nedan redovisas korta motiveringar för respektive initiativ</w:t>
      </w:r>
      <w:r w:rsidR="009C7C13" w:rsidRPr="00A672F8">
        <w:t xml:space="preserve"> enligt ovan numrering</w:t>
      </w:r>
      <w:r w:rsidRPr="00A672F8">
        <w:t>:</w:t>
      </w:r>
    </w:p>
    <w:p w:rsidR="009C7C13" w:rsidRPr="00A672F8" w:rsidRDefault="009C7C13" w:rsidP="00930F7B">
      <w:pPr>
        <w:pStyle w:val="RKnormal"/>
      </w:pPr>
    </w:p>
    <w:p w:rsidR="00624C88" w:rsidRPr="00A672F8" w:rsidRDefault="00624C88" w:rsidP="009C7C13">
      <w:pPr>
        <w:pStyle w:val="RKnormal"/>
        <w:numPr>
          <w:ilvl w:val="0"/>
          <w:numId w:val="5"/>
        </w:numPr>
      </w:pPr>
      <w:r w:rsidRPr="00A672F8">
        <w:t>Europa har 89 000 kilometer kust mot två oceaner och fyra hav och dessa kustregioner står för cirka 40 % av dess BNP och befolkning med viktiga bidrag till ekonomiska nyckelsektorer som sjötransporter och sjöfartshandel, den marina bioekonomin, energi och turism.</w:t>
      </w:r>
    </w:p>
    <w:p w:rsidR="009C7C13" w:rsidRPr="00A672F8" w:rsidRDefault="009C7C13" w:rsidP="009C7C13">
      <w:pPr>
        <w:pStyle w:val="RKnormal"/>
        <w:ind w:left="360"/>
      </w:pPr>
    </w:p>
    <w:p w:rsidR="00624C88" w:rsidRPr="00A672F8" w:rsidRDefault="00624C88" w:rsidP="009C7C13">
      <w:pPr>
        <w:pStyle w:val="RKnormal"/>
        <w:numPr>
          <w:ilvl w:val="0"/>
          <w:numId w:val="5"/>
        </w:numPr>
      </w:pPr>
      <w:r w:rsidRPr="00A672F8">
        <w:t>Hållbar utveckling i de europeiska städerna är en viktig samhällsfråga samtidigt som den globala urbaniseringstrenden växer sig allt starkare. Enligt prognoserna kommer nästan 70 procent av världens befolkning att bo i städer år 2050, vilket är en ökning från 50 procent idag. Siffran för Europa är ännu högre: cirka 83 procent av befolkningen förväntas</w:t>
      </w:r>
      <w:r w:rsidR="009C7C13" w:rsidRPr="00A672F8">
        <w:t xml:space="preserve"> bo</w:t>
      </w:r>
      <w:r w:rsidRPr="00A672F8">
        <w:t xml:space="preserve"> i städer år 2050.</w:t>
      </w:r>
    </w:p>
    <w:p w:rsidR="009C7C13" w:rsidRPr="00A672F8" w:rsidRDefault="009C7C13" w:rsidP="009C7C13">
      <w:pPr>
        <w:pStyle w:val="RKnormal"/>
        <w:ind w:left="360"/>
      </w:pPr>
    </w:p>
    <w:p w:rsidR="009C7C13" w:rsidRPr="00A672F8" w:rsidRDefault="007766DA" w:rsidP="009C7C13">
      <w:pPr>
        <w:pStyle w:val="RKnormal"/>
        <w:numPr>
          <w:ilvl w:val="0"/>
          <w:numId w:val="5"/>
        </w:numPr>
      </w:pPr>
      <w:r w:rsidRPr="00A672F8">
        <w:t>Klimatförändring är en av vår tids största utmaningar. Kunskapen om samhällets och ekosystemens sårbarhet för och</w:t>
      </w:r>
      <w:r w:rsidR="00137169" w:rsidRPr="00A672F8">
        <w:t xml:space="preserve"> </w:t>
      </w:r>
      <w:r w:rsidRPr="00A672F8">
        <w:t>motståndskraft mot klimatriskerna är dock fortfarande dålig. Det finns även ett behov av att bättre förstå de grundläggande processer som styr klimatsystemet för att man lättare ska kunna upptäcka klimatförändringarna och fastställa deras orsaker (mänsklig eller naturlig påverkan) samt skilja mellan klimatförändring och klimatvariationer.</w:t>
      </w:r>
    </w:p>
    <w:p w:rsidR="007766DA" w:rsidRPr="00A672F8" w:rsidRDefault="007766DA" w:rsidP="007766DA">
      <w:pPr>
        <w:pStyle w:val="RKnormal"/>
        <w:ind w:left="360"/>
      </w:pPr>
    </w:p>
    <w:p w:rsidR="009C7C13" w:rsidRPr="00A672F8" w:rsidRDefault="00624C88" w:rsidP="007766DA">
      <w:pPr>
        <w:pStyle w:val="RKnormal"/>
        <w:numPr>
          <w:ilvl w:val="0"/>
          <w:numId w:val="5"/>
        </w:numPr>
      </w:pPr>
      <w:r w:rsidRPr="00A672F8">
        <w:t>Tillgång på vatten i tillräcklig mängd och av fullgod kvalitet är en prioriterad fråga och en utmaning för samhället i Europa och globalt.</w:t>
      </w:r>
      <w:r w:rsidR="009C7C13" w:rsidRPr="00A672F8">
        <w:t xml:space="preserve"> Den världsomfattande klyftan mellan efterfrågan och tillgången på vatten förväntas öka avsevärt under de närmaste 20 åren. </w:t>
      </w:r>
    </w:p>
    <w:p w:rsidR="007766DA" w:rsidRPr="00A672F8" w:rsidRDefault="007766DA" w:rsidP="007766DA">
      <w:pPr>
        <w:pStyle w:val="RKnormal"/>
        <w:ind w:left="360"/>
      </w:pPr>
    </w:p>
    <w:p w:rsidR="00624C88" w:rsidRPr="00A672F8" w:rsidRDefault="009C7C13" w:rsidP="009C7C13">
      <w:pPr>
        <w:pStyle w:val="RKnormal"/>
        <w:numPr>
          <w:ilvl w:val="0"/>
          <w:numId w:val="5"/>
        </w:numPr>
      </w:pPr>
      <w:r w:rsidRPr="00A672F8">
        <w:t>Den mikrobiella utmaningen, som beror på den ökade resistensen mot antimikrobiella medel, är ett av de allvarligaste framväxande hoten mot människors hälsa under det här århundradet. I unionen dör fler än 25 000 patienter varje år på grund av infektioner orsakade av bakterier som är resistenta mot flera antibiotika, så kallade multiresistenta bakterier. I vissa europeiska länder är mer än 40–50 % av alla bakterier resistenta mot ett antibiotikum, och multiresistens är ett vanligt och växande problem.</w:t>
      </w:r>
    </w:p>
    <w:p w:rsidR="00624C88" w:rsidRPr="00A672F8" w:rsidRDefault="00624C88" w:rsidP="00930F7B">
      <w:pPr>
        <w:pStyle w:val="RKnormal"/>
      </w:pPr>
    </w:p>
    <w:p w:rsidR="006B3C4C" w:rsidRPr="00A672F8" w:rsidRDefault="006B3C4C">
      <w:pPr>
        <w:pStyle w:val="RKrubrik"/>
        <w:rPr>
          <w:i/>
          <w:iCs/>
        </w:rPr>
      </w:pPr>
      <w:r w:rsidRPr="00A672F8">
        <w:rPr>
          <w:i/>
          <w:iCs/>
        </w:rPr>
        <w:t>Gällande svenska regler och förslagets effekter på dessa</w:t>
      </w:r>
    </w:p>
    <w:p w:rsidR="006B3C4C" w:rsidRPr="00A672F8" w:rsidRDefault="00930F7B">
      <w:pPr>
        <w:pStyle w:val="RKnormal"/>
      </w:pPr>
      <w:r w:rsidRPr="00A672F8">
        <w:t>-</w:t>
      </w:r>
    </w:p>
    <w:p w:rsidR="006B3C4C" w:rsidRPr="00A672F8" w:rsidRDefault="006B3C4C">
      <w:pPr>
        <w:pStyle w:val="RKrubrik"/>
      </w:pPr>
      <w:r w:rsidRPr="00A672F8">
        <w:t>Ekonomiska konsekvenser</w:t>
      </w:r>
    </w:p>
    <w:p w:rsidR="00387692" w:rsidRPr="00A672F8" w:rsidRDefault="00387692" w:rsidP="00387692">
      <w:pPr>
        <w:pStyle w:val="RKnormal"/>
      </w:pPr>
      <w:r w:rsidRPr="00A672F8">
        <w:t>Budgetära konsekvenser uppstår först om Sverige väljer att delta i ett gemensamt program. I första hand är det upp till framförallt de svenska forskningsfinansierande myndigheterna att avgöra vilka initiativ de vill delta i.</w:t>
      </w:r>
    </w:p>
    <w:p w:rsidR="006B3C4C" w:rsidRPr="00A672F8" w:rsidRDefault="006B3C4C">
      <w:pPr>
        <w:pStyle w:val="RKnormal"/>
      </w:pPr>
    </w:p>
    <w:p w:rsidR="006B3C4C" w:rsidRPr="00A672F8" w:rsidRDefault="006B3C4C">
      <w:pPr>
        <w:pStyle w:val="RKrubrik"/>
      </w:pPr>
      <w:r w:rsidRPr="00A672F8">
        <w:t>Övrigt</w:t>
      </w:r>
    </w:p>
    <w:p w:rsidR="006B3C4C" w:rsidRPr="00A672F8" w:rsidRDefault="00930F7B">
      <w:pPr>
        <w:pStyle w:val="RKnormal"/>
      </w:pPr>
      <w:r w:rsidRPr="00A672F8">
        <w:t>-</w:t>
      </w:r>
    </w:p>
    <w:sectPr w:rsidR="006B3C4C" w:rsidRPr="00A672F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61F" w:rsidRPr="00A672F8" w:rsidRDefault="0094361F">
      <w:r w:rsidRPr="00A672F8">
        <w:separator/>
      </w:r>
    </w:p>
  </w:endnote>
  <w:endnote w:type="continuationSeparator" w:id="0">
    <w:p w:rsidR="0094361F" w:rsidRPr="00A672F8" w:rsidRDefault="0094361F">
      <w:r w:rsidRPr="00A67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61F" w:rsidRPr="00A672F8" w:rsidRDefault="0094361F">
      <w:r w:rsidRPr="00A672F8">
        <w:separator/>
      </w:r>
    </w:p>
  </w:footnote>
  <w:footnote w:type="continuationSeparator" w:id="0">
    <w:p w:rsidR="0094361F" w:rsidRPr="00A672F8" w:rsidRDefault="0094361F">
      <w:r w:rsidRPr="00A672F8">
        <w:continuationSeparator/>
      </w:r>
    </w:p>
  </w:footnote>
  <w:footnote w:id="1">
    <w:p w:rsidR="007766DA" w:rsidRPr="00A672F8" w:rsidRDefault="007766DA">
      <w:pPr>
        <w:pStyle w:val="Fotnotstext"/>
      </w:pPr>
      <w:r w:rsidRPr="00A672F8">
        <w:rPr>
          <w:rStyle w:val="Fotnotsreferens"/>
        </w:rPr>
        <w:footnoteRef/>
      </w:r>
      <w:r w:rsidRPr="00A672F8">
        <w:t xml:space="preserve"> Connecting Climate Knowledge for Europe (Clik'EU)', 'Healthy and Productive Seas and Oceans', 'More Years, Better Lives - The Potential and Challenges of Demographic Change', 'The microbial challenge - An emerging threat to human health', 'Urban Europe - Global Challenges, Local Solutions' and 'Water Challenges for a Changing World.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DA" w:rsidRPr="00A672F8" w:rsidRDefault="007766DA">
    <w:pPr>
      <w:pStyle w:val="Sidhuvud"/>
      <w:framePr w:wrap="around" w:vAnchor="text" w:hAnchor="margin" w:xAlign="right" w:y="1"/>
      <w:rPr>
        <w:rStyle w:val="Sidnummer"/>
      </w:rPr>
    </w:pPr>
    <w:r w:rsidRPr="00A672F8">
      <w:rPr>
        <w:rStyle w:val="Sidnummer"/>
      </w:rPr>
      <w:fldChar w:fldCharType="begin" w:fldLock="1"/>
    </w:r>
    <w:r w:rsidRPr="00A672F8">
      <w:rPr>
        <w:rStyle w:val="Sidnummer"/>
      </w:rPr>
      <w:instrText xml:space="preserve">PAGE  </w:instrText>
    </w:r>
    <w:r w:rsidRPr="00A672F8">
      <w:rPr>
        <w:rStyle w:val="Sidnummer"/>
      </w:rPr>
      <w:fldChar w:fldCharType="separate"/>
    </w:r>
    <w:r w:rsidR="0030054C" w:rsidRPr="00A672F8">
      <w:rPr>
        <w:rStyle w:val="Sidnummer"/>
      </w:rPr>
      <w:t>4</w:t>
    </w:r>
    <w:r w:rsidRPr="00A672F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66DA" w:rsidRPr="00A672F8">
      <w:tblPrEx>
        <w:tblCellMar>
          <w:top w:w="0" w:type="dxa"/>
          <w:bottom w:w="0" w:type="dxa"/>
        </w:tblCellMar>
      </w:tblPrEx>
      <w:trPr>
        <w:cantSplit/>
      </w:trPr>
      <w:tc>
        <w:tcPr>
          <w:tcW w:w="3119" w:type="dxa"/>
        </w:tcPr>
        <w:p w:rsidR="007766DA" w:rsidRPr="00A672F8" w:rsidRDefault="007766DA">
          <w:pPr>
            <w:pStyle w:val="Sidhuvud"/>
            <w:spacing w:line="200" w:lineRule="atLeast"/>
            <w:ind w:right="357"/>
            <w:rPr>
              <w:rFonts w:ascii="TradeGothic" w:hAnsi="TradeGothic"/>
              <w:b/>
              <w:bCs/>
              <w:sz w:val="16"/>
            </w:rPr>
          </w:pPr>
        </w:p>
      </w:tc>
      <w:tc>
        <w:tcPr>
          <w:tcW w:w="4111" w:type="dxa"/>
          <w:tcMar>
            <w:left w:w="567" w:type="dxa"/>
          </w:tcMar>
        </w:tcPr>
        <w:p w:rsidR="007766DA" w:rsidRPr="00A672F8" w:rsidRDefault="007766DA">
          <w:pPr>
            <w:pStyle w:val="Sidhuvud"/>
            <w:ind w:right="360"/>
          </w:pPr>
        </w:p>
      </w:tc>
      <w:tc>
        <w:tcPr>
          <w:tcW w:w="1525" w:type="dxa"/>
        </w:tcPr>
        <w:p w:rsidR="007766DA" w:rsidRPr="00A672F8" w:rsidRDefault="007766DA">
          <w:pPr>
            <w:pStyle w:val="Sidhuvud"/>
            <w:ind w:right="360"/>
          </w:pPr>
        </w:p>
      </w:tc>
    </w:tr>
  </w:tbl>
  <w:p w:rsidR="007766DA" w:rsidRPr="00A672F8" w:rsidRDefault="007766D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DA" w:rsidRPr="00A672F8" w:rsidRDefault="007766DA">
    <w:pPr>
      <w:pStyle w:val="Sidhuvud"/>
      <w:framePr w:wrap="around" w:vAnchor="text" w:hAnchor="margin" w:xAlign="right" w:y="1"/>
      <w:rPr>
        <w:rStyle w:val="Sidnummer"/>
      </w:rPr>
    </w:pPr>
    <w:r w:rsidRPr="00A672F8">
      <w:rPr>
        <w:rStyle w:val="Sidnummer"/>
      </w:rPr>
      <w:fldChar w:fldCharType="begin" w:fldLock="1"/>
    </w:r>
    <w:r w:rsidRPr="00A672F8">
      <w:rPr>
        <w:rStyle w:val="Sidnummer"/>
      </w:rPr>
      <w:instrText xml:space="preserve">PAGE  </w:instrText>
    </w:r>
    <w:r w:rsidRPr="00A672F8">
      <w:rPr>
        <w:rStyle w:val="Sidnummer"/>
      </w:rPr>
      <w:fldChar w:fldCharType="separate"/>
    </w:r>
    <w:r w:rsidR="0030054C" w:rsidRPr="00A672F8">
      <w:rPr>
        <w:rStyle w:val="Sidnummer"/>
      </w:rPr>
      <w:t>3</w:t>
    </w:r>
    <w:r w:rsidRPr="00A672F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66DA" w:rsidRPr="00A672F8">
      <w:tblPrEx>
        <w:tblCellMar>
          <w:top w:w="0" w:type="dxa"/>
          <w:bottom w:w="0" w:type="dxa"/>
        </w:tblCellMar>
      </w:tblPrEx>
      <w:trPr>
        <w:cantSplit/>
      </w:trPr>
      <w:tc>
        <w:tcPr>
          <w:tcW w:w="3119" w:type="dxa"/>
        </w:tcPr>
        <w:p w:rsidR="007766DA" w:rsidRPr="00A672F8" w:rsidRDefault="007766DA">
          <w:pPr>
            <w:pStyle w:val="Sidhuvud"/>
            <w:spacing w:line="200" w:lineRule="atLeast"/>
            <w:ind w:right="357"/>
            <w:rPr>
              <w:rFonts w:ascii="TradeGothic" w:hAnsi="TradeGothic"/>
              <w:b/>
              <w:bCs/>
              <w:sz w:val="16"/>
            </w:rPr>
          </w:pPr>
        </w:p>
      </w:tc>
      <w:tc>
        <w:tcPr>
          <w:tcW w:w="4111" w:type="dxa"/>
          <w:tcMar>
            <w:left w:w="567" w:type="dxa"/>
          </w:tcMar>
        </w:tcPr>
        <w:p w:rsidR="007766DA" w:rsidRPr="00A672F8" w:rsidRDefault="007766DA">
          <w:pPr>
            <w:pStyle w:val="Sidhuvud"/>
            <w:ind w:right="360"/>
          </w:pPr>
        </w:p>
      </w:tc>
      <w:tc>
        <w:tcPr>
          <w:tcW w:w="1525" w:type="dxa"/>
        </w:tcPr>
        <w:p w:rsidR="007766DA" w:rsidRPr="00A672F8" w:rsidRDefault="007766DA">
          <w:pPr>
            <w:pStyle w:val="Sidhuvud"/>
            <w:ind w:right="360"/>
          </w:pPr>
        </w:p>
      </w:tc>
    </w:tr>
  </w:tbl>
  <w:p w:rsidR="007766DA" w:rsidRPr="00A672F8" w:rsidRDefault="007766D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DA" w:rsidRPr="00A672F8" w:rsidRDefault="00A672F8">
    <w:pPr>
      <w:framePr w:w="2948" w:h="1321" w:hRule="exact" w:wrap="notBeside" w:vAnchor="page" w:hAnchor="page" w:x="1362" w:y="653"/>
    </w:pPr>
    <w:r w:rsidRPr="00A672F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766DA" w:rsidRPr="00A672F8" w:rsidRDefault="007766DA">
    <w:pPr>
      <w:pStyle w:val="RKrubrik"/>
      <w:keepNext w:val="0"/>
      <w:tabs>
        <w:tab w:val="clear" w:pos="1134"/>
        <w:tab w:val="clear" w:pos="2835"/>
      </w:tabs>
      <w:spacing w:before="0" w:after="0" w:line="320" w:lineRule="atLeast"/>
      <w:rPr>
        <w:bCs/>
      </w:rPr>
    </w:pPr>
  </w:p>
  <w:p w:rsidR="007766DA" w:rsidRPr="00A672F8" w:rsidRDefault="007766DA">
    <w:pPr>
      <w:rPr>
        <w:rFonts w:ascii="TradeGothic" w:hAnsi="TradeGothic"/>
        <w:b/>
        <w:bCs/>
        <w:spacing w:val="12"/>
        <w:sz w:val="22"/>
      </w:rPr>
    </w:pPr>
  </w:p>
  <w:p w:rsidR="007766DA" w:rsidRPr="00A672F8" w:rsidRDefault="007766DA">
    <w:pPr>
      <w:pStyle w:val="RKrubrik"/>
      <w:keepNext w:val="0"/>
      <w:tabs>
        <w:tab w:val="clear" w:pos="1134"/>
        <w:tab w:val="clear" w:pos="2835"/>
      </w:tabs>
      <w:spacing w:before="0" w:after="0" w:line="320" w:lineRule="atLeast"/>
      <w:rPr>
        <w:bCs/>
      </w:rPr>
    </w:pPr>
  </w:p>
  <w:p w:rsidR="007766DA" w:rsidRPr="00A672F8" w:rsidRDefault="007766D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6D5"/>
    <w:multiLevelType w:val="hybridMultilevel"/>
    <w:tmpl w:val="7DD8635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D286748"/>
    <w:multiLevelType w:val="hybridMultilevel"/>
    <w:tmpl w:val="0A42F0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7E3906"/>
    <w:multiLevelType w:val="hybridMultilevel"/>
    <w:tmpl w:val="C6C636C8"/>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995580"/>
    <w:multiLevelType w:val="singleLevel"/>
    <w:tmpl w:val="75CC7CBA"/>
    <w:name w:val="Bullet 3"/>
    <w:lvl w:ilvl="0">
      <w:start w:val="1"/>
      <w:numFmt w:val="decimal"/>
      <w:lvlRestart w:val="0"/>
      <w:pStyle w:val="Considrant"/>
      <w:lvlText w:val="(%1)"/>
      <w:lvlJc w:val="left"/>
      <w:pPr>
        <w:tabs>
          <w:tab w:val="num" w:pos="709"/>
        </w:tabs>
        <w:ind w:left="709" w:hanging="709"/>
      </w:pPr>
    </w:lvl>
  </w:abstractNum>
  <w:abstractNum w:abstractNumId="4" w15:restartNumberingAfterBreak="0">
    <w:nsid w:val="6D7D218C"/>
    <w:multiLevelType w:val="hybridMultilevel"/>
    <w:tmpl w:val="4AC832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91823">
    <w:abstractNumId w:val="1"/>
  </w:num>
  <w:num w:numId="2" w16cid:durableId="257064922">
    <w:abstractNumId w:val="3"/>
  </w:num>
  <w:num w:numId="3" w16cid:durableId="732003414">
    <w:abstractNumId w:val="2"/>
  </w:num>
  <w:num w:numId="4" w16cid:durableId="995189016">
    <w:abstractNumId w:val="0"/>
  </w:num>
  <w:num w:numId="5" w16cid:durableId="339281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6B3C4C"/>
    <w:rsid w:val="000569DC"/>
    <w:rsid w:val="00137169"/>
    <w:rsid w:val="00150384"/>
    <w:rsid w:val="00151C43"/>
    <w:rsid w:val="001805B7"/>
    <w:rsid w:val="00184905"/>
    <w:rsid w:val="00210C27"/>
    <w:rsid w:val="002C2229"/>
    <w:rsid w:val="002C5977"/>
    <w:rsid w:val="0030054C"/>
    <w:rsid w:val="00387692"/>
    <w:rsid w:val="003B6AA9"/>
    <w:rsid w:val="003C41A7"/>
    <w:rsid w:val="003E78DD"/>
    <w:rsid w:val="0040092E"/>
    <w:rsid w:val="004A328D"/>
    <w:rsid w:val="004E4DD0"/>
    <w:rsid w:val="0058762B"/>
    <w:rsid w:val="005B373C"/>
    <w:rsid w:val="00601515"/>
    <w:rsid w:val="00624C88"/>
    <w:rsid w:val="006B3C4C"/>
    <w:rsid w:val="006E4E11"/>
    <w:rsid w:val="007242A3"/>
    <w:rsid w:val="007766DA"/>
    <w:rsid w:val="007A6855"/>
    <w:rsid w:val="007B73B0"/>
    <w:rsid w:val="0085488A"/>
    <w:rsid w:val="00884E1F"/>
    <w:rsid w:val="00930F7B"/>
    <w:rsid w:val="0094361F"/>
    <w:rsid w:val="009C7C13"/>
    <w:rsid w:val="00A672F8"/>
    <w:rsid w:val="00A74A38"/>
    <w:rsid w:val="00AE3C0E"/>
    <w:rsid w:val="00B1015C"/>
    <w:rsid w:val="00B70D86"/>
    <w:rsid w:val="00BC5950"/>
    <w:rsid w:val="00C1383D"/>
    <w:rsid w:val="00D133D7"/>
    <w:rsid w:val="00DC76C1"/>
    <w:rsid w:val="00EA4C42"/>
    <w:rsid w:val="00EB7202"/>
    <w:rsid w:val="00EC25F9"/>
    <w:rsid w:val="00ED583F"/>
    <w:rsid w:val="00FB5A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63EB8-1892-4699-B5A6-0CB60CF3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87692"/>
    <w:rPr>
      <w:rFonts w:ascii="OrigGarmnd BT" w:hAnsi="OrigGarmnd BT"/>
      <w:sz w:val="24"/>
      <w:lang w:val="sv-SE" w:eastAsia="en-US" w:bidi="ar-SA"/>
    </w:rPr>
  </w:style>
  <w:style w:type="paragraph" w:styleId="Fotnotstext">
    <w:name w:val="footnote text"/>
    <w:basedOn w:val="Normal"/>
    <w:semiHidden/>
    <w:rsid w:val="00EA4C42"/>
    <w:rPr>
      <w:sz w:val="20"/>
    </w:rPr>
  </w:style>
  <w:style w:type="character" w:styleId="Fotnotsreferens">
    <w:name w:val="footnote reference"/>
    <w:basedOn w:val="Standardstycketeckensnitt"/>
    <w:semiHidden/>
    <w:rsid w:val="00EA4C42"/>
    <w:rPr>
      <w:vertAlign w:val="superscript"/>
    </w:rPr>
  </w:style>
  <w:style w:type="paragraph" w:customStyle="1" w:styleId="Considrant">
    <w:name w:val="Considérant"/>
    <w:basedOn w:val="Normal"/>
    <w:rsid w:val="00624C88"/>
    <w:pPr>
      <w:numPr>
        <w:numId w:val="2"/>
      </w:numPr>
      <w:overflowPunct/>
      <w:autoSpaceDE/>
      <w:autoSpaceDN/>
      <w:adjustRightInd/>
      <w:spacing w:before="120" w:after="120" w:line="240" w:lineRule="auto"/>
      <w:jc w:val="both"/>
      <w:textAlignment w:val="auto"/>
    </w:pPr>
    <w:rPr>
      <w:rFonts w:ascii="Times New Roman" w:hAnsi="Times New Roman"/>
      <w:snapToGrid w:val="0"/>
      <w:szCs w:val="24"/>
      <w:lang w:eastAsia="en-GB"/>
    </w:rPr>
  </w:style>
  <w:style w:type="paragraph" w:styleId="Ballongtext">
    <w:name w:val="Balloon Text"/>
    <w:basedOn w:val="Normal"/>
    <w:semiHidden/>
    <w:rsid w:val="00300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4306</Characters>
  <Application>Microsoft Office Word</Application>
  <DocSecurity>4</DocSecurity>
  <Lines>130</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2011-11-28T15:50:00Z</cp:lastPrinted>
  <dcterms:created xsi:type="dcterms:W3CDTF">2025-12-17T21:39:00Z</dcterms:created>
  <dcterms:modified xsi:type="dcterms:W3CDTF">2025-12-17T21:39:00Z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