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D409C9332FD425ABE98D0DF08BA91B7"/>
        </w:placeholder>
        <w15:appearance w15:val="hidden"/>
        <w:text/>
      </w:sdtPr>
      <w:sdtEndPr/>
      <w:sdtContent>
        <w:p w:rsidRPr="009B062B" w:rsidR="00AF30DD" w:rsidP="009B062B" w:rsidRDefault="00AF30DD" w14:paraId="209B53A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bf6f7fe-6361-4e4c-986e-1be82e9ea58e"/>
        <w:id w:val="1679460561"/>
        <w:lock w:val="sdtLocked"/>
      </w:sdtPr>
      <w:sdtEndPr/>
      <w:sdtContent>
        <w:p w:rsidR="00DC2A6C" w:rsidRDefault="00AC4DFA" w14:paraId="209B53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intjänad inkomst- och premiepension ingå i giftorättsgodset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4D03194CF14326A5C0C893D38379D6"/>
        </w:placeholder>
        <w15:appearance w15:val="hidden"/>
        <w:text/>
      </w:sdtPr>
      <w:sdtEndPr/>
      <w:sdtContent>
        <w:p w:rsidRPr="009B062B" w:rsidR="006D79C9" w:rsidP="00333E95" w:rsidRDefault="006D79C9" w14:paraId="209B53AE" w14:textId="77777777">
          <w:pPr>
            <w:pStyle w:val="Rubrik1"/>
          </w:pPr>
          <w:r>
            <w:t>Motivering</w:t>
          </w:r>
        </w:p>
      </w:sdtContent>
    </w:sdt>
    <w:p w:rsidRPr="006E1E45" w:rsidR="00652492" w:rsidP="006E1E45" w:rsidRDefault="00652492" w14:paraId="209B53AF" w14:textId="6B00E1E6">
      <w:pPr>
        <w:pStyle w:val="Normalutanindragellerluft"/>
      </w:pPr>
      <w:bookmarkStart w:name="_GoBack" w:id="1"/>
      <w:bookmarkEnd w:id="1"/>
      <w:r w:rsidRPr="006E1E45">
        <w:t>Pensionen skall spegla livsinkomstprincipen, det vill säga att den levnadsstandard individen får som pensionär ska bygga på den levnadsstandard individen haft under sin tid i arbetslivet. Som pensionär får alla en lägre inkomst, men inkomstsänkningen är förutsägbar. Det gäller dock inte vid skilsmässa, då inkomst- och premiepension inte ingår i giftorättsgodse</w:t>
      </w:r>
      <w:r w:rsidRPr="006E1E45" w:rsidR="006E1E45">
        <w:t>t,</w:t>
      </w:r>
      <w:r w:rsidRPr="006E1E45">
        <w:t xml:space="preserve"> och därmed delas heller inte värdet mellan de forna makarna. Detta innebär att det</w:t>
      </w:r>
      <w:r w:rsidRPr="006E1E45" w:rsidR="006E1E45">
        <w:t xml:space="preserve"> blir en orättvisa i systemet. D</w:t>
      </w:r>
      <w:r w:rsidRPr="006E1E45">
        <w:t xml:space="preserve">en som under hela äktenskapet haft en lägre inkomst än sin partner får under pensioneringen en betydligt lägre levnadsstandard än den egentligen skulle ha fått om äktenskapet inte tagit slut. </w:t>
      </w:r>
    </w:p>
    <w:p w:rsidRPr="006E1E45" w:rsidR="00652B73" w:rsidP="006E1E45" w:rsidRDefault="00652492" w14:paraId="209B53B0" w14:textId="0D97FA0F">
      <w:r w:rsidRPr="006E1E45">
        <w:t>Den största förloraren i det nuvarande systemet är kvinnor som efter skilsmässan upplever inkomsten falla och levnadskostnaderna öka</w:t>
      </w:r>
      <w:r w:rsidR="006E1E45">
        <w:t>,</w:t>
      </w:r>
      <w:r w:rsidRPr="006E1E45">
        <w:t xml:space="preserve"> och värre blir det efter pensioneringen. Detta är således en fråga om bristande jämställdhet och därför föreslås för riksdagen att även inkomst- och premiepension skall ingå i giftorättsgodset.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A9CFDBE776429E8E45EE5657F325F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504ED" w:rsidRDefault="006E1E45" w14:paraId="209B53B1" w14:textId="028FC7F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E1E45" w:rsidP="007504ED" w:rsidRDefault="006E1E45" w14:paraId="60F6AB4A" w14:textId="77777777"/>
    <w:p w:rsidR="00BB7263" w:rsidRDefault="00BB7263" w14:paraId="209B53B5" w14:textId="77777777"/>
    <w:sectPr w:rsidR="00BB72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B53B7" w14:textId="77777777" w:rsidR="008D2D7A" w:rsidRDefault="008D2D7A" w:rsidP="000C1CAD">
      <w:pPr>
        <w:spacing w:line="240" w:lineRule="auto"/>
      </w:pPr>
      <w:r>
        <w:separator/>
      </w:r>
    </w:p>
  </w:endnote>
  <w:endnote w:type="continuationSeparator" w:id="0">
    <w:p w14:paraId="209B53B8" w14:textId="77777777" w:rsidR="008D2D7A" w:rsidRDefault="008D2D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B53B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B53BE" w14:textId="32FDD6D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1E4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B53B5" w14:textId="77777777" w:rsidR="008D2D7A" w:rsidRDefault="008D2D7A" w:rsidP="000C1CAD">
      <w:pPr>
        <w:spacing w:line="240" w:lineRule="auto"/>
      </w:pPr>
      <w:r>
        <w:separator/>
      </w:r>
    </w:p>
  </w:footnote>
  <w:footnote w:type="continuationSeparator" w:id="0">
    <w:p w14:paraId="209B53B6" w14:textId="77777777" w:rsidR="008D2D7A" w:rsidRDefault="008D2D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09B53B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9B53C8" wp14:anchorId="209B53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E1E45" w14:paraId="209B53C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3D0359784143819805574AA31431E3"/>
                              </w:placeholder>
                              <w:text/>
                            </w:sdtPr>
                            <w:sdtEndPr/>
                            <w:sdtContent>
                              <w:r w:rsidR="00652492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38CFA7166B480AADB913018E4DF83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9B53C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E1E45" w14:paraId="209B53C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3D0359784143819805574AA31431E3"/>
                        </w:placeholder>
                        <w:text/>
                      </w:sdtPr>
                      <w:sdtEndPr/>
                      <w:sdtContent>
                        <w:r w:rsidR="00652492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38CFA7166B480AADB913018E4DF83C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09B53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E1E45" w14:paraId="209B53B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A38CFA7166B480AADB913018E4DF83C"/>
        </w:placeholder>
        <w:text/>
      </w:sdtPr>
      <w:sdtEndPr/>
      <w:sdtContent>
        <w:r w:rsidR="00652492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09B53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E1E45" w14:paraId="209B53B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52492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E1E45" w14:paraId="209B53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E1E45" w14:paraId="209B53C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E1E45" w14:paraId="209B53C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</w:t>
        </w:r>
      </w:sdtContent>
    </w:sdt>
  </w:p>
  <w:p w:rsidR="004F35FE" w:rsidP="00E03A3D" w:rsidRDefault="006E1E45" w14:paraId="209B53C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C4DFA" w14:paraId="209B53C4" w14:textId="13607B59">
        <w:pPr>
          <w:pStyle w:val="FSHRub2"/>
        </w:pPr>
        <w:r>
          <w:t>Inkluderande av intjänad inkomst- och premiepension i giftorättsgodset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09B53C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9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438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492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45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4ED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21C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4A29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2D7A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6622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4DFA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263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2A6C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9B53AB"/>
  <w15:chartTrackingRefBased/>
  <w15:docId w15:val="{A49F104D-8590-4F88-924C-A6081130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409C9332FD425ABE98D0DF08BA9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E6543-3A46-4CD1-8873-BF06CAC1B658}"/>
      </w:docPartPr>
      <w:docPartBody>
        <w:p w:rsidR="006218CF" w:rsidRDefault="00042866">
          <w:pPr>
            <w:pStyle w:val="6D409C9332FD425ABE98D0DF08BA91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4D03194CF14326A5C0C893D3837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BFAB1-7899-4EF4-8E98-B69A2840006B}"/>
      </w:docPartPr>
      <w:docPartBody>
        <w:p w:rsidR="006218CF" w:rsidRDefault="00042866">
          <w:pPr>
            <w:pStyle w:val="B04D03194CF14326A5C0C893D38379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A9CFDBE776429E8E45EE5657F32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BD215-403A-4056-9777-2CAA7245F5C6}"/>
      </w:docPartPr>
      <w:docPartBody>
        <w:p w:rsidR="006218CF" w:rsidRDefault="00042866">
          <w:pPr>
            <w:pStyle w:val="45A9CFDBE776429E8E45EE5657F325F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63D0359784143819805574AA3143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C40C0-3E0F-494D-AE13-F27651DFB75B}"/>
      </w:docPartPr>
      <w:docPartBody>
        <w:p w:rsidR="006218CF" w:rsidRDefault="00042866">
          <w:pPr>
            <w:pStyle w:val="363D0359784143819805574AA31431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38CFA7166B480AADB913018E4DF8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A9068-D2D5-4DCB-BC67-2843ABD4B99F}"/>
      </w:docPartPr>
      <w:docPartBody>
        <w:p w:rsidR="006218CF" w:rsidRDefault="00042866">
          <w:pPr>
            <w:pStyle w:val="5A38CFA7166B480AADB913018E4DF83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66"/>
    <w:rsid w:val="00042866"/>
    <w:rsid w:val="0062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409C9332FD425ABE98D0DF08BA91B7">
    <w:name w:val="6D409C9332FD425ABE98D0DF08BA91B7"/>
  </w:style>
  <w:style w:type="paragraph" w:customStyle="1" w:styleId="3B41CF5F84A246659E2984BB0259DEC8">
    <w:name w:val="3B41CF5F84A246659E2984BB0259DEC8"/>
  </w:style>
  <w:style w:type="paragraph" w:customStyle="1" w:styleId="03AD58976CEF447A90FB4AEAF3BF9DD0">
    <w:name w:val="03AD58976CEF447A90FB4AEAF3BF9DD0"/>
  </w:style>
  <w:style w:type="paragraph" w:customStyle="1" w:styleId="B04D03194CF14326A5C0C893D38379D6">
    <w:name w:val="B04D03194CF14326A5C0C893D38379D6"/>
  </w:style>
  <w:style w:type="paragraph" w:customStyle="1" w:styleId="45A9CFDBE776429E8E45EE5657F325FB">
    <w:name w:val="45A9CFDBE776429E8E45EE5657F325FB"/>
  </w:style>
  <w:style w:type="paragraph" w:customStyle="1" w:styleId="363D0359784143819805574AA31431E3">
    <w:name w:val="363D0359784143819805574AA31431E3"/>
  </w:style>
  <w:style w:type="paragraph" w:customStyle="1" w:styleId="5A38CFA7166B480AADB913018E4DF83C">
    <w:name w:val="5A38CFA7166B480AADB913018E4DF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8AFC9B-17FA-4280-A6E0-C9907D842508}"/>
</file>

<file path=customXml/itemProps2.xml><?xml version="1.0" encoding="utf-8"?>
<ds:datastoreItem xmlns:ds="http://schemas.openxmlformats.org/officeDocument/2006/customXml" ds:itemID="{EA91E08A-A124-48BF-9B3E-559DCB9E8414}"/>
</file>

<file path=customXml/itemProps3.xml><?xml version="1.0" encoding="utf-8"?>
<ds:datastoreItem xmlns:ds="http://schemas.openxmlformats.org/officeDocument/2006/customXml" ds:itemID="{8518773D-0371-4DB9-8114-659423047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1057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Inkluderade av intjänad inkomst  och premiepension i giftorättsgodset</vt:lpstr>
      <vt:lpstr>
      </vt:lpstr>
    </vt:vector>
  </TitlesOfParts>
  <Company>Sveriges riksdag</Company>
  <LinksUpToDate>false</LinksUpToDate>
  <CharactersWithSpaces>1230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