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074911" w:rsidRDefault="00E4445C" w:rsidP="00F70FC1">
      <w:pPr>
        <w:pStyle w:val="Hemstlrubrik"/>
      </w:pPr>
      <w:r w:rsidRPr="00074911">
        <w:t>Förslag till riksdagsbeslut</w:t>
      </w:r>
    </w:p>
    <w:p w:rsidR="00631ED7" w:rsidRPr="00074911" w:rsidRDefault="00631ED7" w:rsidP="00F70FC1">
      <w:pPr>
        <w:pStyle w:val="Hemstlatt"/>
      </w:pPr>
      <w:r w:rsidRPr="00074911">
        <w:t>Riksdagen tillkännager för regeringen som sin mening vad i motionen anförs om bättre styrning av rehabiliteringen.</w:t>
      </w:r>
    </w:p>
    <w:p w:rsidR="00631ED7" w:rsidRPr="00074911" w:rsidRDefault="00631ED7" w:rsidP="00F70FC1">
      <w:pPr>
        <w:pStyle w:val="Hemstlatt"/>
      </w:pPr>
      <w:r w:rsidRPr="00074911">
        <w:t xml:space="preserve">Riksdagen tillkännager för regeringen som sin mening vad i motionen anförs </w:t>
      </w:r>
      <w:r w:rsidR="003A061D" w:rsidRPr="00074911">
        <w:t xml:space="preserve">om </w:t>
      </w:r>
      <w:r w:rsidR="00BD08FA" w:rsidRPr="00074911">
        <w:t>att det måste</w:t>
      </w:r>
      <w:r w:rsidRPr="00074911">
        <w:t xml:space="preserve"> löna sig mer att arbeta än att försörja sig på b</w:t>
      </w:r>
      <w:r w:rsidRPr="00074911">
        <w:t>i</w:t>
      </w:r>
      <w:r w:rsidRPr="00074911">
        <w:t xml:space="preserve">drag och andra </w:t>
      </w:r>
      <w:r w:rsidR="0043799E" w:rsidRPr="00074911">
        <w:t xml:space="preserve">arbetsfria </w:t>
      </w:r>
      <w:r w:rsidRPr="00074911">
        <w:t>ersättningar.</w:t>
      </w:r>
    </w:p>
    <w:p w:rsidR="00867BF0" w:rsidRPr="00074911" w:rsidRDefault="00867BF0" w:rsidP="00F70FC1">
      <w:pPr>
        <w:pStyle w:val="Hemstlatt"/>
      </w:pPr>
      <w:r w:rsidRPr="00074911">
        <w:t>Riksdagen tillkännager för regeringen som sin mening vad i motionen anförs angående ett tak för kollektivavtalsbestämda ersättningar till fö</w:t>
      </w:r>
      <w:r w:rsidRPr="00074911">
        <w:t>r</w:t>
      </w:r>
      <w:r w:rsidRPr="00074911">
        <w:t>tidspensionärer.</w:t>
      </w:r>
    </w:p>
    <w:p w:rsidR="00B842D6" w:rsidRPr="00074911" w:rsidRDefault="00B842D6" w:rsidP="00875332">
      <w:pPr>
        <w:pStyle w:val="Rubrik1"/>
      </w:pPr>
      <w:r w:rsidRPr="00074911">
        <w:t>Riksrevisionens styrelses förslag</w:t>
      </w:r>
    </w:p>
    <w:p w:rsidR="00DC47FB" w:rsidRPr="00074911" w:rsidRDefault="00DC47FB" w:rsidP="00DC47FB">
      <w:r w:rsidRPr="00074911">
        <w:t>Riksrevisionens granskningsrapport ”Förtidspension utan återvändo” (RiR 2005:14) visar att sjukersättning ofta uppfattas som en slutstation av handlä</w:t>
      </w:r>
      <w:r w:rsidRPr="00074911">
        <w:t>g</w:t>
      </w:r>
      <w:r w:rsidRPr="00074911">
        <w:t>garna på Försäkringskassan</w:t>
      </w:r>
      <w:r w:rsidR="0017026D" w:rsidRPr="00074911">
        <w:t>. Få förtidspensionärer får tillgång till rehabilite</w:t>
      </w:r>
      <w:r w:rsidR="0017026D" w:rsidRPr="00074911">
        <w:t>r</w:t>
      </w:r>
      <w:r w:rsidR="0017026D" w:rsidRPr="00074911">
        <w:t xml:space="preserve">ing och efterkontrollen av arbetsförmågan är liten. Färre än en procent av dem som uppbär </w:t>
      </w:r>
      <w:r w:rsidR="00804323" w:rsidRPr="00074911">
        <w:t>sjukersättning</w:t>
      </w:r>
      <w:r w:rsidR="00467258" w:rsidRPr="00074911">
        <w:t xml:space="preserve"> </w:t>
      </w:r>
      <w:r w:rsidR="0017026D" w:rsidRPr="00074911">
        <w:t xml:space="preserve">återgår någonsin till ett arbete. Ändå var </w:t>
      </w:r>
      <w:r w:rsidRPr="00074911">
        <w:t>bytet av namn på ersättningsformen</w:t>
      </w:r>
      <w:r w:rsidR="0017026D" w:rsidRPr="00074911">
        <w:t>,</w:t>
      </w:r>
      <w:r w:rsidRPr="00074911">
        <w:t xml:space="preserve"> från förtidspension till sjukersättning</w:t>
      </w:r>
      <w:r w:rsidR="0017026D" w:rsidRPr="00074911">
        <w:t>,</w:t>
      </w:r>
      <w:r w:rsidRPr="00074911">
        <w:t xml:space="preserve"> just tänkt att </w:t>
      </w:r>
      <w:r w:rsidR="0017026D" w:rsidRPr="00074911">
        <w:t xml:space="preserve">klargöra </w:t>
      </w:r>
      <w:r w:rsidRPr="00074911">
        <w:t>att ersättningen inte nödvändigtvis skulle utgå ända fram till å</w:t>
      </w:r>
      <w:r w:rsidRPr="00074911">
        <w:t>l</w:t>
      </w:r>
      <w:r w:rsidRPr="00074911">
        <w:t xml:space="preserve">derspensionen. </w:t>
      </w:r>
      <w:r w:rsidR="0017026D" w:rsidRPr="00074911">
        <w:t>Eftersom namnbytet inte haft avsedd effekt benämns ersät</w:t>
      </w:r>
      <w:r w:rsidR="0017026D" w:rsidRPr="00074911">
        <w:t>t</w:t>
      </w:r>
      <w:r w:rsidR="0017026D" w:rsidRPr="00074911">
        <w:t xml:space="preserve">ningen fortsättningsvis ”förtidspension” i denna motion. </w:t>
      </w:r>
      <w:r w:rsidRPr="00074911">
        <w:t xml:space="preserve"> </w:t>
      </w:r>
    </w:p>
    <w:p w:rsidR="00CF0F62" w:rsidRPr="00074911" w:rsidRDefault="00DD61FD" w:rsidP="00875332">
      <w:pPr>
        <w:pStyle w:val="Normaltindrag"/>
      </w:pPr>
      <w:r w:rsidRPr="00074911">
        <w:t>Res</w:t>
      </w:r>
      <w:r w:rsidR="00CC23B4" w:rsidRPr="00074911">
        <w:t>u</w:t>
      </w:r>
      <w:r w:rsidRPr="00074911">
        <w:t xml:space="preserve">ltaten i </w:t>
      </w:r>
      <w:r w:rsidR="00C506C4" w:rsidRPr="00074911">
        <w:t xml:space="preserve">Riksrevisionens rapport visar även </w:t>
      </w:r>
      <w:r w:rsidRPr="00074911">
        <w:t>indirekt hur felaktigt det beslut varit som regeringen drivit igenom tillsammans med Miljöpartiet och Vänsterpartiet, att sjukskrivna ska</w:t>
      </w:r>
      <w:r w:rsidR="00362810" w:rsidRPr="00074911">
        <w:t>ll</w:t>
      </w:r>
      <w:r w:rsidRPr="00074911">
        <w:t xml:space="preserve"> prövas för övergång till förtidspension inom ett års sjukdom oavsett om den enskilde själv vill det eller inte. Beslutet innebär att ännu färre långtidssjukskrivna får hjälp att återgå till ett arbete. </w:t>
      </w:r>
      <w:r w:rsidRPr="00074911">
        <w:lastRenderedPageBreak/>
        <w:t>Regeringens argument för den automatiska prövningen av förtidspensionen är sannolikt att spara pengar åt staten genom att vältra över en del av kostnade</w:t>
      </w:r>
      <w:r w:rsidRPr="00074911">
        <w:t>r</w:t>
      </w:r>
      <w:r w:rsidRPr="00074911">
        <w:t xml:space="preserve">na för ersättningarna på de avtalsslutande parterna då den statliga ersättningen är lägre för förtidspensionärer än </w:t>
      </w:r>
      <w:r w:rsidR="00213F6C" w:rsidRPr="00074911">
        <w:t>för sjukskrivna och tvärtom i de kollektiva</w:t>
      </w:r>
      <w:r w:rsidR="00213F6C" w:rsidRPr="00074911">
        <w:t>v</w:t>
      </w:r>
      <w:r w:rsidR="00213F6C" w:rsidRPr="00074911">
        <w:t>talsbaserade tilläggsförsäkringarna.</w:t>
      </w:r>
      <w:r w:rsidR="00631ED7" w:rsidRPr="00074911">
        <w:t xml:space="preserve"> Det är dock ett kortsiktigt tänkande efte</w:t>
      </w:r>
      <w:r w:rsidR="00631ED7" w:rsidRPr="00074911">
        <w:t>r</w:t>
      </w:r>
      <w:r w:rsidR="00631ED7" w:rsidRPr="00074911">
        <w:t xml:space="preserve">som förtidspension </w:t>
      </w:r>
      <w:r w:rsidR="00F361DA" w:rsidRPr="00074911">
        <w:t xml:space="preserve">innebär ett långtgående betalningsåtagande för staten och skattebetalarna. Den nuvarande skulden för att ersätta förtidspensionärer för inkomstbortfall fram till ålderspensionen uppgick </w:t>
      </w:r>
      <w:r w:rsidR="006B5DB1" w:rsidRPr="00074911">
        <w:t xml:space="preserve">2003 </w:t>
      </w:r>
      <w:r w:rsidR="00F361DA" w:rsidRPr="00074911">
        <w:t>till den astronomiska summan 6</w:t>
      </w:r>
      <w:r w:rsidR="006B5DB1" w:rsidRPr="00074911">
        <w:t>4</w:t>
      </w:r>
      <w:r w:rsidR="00F361DA" w:rsidRPr="00074911">
        <w:t>0 miljarder kronor</w:t>
      </w:r>
      <w:r w:rsidR="006B5DB1" w:rsidRPr="00074911">
        <w:t xml:space="preserve"> enligt Försäkringskassans årsredovisning</w:t>
      </w:r>
      <w:r w:rsidR="003E231F" w:rsidRPr="00074911">
        <w:t xml:space="preserve"> för 2003</w:t>
      </w:r>
      <w:r w:rsidR="002D6DAB" w:rsidRPr="00074911">
        <w:t>.</w:t>
      </w:r>
      <w:r w:rsidR="006B5DB1" w:rsidRPr="00074911">
        <w:t xml:space="preserve"> För 2004 har Försäkringskassan valt att inte redovisa skulden utan enbart antalet återstående ersättningsår till dess att förtidspensionärerna öve</w:t>
      </w:r>
      <w:r w:rsidR="006B5DB1" w:rsidRPr="00074911">
        <w:t>r</w:t>
      </w:r>
      <w:r w:rsidR="006B5DB1" w:rsidRPr="00074911">
        <w:t>går till ålderspension. Med samma antagande om årlig genomsnittlig kostnad för en förtidspensionär</w:t>
      </w:r>
      <w:r w:rsidR="003E231F" w:rsidRPr="00074911">
        <w:t xml:space="preserve"> för 2004 s</w:t>
      </w:r>
      <w:r w:rsidR="006B5DB1" w:rsidRPr="00074911">
        <w:t>om för 2003</w:t>
      </w:r>
      <w:r w:rsidR="003E231F" w:rsidRPr="00074911">
        <w:t>,</w:t>
      </w:r>
      <w:r w:rsidR="006B5DB1" w:rsidRPr="00074911">
        <w:t xml:space="preserve"> </w:t>
      </w:r>
      <w:r w:rsidR="003E231F" w:rsidRPr="00074911">
        <w:t xml:space="preserve">då den </w:t>
      </w:r>
      <w:r w:rsidR="006B5DB1" w:rsidRPr="00074911">
        <w:t xml:space="preserve">uppgick till 115 000 kronor </w:t>
      </w:r>
      <w:r w:rsidR="003E231F" w:rsidRPr="00074911">
        <w:t xml:space="preserve">för staten, </w:t>
      </w:r>
      <w:r w:rsidR="006B5DB1" w:rsidRPr="00074911">
        <w:t xml:space="preserve">har dock skulden ökat till 652 miljarder kronor 2004. </w:t>
      </w:r>
      <w:r w:rsidR="001B13CA" w:rsidRPr="00074911">
        <w:t xml:space="preserve">De unga förtidspensionärerna </w:t>
      </w:r>
      <w:r w:rsidR="002D6DAB" w:rsidRPr="00074911">
        <w:t xml:space="preserve">är en minoritet </w:t>
      </w:r>
      <w:r w:rsidR="001B13CA" w:rsidRPr="00074911">
        <w:t>men ökar i snabb takt</w:t>
      </w:r>
      <w:r w:rsidR="00206046" w:rsidRPr="00074911">
        <w:t>,</w:t>
      </w:r>
      <w:r w:rsidR="001B13CA" w:rsidRPr="00074911">
        <w:t xml:space="preserve"> och efte</w:t>
      </w:r>
      <w:r w:rsidR="001B13CA" w:rsidRPr="00074911">
        <w:t>r</w:t>
      </w:r>
      <w:r w:rsidR="001B13CA" w:rsidRPr="00074911">
        <w:t>som de har långt kvar till ålderspension utgör de en ökande andel av det långsikt</w:t>
      </w:r>
      <w:r w:rsidR="001B13CA" w:rsidRPr="00074911">
        <w:t>i</w:t>
      </w:r>
      <w:r w:rsidR="001B13CA" w:rsidRPr="00074911">
        <w:t>ga betalningsåtagandet</w:t>
      </w:r>
      <w:r w:rsidR="00F361DA" w:rsidRPr="00074911">
        <w:t xml:space="preserve">. </w:t>
      </w:r>
    </w:p>
    <w:p w:rsidR="00CF0F62" w:rsidRPr="00074911" w:rsidRDefault="00B842D6" w:rsidP="00875332">
      <w:pPr>
        <w:pStyle w:val="Normaltindrag"/>
      </w:pPr>
      <w:r w:rsidRPr="00074911">
        <w:t>Riksrevisionen och dess styrelse föreslår nu att regeringen ska ta ett initi</w:t>
      </w:r>
      <w:r w:rsidRPr="00074911">
        <w:t>a</w:t>
      </w:r>
      <w:r w:rsidRPr="00074911">
        <w:t xml:space="preserve">tiv till att utforma en strategi för omprövning av sjukersättningar som baseras på beslut före 2005, med särskild inriktning på yngre personer. Vi ställer oss helhjärtat bakom detta förslag. </w:t>
      </w:r>
    </w:p>
    <w:p w:rsidR="00B842D6" w:rsidRPr="00074911" w:rsidRDefault="00B842D6" w:rsidP="00C506C4">
      <w:pPr>
        <w:pStyle w:val="Normaltindrag"/>
      </w:pPr>
      <w:r w:rsidRPr="00074911">
        <w:t>Styrelsen föreslår även att regeringen ska</w:t>
      </w:r>
      <w:r w:rsidR="00362810" w:rsidRPr="00074911">
        <w:t>ll</w:t>
      </w:r>
      <w:r w:rsidRPr="00074911">
        <w:t xml:space="preserve"> redovisa vilka åtgärder som Försäkringskassan vidtagit för att stimulera återgång till arbete för personer som mottar sjuk- och aktivitetsersättning samt att regeringens årligen ska</w:t>
      </w:r>
      <w:r w:rsidR="00DC1C75" w:rsidRPr="00074911">
        <w:t>ll</w:t>
      </w:r>
      <w:r w:rsidRPr="00074911">
        <w:t xml:space="preserve"> redovisa utflödet ur sjuk – och aktivitetsersättning genom återgång till arbete. Vi ställer oss även bakom dessa förslag.</w:t>
      </w:r>
    </w:p>
    <w:p w:rsidR="00B842D6" w:rsidRPr="00074911" w:rsidRDefault="00C01DD7" w:rsidP="00CC23B4">
      <w:pPr>
        <w:pStyle w:val="Rubrik1"/>
      </w:pPr>
      <w:r w:rsidRPr="00074911">
        <w:t xml:space="preserve">Bättre </w:t>
      </w:r>
      <w:r w:rsidR="00C7589E" w:rsidRPr="00074911">
        <w:t xml:space="preserve">användning av </w:t>
      </w:r>
      <w:r w:rsidRPr="00074911">
        <w:t>rehabil</w:t>
      </w:r>
      <w:r w:rsidR="00CC23B4" w:rsidRPr="00074911">
        <w:t>i</w:t>
      </w:r>
      <w:r w:rsidRPr="00074911">
        <w:t>tering</w:t>
      </w:r>
      <w:r w:rsidR="00C7589E" w:rsidRPr="00074911">
        <w:t xml:space="preserve">spengarna </w:t>
      </w:r>
    </w:p>
    <w:p w:rsidR="00CF0F62" w:rsidRPr="00074911" w:rsidRDefault="006C1EAF" w:rsidP="00DC1C75">
      <w:r w:rsidRPr="00074911">
        <w:t>Försäkringskassan disponerar varje år medel för arbetslivsinriktad rehabilite</w:t>
      </w:r>
      <w:r w:rsidRPr="00074911">
        <w:t>r</w:t>
      </w:r>
      <w:r w:rsidRPr="00074911">
        <w:t>ing. År 2004 var anslaget för detta 966,5 milj</w:t>
      </w:r>
      <w:r w:rsidR="00A539C2" w:rsidRPr="00074911">
        <w:t xml:space="preserve">oner </w:t>
      </w:r>
      <w:r w:rsidRPr="00074911">
        <w:t>kronor. Tillsammans med anslagskrediten kunde Försäkringskassan lägga 972 milj</w:t>
      </w:r>
      <w:r w:rsidR="00A539C2" w:rsidRPr="00074911">
        <w:t xml:space="preserve">oner </w:t>
      </w:r>
      <w:r w:rsidRPr="00074911">
        <w:t>kronor på a</w:t>
      </w:r>
      <w:r w:rsidRPr="00074911">
        <w:t>r</w:t>
      </w:r>
      <w:r w:rsidRPr="00074911">
        <w:t>betslivsinriktad rehabilitering enligt Försäkringskassans årsredovis</w:t>
      </w:r>
      <w:r w:rsidR="00DC1C75" w:rsidRPr="00074911">
        <w:t>ning för 2004. Endast 31 %</w:t>
      </w:r>
      <w:r w:rsidRPr="00074911">
        <w:t xml:space="preserve"> av medlen gick dock till aktiv rehabilitering. Merparten av pengarna gick i stället till försäkringsmedicinska och arbetslivsinriktade u</w:t>
      </w:r>
      <w:r w:rsidRPr="00074911">
        <w:t>t</w:t>
      </w:r>
      <w:r w:rsidRPr="00074911">
        <w:t xml:space="preserve">redningar, </w:t>
      </w:r>
      <w:r w:rsidR="00992ABB" w:rsidRPr="00074911">
        <w:t>dvs.</w:t>
      </w:r>
      <w:r w:rsidRPr="00074911">
        <w:t xml:space="preserve"> utredningar som används som underlag för </w:t>
      </w:r>
      <w:r w:rsidR="00A539C2" w:rsidRPr="00074911">
        <w:t xml:space="preserve">beslut om </w:t>
      </w:r>
      <w:r w:rsidRPr="00074911">
        <w:t>förtid</w:t>
      </w:r>
      <w:r w:rsidRPr="00074911">
        <w:t>s</w:t>
      </w:r>
      <w:r w:rsidRPr="00074911">
        <w:t xml:space="preserve">pension. </w:t>
      </w:r>
    </w:p>
    <w:p w:rsidR="00A539C2" w:rsidRPr="00074911" w:rsidRDefault="00A539C2" w:rsidP="00CC23B4">
      <w:pPr>
        <w:pStyle w:val="Normaltindrag"/>
      </w:pPr>
      <w:r w:rsidRPr="00074911">
        <w:t>Om man är cynisk kan man kanske tycka att det var bra att endast 309 mi</w:t>
      </w:r>
      <w:r w:rsidRPr="00074911">
        <w:t>l</w:t>
      </w:r>
      <w:r w:rsidRPr="00074911">
        <w:t>joner kronor gick till aktiva rehabiliteringsinsatser, eftersom rehabilitering ofta inte bara visar sig vara bortkastade pengar utan pengar som faktiskt får negativa konsekvenser.</w:t>
      </w:r>
    </w:p>
    <w:p w:rsidR="006C1EAF" w:rsidRPr="00074911" w:rsidRDefault="00A539C2" w:rsidP="00CC23B4">
      <w:pPr>
        <w:pStyle w:val="Normaltindrag"/>
      </w:pPr>
      <w:r w:rsidRPr="00074911">
        <w:t>I studien ”Rehabiliteringens verklighet”</w:t>
      </w:r>
      <w:r w:rsidRPr="00074911">
        <w:rPr>
          <w:rStyle w:val="Fotnotsreferens"/>
        </w:rPr>
        <w:footnoteReference w:id="2"/>
      </w:r>
      <w:r w:rsidRPr="00074911">
        <w:t xml:space="preserve"> visar forskarna Hetzler, Melén och Bjerstedt </w:t>
      </w:r>
      <w:r w:rsidR="00BD7043" w:rsidRPr="00074911">
        <w:t>att för några typfall med olika kön, ålder och diagnos så min</w:t>
      </w:r>
      <w:r w:rsidR="00BD7043" w:rsidRPr="00074911">
        <w:t>s</w:t>
      </w:r>
      <w:r w:rsidR="00BD7043" w:rsidRPr="00074911">
        <w:t xml:space="preserve">kar sannolikheten att återgå till ett arbete till hälften </w:t>
      </w:r>
      <w:r w:rsidR="003A061D" w:rsidRPr="00074911">
        <w:t xml:space="preserve">för den som har </w:t>
      </w:r>
      <w:r w:rsidR="00BD7043" w:rsidRPr="00074911">
        <w:t>geno</w:t>
      </w:r>
      <w:r w:rsidR="00BD7043" w:rsidRPr="00074911">
        <w:t>m</w:t>
      </w:r>
      <w:r w:rsidR="00BD7043" w:rsidRPr="00074911">
        <w:t xml:space="preserve">gått rehabilitering </w:t>
      </w:r>
      <w:r w:rsidR="003A061D" w:rsidRPr="00074911">
        <w:t xml:space="preserve">jämfört med den som </w:t>
      </w:r>
      <w:r w:rsidR="00BD7043" w:rsidRPr="00074911">
        <w:t xml:space="preserve">inte har gjort det. </w:t>
      </w:r>
    </w:p>
    <w:p w:rsidR="00BD7043" w:rsidRPr="00074911" w:rsidRDefault="00BD7043" w:rsidP="00CC23B4">
      <w:pPr>
        <w:pStyle w:val="Normaltindrag"/>
      </w:pPr>
      <w:r w:rsidRPr="00074911">
        <w:t>Forskarna drar dock själva slutsatsen att det sannolikt inte är rehabilite</w:t>
      </w:r>
      <w:r w:rsidRPr="00074911">
        <w:t>r</w:t>
      </w:r>
      <w:r w:rsidRPr="00074911">
        <w:t xml:space="preserve">ingen det är fel på utan selekteringsprocessen. </w:t>
      </w:r>
      <w:r w:rsidR="00542E57" w:rsidRPr="00074911">
        <w:t>Fler individer borde ha ident</w:t>
      </w:r>
      <w:r w:rsidR="00542E57" w:rsidRPr="00074911">
        <w:t>i</w:t>
      </w:r>
      <w:r w:rsidR="00542E57" w:rsidRPr="00074911">
        <w:t xml:space="preserve">fierats som förtidspensionsfall i stället för som rehabiliteringsfall. </w:t>
      </w:r>
      <w:r w:rsidR="001B13CA" w:rsidRPr="00074911">
        <w:t>Som det nu är tjänar r</w:t>
      </w:r>
      <w:r w:rsidR="00542E57" w:rsidRPr="00074911">
        <w:t xml:space="preserve">ehabiliteringen enbart till att förlänga sjukskrivningsperioden och själva frånvaron från arbetslivet riskerar i sin tur att försvåra återgången till arbete. </w:t>
      </w:r>
      <w:r w:rsidRPr="00074911">
        <w:t xml:space="preserve"> </w:t>
      </w:r>
    </w:p>
    <w:p w:rsidR="00C506C4" w:rsidRPr="00074911" w:rsidRDefault="00542E57" w:rsidP="00C506C4">
      <w:pPr>
        <w:pStyle w:val="Normaltindrag"/>
      </w:pPr>
      <w:r w:rsidRPr="00074911">
        <w:t xml:space="preserve">Detta forskningsresultat talar i och för sig för att Försäkringskassan inte bör lägga ned några resurser </w:t>
      </w:r>
      <w:r w:rsidR="00D715C9" w:rsidRPr="00074911">
        <w:t xml:space="preserve">alls </w:t>
      </w:r>
      <w:r w:rsidRPr="00074911">
        <w:t>på rehabilitering av redan förtidspensioner</w:t>
      </w:r>
      <w:r w:rsidRPr="00074911">
        <w:t>a</w:t>
      </w:r>
      <w:r w:rsidRPr="00074911">
        <w:t xml:space="preserve">de </w:t>
      </w:r>
      <w:r w:rsidR="00D715C9" w:rsidRPr="00074911">
        <w:t xml:space="preserve">personer </w:t>
      </w:r>
      <w:r w:rsidRPr="00074911">
        <w:t>utan enbart på dem som varit sjukskrivna en kortare tid. Även om huvudparten av satsningen på rehabilitering naturligtvis ska</w:t>
      </w:r>
      <w:r w:rsidR="0000471F" w:rsidRPr="00074911">
        <w:t>ll</w:t>
      </w:r>
      <w:r w:rsidRPr="00074911">
        <w:t xml:space="preserve"> läggas på dem som har </w:t>
      </w:r>
      <w:r w:rsidR="001B13CA" w:rsidRPr="00074911">
        <w:t xml:space="preserve">varit sjukskrivna en kortare tid och har </w:t>
      </w:r>
      <w:r w:rsidRPr="00074911">
        <w:t>störst sannolikhet att tillgod</w:t>
      </w:r>
      <w:r w:rsidRPr="00074911">
        <w:t>o</w:t>
      </w:r>
      <w:r w:rsidRPr="00074911">
        <w:t>göra sig rehabiliteringen och återkomma till arbetslivet vill vi dock inte ut</w:t>
      </w:r>
      <w:r w:rsidRPr="00074911">
        <w:t>e</w:t>
      </w:r>
      <w:r w:rsidRPr="00074911">
        <w:t xml:space="preserve">sluta förtidspensionärer från rehabiliteringsinsatser. Det måste dock vara </w:t>
      </w:r>
      <w:r w:rsidR="001B13CA" w:rsidRPr="00074911">
        <w:t xml:space="preserve">frågan om </w:t>
      </w:r>
      <w:r w:rsidRPr="00074911">
        <w:t xml:space="preserve">välmotiverade och </w:t>
      </w:r>
      <w:r w:rsidR="0061154A" w:rsidRPr="00074911">
        <w:t xml:space="preserve">bevisat </w:t>
      </w:r>
      <w:r w:rsidRPr="00074911">
        <w:t>effektiva</w:t>
      </w:r>
      <w:r w:rsidR="001B13CA" w:rsidRPr="00074911">
        <w:t xml:space="preserve"> åtgärder</w:t>
      </w:r>
      <w:r w:rsidRPr="00074911">
        <w:t>.</w:t>
      </w:r>
    </w:p>
    <w:p w:rsidR="0061154A" w:rsidRPr="00074911" w:rsidRDefault="001B13CA" w:rsidP="00C506C4">
      <w:pPr>
        <w:pStyle w:val="Normaltindrag"/>
      </w:pPr>
      <w:r w:rsidRPr="00074911">
        <w:t xml:space="preserve">En andra </w:t>
      </w:r>
      <w:r w:rsidR="0061154A" w:rsidRPr="00074911">
        <w:t xml:space="preserve">slutsats man kan dra av Hetzler, Melén och Bjerstedts studie, </w:t>
      </w:r>
      <w:r w:rsidRPr="00074911">
        <w:t xml:space="preserve">är </w:t>
      </w:r>
      <w:r w:rsidR="0061154A" w:rsidRPr="00074911">
        <w:t>att de valda rehabiliteringsåtgärder</w:t>
      </w:r>
      <w:r w:rsidR="002A569D" w:rsidRPr="00074911">
        <w:t>na</w:t>
      </w:r>
      <w:r w:rsidR="0061154A" w:rsidRPr="00074911">
        <w:t xml:space="preserve"> knappast är effektiva om sannolikheten att återgå till arbete halveras för den som genomgått dem. Mot denna ba</w:t>
      </w:r>
      <w:r w:rsidR="0061154A" w:rsidRPr="00074911">
        <w:t>k</w:t>
      </w:r>
      <w:r w:rsidR="0061154A" w:rsidRPr="00074911">
        <w:t xml:space="preserve">grund </w:t>
      </w:r>
      <w:r w:rsidRPr="00074911">
        <w:t xml:space="preserve">anser vi att </w:t>
      </w:r>
      <w:r w:rsidR="0061154A" w:rsidRPr="00074911">
        <w:t xml:space="preserve">Försäkringskassan </w:t>
      </w:r>
      <w:r w:rsidRPr="00074911">
        <w:t xml:space="preserve">måste </w:t>
      </w:r>
      <w:r w:rsidR="0061154A" w:rsidRPr="00074911">
        <w:t xml:space="preserve">bli bättre på att </w:t>
      </w:r>
      <w:r w:rsidRPr="00074911">
        <w:t xml:space="preserve">systematiskt </w:t>
      </w:r>
      <w:r w:rsidR="0061154A" w:rsidRPr="00074911">
        <w:t>u</w:t>
      </w:r>
      <w:r w:rsidR="0061154A" w:rsidRPr="00074911">
        <w:t>t</w:t>
      </w:r>
      <w:r w:rsidR="0061154A" w:rsidRPr="00074911">
        <w:t>värdera enskilda rehabiliteringsåtgärder och sedan utmönstra sådana som är ineffektiva. Aktiv sjukskrivning är den enda rehabiliteringsåtgärd som ökar sannolikheten för den enskilde att återgå till arbete. För de individer som har fått arbetsprövning, anpassat arbete eller övriga åtgärder är chanserna mycket små att återgå till arbete</w:t>
      </w:r>
      <w:r w:rsidR="00D715C9" w:rsidRPr="00074911">
        <w:t xml:space="preserve">, enligt </w:t>
      </w:r>
      <w:r w:rsidRPr="00074911">
        <w:t>Hetzler, Melén och Bjerstedt</w:t>
      </w:r>
      <w:r w:rsidR="0061154A" w:rsidRPr="00074911">
        <w:t>.</w:t>
      </w:r>
      <w:r w:rsidR="00D715C9" w:rsidRPr="00074911">
        <w:t xml:space="preserve"> Denna indelning av rehab</w:t>
      </w:r>
      <w:r w:rsidR="00DC1C75" w:rsidRPr="00074911">
        <w:t>iliteringsinsatser är dock allt</w:t>
      </w:r>
      <w:r w:rsidR="00D715C9" w:rsidRPr="00074911">
        <w:t xml:space="preserve">för grov för att </w:t>
      </w:r>
      <w:r w:rsidRPr="00074911">
        <w:t xml:space="preserve">kunna </w:t>
      </w:r>
      <w:r w:rsidR="00D715C9" w:rsidRPr="00074911">
        <w:t>vara vägledande</w:t>
      </w:r>
      <w:r w:rsidRPr="00074911">
        <w:t xml:space="preserve"> för Försäkringskassan</w:t>
      </w:r>
      <w:r w:rsidR="00D715C9" w:rsidRPr="00074911">
        <w:t>. Enskilda rehabiliteringsinsatser måste utv</w:t>
      </w:r>
      <w:r w:rsidR="00BE5BDA" w:rsidRPr="00074911">
        <w:t xml:space="preserve">ärderas var för sig. </w:t>
      </w:r>
    </w:p>
    <w:p w:rsidR="00542E57" w:rsidRPr="00074911" w:rsidRDefault="0061154A" w:rsidP="00C506C4">
      <w:pPr>
        <w:pStyle w:val="Normaltindrag"/>
      </w:pPr>
      <w:r w:rsidRPr="00074911">
        <w:t xml:space="preserve">Vi </w:t>
      </w:r>
      <w:r w:rsidR="001B13CA" w:rsidRPr="00074911">
        <w:t xml:space="preserve">moderater </w:t>
      </w:r>
      <w:r w:rsidRPr="00074911">
        <w:t xml:space="preserve">satsar </w:t>
      </w:r>
      <w:r w:rsidR="005117CD" w:rsidRPr="00074911">
        <w:t>370 miljoner kronor mer än r</w:t>
      </w:r>
      <w:r w:rsidRPr="00074911">
        <w:t xml:space="preserve">egeringen på </w:t>
      </w:r>
      <w:r w:rsidR="00992ABB" w:rsidRPr="00074911">
        <w:t>rehabilite</w:t>
      </w:r>
      <w:r w:rsidR="00992ABB" w:rsidRPr="00074911">
        <w:t>r</w:t>
      </w:r>
      <w:r w:rsidR="00992ABB" w:rsidRPr="00074911">
        <w:t>ingsinsatser</w:t>
      </w:r>
      <w:r w:rsidR="005117CD" w:rsidRPr="00074911">
        <w:t>. Tanken är att såväl sjukskrivna som förtidspensionerade ska</w:t>
      </w:r>
      <w:r w:rsidR="00362810" w:rsidRPr="00074911">
        <w:t>ll</w:t>
      </w:r>
      <w:r w:rsidR="005117CD" w:rsidRPr="00074911">
        <w:t xml:space="preserve"> kunna ta del av dessa rehabiliteringspengar. Vi avser dock att strama upp styrningen av såväl vem som ska</w:t>
      </w:r>
      <w:r w:rsidR="009A7991" w:rsidRPr="00074911">
        <w:t>ll</w:t>
      </w:r>
      <w:r w:rsidR="005117CD" w:rsidRPr="00074911">
        <w:t xml:space="preserve"> få del av rehabiliteringen som av vilka åtgärder som ska</w:t>
      </w:r>
      <w:r w:rsidR="00362810" w:rsidRPr="00074911">
        <w:t>ll</w:t>
      </w:r>
      <w:r w:rsidR="005117CD" w:rsidRPr="00074911">
        <w:t xml:space="preserve"> kunna komma i fråga. </w:t>
      </w:r>
      <w:r w:rsidRPr="00074911">
        <w:t xml:space="preserve">    </w:t>
      </w:r>
    </w:p>
    <w:p w:rsidR="0043799E" w:rsidRPr="00074911" w:rsidRDefault="0043799E" w:rsidP="0043799E">
      <w:pPr>
        <w:pStyle w:val="Rubrik1"/>
      </w:pPr>
      <w:r w:rsidRPr="00074911">
        <w:t>Det måste löna sig bättre att arbeta</w:t>
      </w:r>
    </w:p>
    <w:p w:rsidR="00C53838" w:rsidRPr="00074911" w:rsidRDefault="00C53838" w:rsidP="00C53838">
      <w:r w:rsidRPr="00074911">
        <w:t xml:space="preserve">Att färre än en procent av förtidspensionärerna någonsin återgår till arbete beror sannolikt </w:t>
      </w:r>
      <w:r w:rsidR="001B13CA" w:rsidRPr="00074911">
        <w:t xml:space="preserve">delvis </w:t>
      </w:r>
      <w:r w:rsidRPr="00074911">
        <w:t>på att det är tämligen ekonomiskt fördelaktigt att vara förtidspensionär. Förutom en ersättning från den offen</w:t>
      </w:r>
      <w:r w:rsidR="00DC1C75" w:rsidRPr="00074911">
        <w:t>tliga försäkringen på 64 %</w:t>
      </w:r>
      <w:r w:rsidRPr="00074911">
        <w:t xml:space="preserve"> av en tidigare inkomst </w:t>
      </w:r>
      <w:r w:rsidR="002D6DAB" w:rsidRPr="00074911">
        <w:t xml:space="preserve">upp till taket på 7,5 basbelopp </w:t>
      </w:r>
      <w:r w:rsidRPr="00074911">
        <w:t>får de flesta fö</w:t>
      </w:r>
      <w:r w:rsidRPr="00074911">
        <w:t>r</w:t>
      </w:r>
      <w:r w:rsidRPr="00074911">
        <w:t xml:space="preserve">tidspensionärer en ersättning </w:t>
      </w:r>
      <w:r w:rsidR="004743A9" w:rsidRPr="00074911">
        <w:t xml:space="preserve">genom kollektivavtal </w:t>
      </w:r>
      <w:r w:rsidRPr="00074911">
        <w:t xml:space="preserve">på mellan </w:t>
      </w:r>
      <w:r w:rsidR="00DC1C75" w:rsidRPr="00074911">
        <w:t>15 och 21 %</w:t>
      </w:r>
      <w:r w:rsidR="002668DA" w:rsidRPr="00074911">
        <w:t xml:space="preserve"> för löneandelar under taket</w:t>
      </w:r>
      <w:r w:rsidR="00DC1C75" w:rsidRPr="00074911">
        <w:t xml:space="preserve"> och på mellan 65 och 81 %</w:t>
      </w:r>
      <w:r w:rsidR="002668DA" w:rsidRPr="00074911">
        <w:t xml:space="preserve"> för löneandelar över taket. </w:t>
      </w:r>
      <w:r w:rsidR="002D6DAB" w:rsidRPr="00074911">
        <w:t>Taket motsvarar e</w:t>
      </w:r>
      <w:r w:rsidR="00206046" w:rsidRPr="00074911">
        <w:t>n månadsinkomst på 24 625 kr</w:t>
      </w:r>
      <w:r w:rsidR="002D6DAB" w:rsidRPr="00074911">
        <w:t xml:space="preserve">. </w:t>
      </w:r>
      <w:r w:rsidR="002668DA" w:rsidRPr="00074911">
        <w:t>För vissa avtal är det till och med mer ekonomiskt fördelaktigt för den enskilde att förtidspension</w:t>
      </w:r>
      <w:r w:rsidR="002668DA" w:rsidRPr="00074911">
        <w:t>e</w:t>
      </w:r>
      <w:r w:rsidR="002668DA" w:rsidRPr="00074911">
        <w:t xml:space="preserve">ras än att kvarstå i sjukförsäkringen. I rapporten ”Inte bara socialförsäkringar – kompletterande ersättningar vid inkomstbortfall” (ESS 205:2) visar Eskil Wadensjö och Gabriella Sjögren Lindquist att </w:t>
      </w:r>
      <w:r w:rsidR="00867BF0" w:rsidRPr="00074911">
        <w:t>kommunal</w:t>
      </w:r>
      <w:r w:rsidR="00DC1C75" w:rsidRPr="00074911">
        <w:t>-</w:t>
      </w:r>
      <w:r w:rsidR="00867BF0" w:rsidRPr="00074911">
        <w:t xml:space="preserve"> och landstingsa</w:t>
      </w:r>
      <w:r w:rsidR="00867BF0" w:rsidRPr="00074911">
        <w:t>n</w:t>
      </w:r>
      <w:r w:rsidR="00867BF0" w:rsidRPr="00074911">
        <w:t>ställda samt även privatanställda arbetar</w:t>
      </w:r>
      <w:r w:rsidR="004743A9" w:rsidRPr="00074911">
        <w:t>e</w:t>
      </w:r>
      <w:r w:rsidR="00867BF0" w:rsidRPr="00074911">
        <w:t xml:space="preserve"> i vissa lönelägen får en högre total ersättning vid övergång från sjukpenning till förtidspension. </w:t>
      </w:r>
      <w:r w:rsidR="006A34EF" w:rsidRPr="00074911">
        <w:t>Det anser vi är fel.</w:t>
      </w:r>
    </w:p>
    <w:p w:rsidR="00867BF0" w:rsidRPr="00074911" w:rsidRDefault="00867BF0" w:rsidP="00867BF0">
      <w:pPr>
        <w:pStyle w:val="Normaltindrag"/>
      </w:pPr>
      <w:r w:rsidRPr="00074911">
        <w:t xml:space="preserve">Mot denna bakgrund föreslår vi </w:t>
      </w:r>
      <w:r w:rsidR="001B13CA" w:rsidRPr="00074911">
        <w:t xml:space="preserve">moderater </w:t>
      </w:r>
      <w:r w:rsidRPr="00074911">
        <w:t>en sänkning av ersättningen i förtidspensio</w:t>
      </w:r>
      <w:r w:rsidR="00DC1C75" w:rsidRPr="00074911">
        <w:t>nen från 64 till 60 %</w:t>
      </w:r>
      <w:r w:rsidRPr="00074911">
        <w:t xml:space="preserve"> av antagandeinkomsten det andra året efter ett regeringsskifte. Vi överväger även att sätta ett tak för ersättningarna från de kollektivavtalsbaserade försäkringarna för förtidspensionärer på liknande sätt som </w:t>
      </w:r>
      <w:r w:rsidR="001B13CA" w:rsidRPr="00074911">
        <w:t>i</w:t>
      </w:r>
      <w:r w:rsidR="00362810" w:rsidRPr="00074911">
        <w:t xml:space="preserve"> </w:t>
      </w:r>
      <w:r w:rsidR="001B13CA" w:rsidRPr="00074911">
        <w:t>dag finns i</w:t>
      </w:r>
      <w:r w:rsidRPr="00074911">
        <w:t xml:space="preserve"> sjukförsäkringen.  </w:t>
      </w:r>
    </w:p>
    <w:p w:rsidR="009E7ABB" w:rsidRPr="00074911" w:rsidRDefault="006A34EF" w:rsidP="00C506C4">
      <w:pPr>
        <w:pStyle w:val="Normaltindrag"/>
      </w:pPr>
      <w:r w:rsidRPr="00074911">
        <w:t>En viktigare reform för att det ska</w:t>
      </w:r>
      <w:r w:rsidR="00362810" w:rsidRPr="00074911">
        <w:t>ll</w:t>
      </w:r>
      <w:r w:rsidRPr="00074911">
        <w:t xml:space="preserve"> löna sig att återgå till arbete för en fö</w:t>
      </w:r>
      <w:r w:rsidRPr="00074911">
        <w:t>r</w:t>
      </w:r>
      <w:r w:rsidRPr="00074911">
        <w:t xml:space="preserve">tidspensionär är Allians för Sveriges jobbavdrag. </w:t>
      </w:r>
    </w:p>
    <w:p w:rsidR="003E231F" w:rsidRPr="00074911" w:rsidRDefault="009E7ABB" w:rsidP="00C506C4">
      <w:pPr>
        <w:pStyle w:val="Normaltindrag"/>
      </w:pPr>
      <w:r w:rsidRPr="00074911">
        <w:t>En förtidspensionär med tidigare statlig anställning med en månadslön p</w:t>
      </w:r>
      <w:r w:rsidR="00206046" w:rsidRPr="00074911">
        <w:t>recis vid taket på 24 625 kr</w:t>
      </w:r>
      <w:r w:rsidRPr="00074911">
        <w:t xml:space="preserve"> får som förtidspensionär i</w:t>
      </w:r>
      <w:r w:rsidR="003733E7" w:rsidRPr="00074911">
        <w:t xml:space="preserve"> </w:t>
      </w:r>
      <w:r w:rsidRPr="00074911">
        <w:t xml:space="preserve">dag en ersättning från socialförsäkringen på 15 760 kr och från avtalsförsäkring på 5 171 kr, </w:t>
      </w:r>
      <w:r w:rsidR="00992ABB" w:rsidRPr="00074911">
        <w:t>dvs.</w:t>
      </w:r>
      <w:r w:rsidRPr="00074911">
        <w:t xml:space="preserve"> sammanlagt 20 931 kr före skatt</w:t>
      </w:r>
      <w:r w:rsidR="003E231F" w:rsidRPr="00074911">
        <w:t xml:space="preserve"> enligt tabellen nedan</w:t>
      </w:r>
      <w:r w:rsidRPr="00074911">
        <w:t xml:space="preserve">. </w:t>
      </w:r>
    </w:p>
    <w:p w:rsidR="003E231F" w:rsidRPr="00074911" w:rsidRDefault="003E231F" w:rsidP="00DC1C75">
      <w:pPr>
        <w:pStyle w:val="Normaltindrag"/>
        <w:ind w:firstLine="0"/>
        <w:jc w:val="left"/>
        <w:rPr>
          <w:b/>
          <w:szCs w:val="19"/>
        </w:rPr>
      </w:pPr>
      <w:r w:rsidRPr="00074911">
        <w:rPr>
          <w:b/>
          <w:szCs w:val="19"/>
        </w:rPr>
        <w:t>Från förtidspension till arbete, kronor per månad</w:t>
      </w:r>
    </w:p>
    <w:tbl>
      <w:tblPr>
        <w:tblW w:w="5472" w:type="dxa"/>
        <w:tblInd w:w="55" w:type="dxa"/>
        <w:tblCellMar>
          <w:left w:w="70" w:type="dxa"/>
          <w:right w:w="70" w:type="dxa"/>
        </w:tblCellMar>
        <w:tblLook w:val="0000" w:firstRow="0" w:lastRow="0" w:firstColumn="0" w:lastColumn="0" w:noHBand="0" w:noVBand="0"/>
      </w:tblPr>
      <w:tblGrid>
        <w:gridCol w:w="2822"/>
        <w:gridCol w:w="1014"/>
        <w:gridCol w:w="1031"/>
        <w:gridCol w:w="1031"/>
      </w:tblGrid>
      <w:tr w:rsidR="003E231F" w:rsidRPr="00074911">
        <w:trPr>
          <w:trHeight w:val="255"/>
        </w:trPr>
        <w:tc>
          <w:tcPr>
            <w:tcW w:w="2842" w:type="dxa"/>
            <w:tcBorders>
              <w:top w:val="single" w:sz="4" w:space="0" w:color="auto"/>
              <w:left w:val="nil"/>
              <w:bottom w:val="single" w:sz="4" w:space="0" w:color="auto"/>
              <w:right w:val="nil"/>
            </w:tcBorders>
            <w:noWrap/>
            <w:vAlign w:val="bottom"/>
          </w:tcPr>
          <w:p w:rsidR="003E231F" w:rsidRPr="00074911" w:rsidRDefault="003E231F" w:rsidP="00DC1C75">
            <w:pPr>
              <w:spacing w:before="60" w:line="200" w:lineRule="exact"/>
              <w:jc w:val="center"/>
              <w:rPr>
                <w:b/>
                <w:sz w:val="16"/>
                <w:szCs w:val="16"/>
              </w:rPr>
            </w:pPr>
          </w:p>
        </w:tc>
        <w:tc>
          <w:tcPr>
            <w:tcW w:w="1021" w:type="dxa"/>
            <w:tcBorders>
              <w:top w:val="single" w:sz="4" w:space="0" w:color="auto"/>
              <w:left w:val="nil"/>
              <w:bottom w:val="single" w:sz="4" w:space="0" w:color="auto"/>
              <w:right w:val="nil"/>
            </w:tcBorders>
            <w:noWrap/>
            <w:vAlign w:val="bottom"/>
          </w:tcPr>
          <w:p w:rsidR="003E231F" w:rsidRPr="00074911" w:rsidRDefault="003E231F" w:rsidP="00DC1C75">
            <w:pPr>
              <w:spacing w:before="60" w:line="200" w:lineRule="exact"/>
              <w:jc w:val="center"/>
              <w:rPr>
                <w:b/>
                <w:sz w:val="16"/>
                <w:szCs w:val="16"/>
              </w:rPr>
            </w:pPr>
            <w:r w:rsidRPr="00074911">
              <w:rPr>
                <w:b/>
                <w:sz w:val="16"/>
                <w:szCs w:val="16"/>
              </w:rPr>
              <w:t>I dag</w:t>
            </w:r>
          </w:p>
        </w:tc>
        <w:tc>
          <w:tcPr>
            <w:tcW w:w="1038" w:type="dxa"/>
            <w:tcBorders>
              <w:top w:val="single" w:sz="4" w:space="0" w:color="auto"/>
              <w:left w:val="nil"/>
              <w:bottom w:val="single" w:sz="4" w:space="0" w:color="auto"/>
              <w:right w:val="nil"/>
            </w:tcBorders>
            <w:noWrap/>
            <w:vAlign w:val="bottom"/>
          </w:tcPr>
          <w:p w:rsidR="003E231F" w:rsidRPr="00074911" w:rsidRDefault="003E231F" w:rsidP="00DC1C75">
            <w:pPr>
              <w:spacing w:before="60" w:line="200" w:lineRule="exact"/>
              <w:jc w:val="center"/>
              <w:rPr>
                <w:b/>
                <w:sz w:val="16"/>
                <w:szCs w:val="16"/>
              </w:rPr>
            </w:pPr>
            <w:r w:rsidRPr="00074911">
              <w:rPr>
                <w:b/>
                <w:sz w:val="16"/>
                <w:szCs w:val="16"/>
              </w:rPr>
              <w:t>Moderaterna</w:t>
            </w:r>
          </w:p>
        </w:tc>
        <w:tc>
          <w:tcPr>
            <w:tcW w:w="1038" w:type="dxa"/>
            <w:tcBorders>
              <w:top w:val="single" w:sz="4" w:space="0" w:color="auto"/>
              <w:left w:val="nil"/>
              <w:bottom w:val="single" w:sz="4" w:space="0" w:color="auto"/>
              <w:right w:val="nil"/>
            </w:tcBorders>
            <w:noWrap/>
            <w:vAlign w:val="bottom"/>
          </w:tcPr>
          <w:p w:rsidR="003E231F" w:rsidRPr="00074911" w:rsidRDefault="003E231F" w:rsidP="00DC1C75">
            <w:pPr>
              <w:spacing w:before="60" w:line="200" w:lineRule="exact"/>
              <w:jc w:val="center"/>
              <w:rPr>
                <w:b/>
                <w:sz w:val="16"/>
                <w:szCs w:val="16"/>
              </w:rPr>
            </w:pPr>
            <w:r w:rsidRPr="00074911">
              <w:rPr>
                <w:b/>
                <w:sz w:val="16"/>
                <w:szCs w:val="16"/>
              </w:rPr>
              <w:t>Förändring</w:t>
            </w:r>
          </w:p>
        </w:tc>
      </w:tr>
      <w:tr w:rsidR="003E231F" w:rsidRPr="00074911">
        <w:trPr>
          <w:trHeight w:val="255"/>
        </w:trPr>
        <w:tc>
          <w:tcPr>
            <w:tcW w:w="2842" w:type="dxa"/>
            <w:tcBorders>
              <w:top w:val="single" w:sz="4" w:space="0" w:color="auto"/>
              <w:left w:val="nil"/>
              <w:bottom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Tidigare lön</w:t>
            </w:r>
          </w:p>
        </w:tc>
        <w:tc>
          <w:tcPr>
            <w:tcW w:w="1021" w:type="dxa"/>
            <w:tcBorders>
              <w:top w:val="single" w:sz="4" w:space="0" w:color="auto"/>
              <w:left w:val="nil"/>
              <w:bottom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24 625</w:t>
            </w:r>
          </w:p>
        </w:tc>
        <w:tc>
          <w:tcPr>
            <w:tcW w:w="1038" w:type="dxa"/>
            <w:tcBorders>
              <w:top w:val="single" w:sz="4" w:space="0" w:color="auto"/>
              <w:left w:val="nil"/>
              <w:bottom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24 625</w:t>
            </w:r>
          </w:p>
        </w:tc>
        <w:tc>
          <w:tcPr>
            <w:tcW w:w="1038" w:type="dxa"/>
            <w:tcBorders>
              <w:top w:val="single" w:sz="4" w:space="0" w:color="auto"/>
              <w:left w:val="nil"/>
              <w:bottom w:val="nil"/>
              <w:right w:val="nil"/>
            </w:tcBorders>
            <w:noWrap/>
            <w:vAlign w:val="bottom"/>
          </w:tcPr>
          <w:p w:rsidR="003E231F" w:rsidRPr="00074911" w:rsidRDefault="003E231F" w:rsidP="00DC1C75">
            <w:pPr>
              <w:spacing w:before="60" w:line="200" w:lineRule="exact"/>
              <w:rPr>
                <w:sz w:val="16"/>
                <w:szCs w:val="16"/>
              </w:rPr>
            </w:pPr>
          </w:p>
        </w:tc>
      </w:tr>
      <w:tr w:rsidR="003E231F" w:rsidRPr="00074911">
        <w:trPr>
          <w:trHeight w:val="255"/>
        </w:trPr>
        <w:tc>
          <w:tcPr>
            <w:tcW w:w="2842"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Förtidspension, offentlig + avtal</w:t>
            </w:r>
          </w:p>
        </w:tc>
        <w:tc>
          <w:tcPr>
            <w:tcW w:w="1021" w:type="dxa"/>
            <w:tcBorders>
              <w:top w:val="nil"/>
              <w:left w:val="nil"/>
              <w:bottom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20 931</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19 946</w:t>
            </w:r>
          </w:p>
        </w:tc>
        <w:tc>
          <w:tcPr>
            <w:tcW w:w="1038"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p>
        </w:tc>
      </w:tr>
      <w:tr w:rsidR="003E231F" w:rsidRPr="00074911">
        <w:trPr>
          <w:trHeight w:val="255"/>
        </w:trPr>
        <w:tc>
          <w:tcPr>
            <w:tcW w:w="2842"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 xml:space="preserve">Grundavdrag </w:t>
            </w:r>
          </w:p>
        </w:tc>
        <w:tc>
          <w:tcPr>
            <w:tcW w:w="1021" w:type="dxa"/>
            <w:tcBorders>
              <w:top w:val="nil"/>
              <w:left w:val="nil"/>
              <w:bottom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1 330</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1 425</w:t>
            </w:r>
          </w:p>
        </w:tc>
        <w:tc>
          <w:tcPr>
            <w:tcW w:w="1038"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p>
        </w:tc>
      </w:tr>
      <w:tr w:rsidR="003E231F" w:rsidRPr="00074911">
        <w:trPr>
          <w:trHeight w:val="255"/>
        </w:trPr>
        <w:tc>
          <w:tcPr>
            <w:tcW w:w="2842"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 xml:space="preserve">Förtidspension efter skatt </w:t>
            </w:r>
          </w:p>
        </w:tc>
        <w:tc>
          <w:tcPr>
            <w:tcW w:w="1021" w:type="dxa"/>
            <w:tcBorders>
              <w:top w:val="nil"/>
              <w:left w:val="nil"/>
              <w:bottom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14 757</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14 112</w:t>
            </w:r>
          </w:p>
        </w:tc>
        <w:tc>
          <w:tcPr>
            <w:tcW w:w="1038" w:type="dxa"/>
            <w:tcBorders>
              <w:top w:val="nil"/>
              <w:left w:val="nil"/>
              <w:bottom w:val="nil"/>
              <w:right w:val="nil"/>
            </w:tcBorders>
            <w:noWrap/>
            <w:vAlign w:val="bottom"/>
          </w:tcPr>
          <w:p w:rsidR="003E231F" w:rsidRPr="00074911" w:rsidRDefault="00DC1C75" w:rsidP="00DC1C75">
            <w:pPr>
              <w:spacing w:before="60" w:line="200" w:lineRule="exact"/>
              <w:jc w:val="center"/>
              <w:rPr>
                <w:sz w:val="16"/>
                <w:szCs w:val="16"/>
              </w:rPr>
            </w:pPr>
            <w:r w:rsidRPr="00074911">
              <w:rPr>
                <w:sz w:val="16"/>
                <w:szCs w:val="16"/>
              </w:rPr>
              <w:t>–</w:t>
            </w:r>
            <w:r w:rsidR="003E231F" w:rsidRPr="00074911">
              <w:rPr>
                <w:sz w:val="16"/>
                <w:szCs w:val="16"/>
              </w:rPr>
              <w:t>645</w:t>
            </w:r>
          </w:p>
        </w:tc>
      </w:tr>
      <w:tr w:rsidR="003E231F" w:rsidRPr="00074911">
        <w:trPr>
          <w:trHeight w:val="255"/>
        </w:trPr>
        <w:tc>
          <w:tcPr>
            <w:tcW w:w="2842"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 xml:space="preserve">Lön vid nytt arbete </w:t>
            </w:r>
          </w:p>
        </w:tc>
        <w:tc>
          <w:tcPr>
            <w:tcW w:w="1021" w:type="dxa"/>
            <w:tcBorders>
              <w:top w:val="nil"/>
              <w:left w:val="nil"/>
              <w:bottom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20 000</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20 000</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p>
        </w:tc>
      </w:tr>
      <w:tr w:rsidR="003E231F" w:rsidRPr="00074911">
        <w:trPr>
          <w:trHeight w:val="255"/>
        </w:trPr>
        <w:tc>
          <w:tcPr>
            <w:tcW w:w="2842" w:type="dxa"/>
            <w:tcBorders>
              <w:top w:val="nil"/>
              <w:left w:val="nil"/>
              <w:bottom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Grundavdrag/jobbavdrag</w:t>
            </w:r>
          </w:p>
        </w:tc>
        <w:tc>
          <w:tcPr>
            <w:tcW w:w="1021" w:type="dxa"/>
            <w:tcBorders>
              <w:top w:val="nil"/>
              <w:left w:val="nil"/>
              <w:bottom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1 425</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4 425</w:t>
            </w:r>
          </w:p>
        </w:tc>
        <w:tc>
          <w:tcPr>
            <w:tcW w:w="1038" w:type="dxa"/>
            <w:tcBorders>
              <w:top w:val="nil"/>
              <w:left w:val="nil"/>
              <w:bottom w:val="nil"/>
              <w:right w:val="nil"/>
            </w:tcBorders>
            <w:noWrap/>
            <w:vAlign w:val="bottom"/>
          </w:tcPr>
          <w:p w:rsidR="003E231F" w:rsidRPr="00074911" w:rsidRDefault="003E231F" w:rsidP="00DC1C75">
            <w:pPr>
              <w:spacing w:before="60" w:line="200" w:lineRule="exact"/>
              <w:jc w:val="center"/>
              <w:rPr>
                <w:sz w:val="16"/>
                <w:szCs w:val="16"/>
              </w:rPr>
            </w:pPr>
          </w:p>
        </w:tc>
      </w:tr>
      <w:tr w:rsidR="003E231F" w:rsidRPr="00074911">
        <w:trPr>
          <w:trHeight w:val="255"/>
        </w:trPr>
        <w:tc>
          <w:tcPr>
            <w:tcW w:w="2842" w:type="dxa"/>
            <w:tcBorders>
              <w:top w:val="nil"/>
              <w:left w:val="nil"/>
              <w:right w:val="nil"/>
            </w:tcBorders>
            <w:noWrap/>
            <w:vAlign w:val="bottom"/>
          </w:tcPr>
          <w:p w:rsidR="003E231F" w:rsidRPr="00074911" w:rsidRDefault="003E231F" w:rsidP="00DC1C75">
            <w:pPr>
              <w:spacing w:before="60" w:line="200" w:lineRule="exact"/>
              <w:rPr>
                <w:sz w:val="16"/>
                <w:szCs w:val="16"/>
              </w:rPr>
            </w:pPr>
            <w:r w:rsidRPr="00074911">
              <w:rPr>
                <w:sz w:val="16"/>
                <w:szCs w:val="16"/>
              </w:rPr>
              <w:t>Lön efter skatt vid nytt arbete</w:t>
            </w:r>
          </w:p>
        </w:tc>
        <w:tc>
          <w:tcPr>
            <w:tcW w:w="1021" w:type="dxa"/>
            <w:tcBorders>
              <w:top w:val="nil"/>
              <w:left w:val="nil"/>
              <w:right w:val="nil"/>
            </w:tcBorders>
            <w:noWrap/>
            <w:vAlign w:val="bottom"/>
          </w:tcPr>
          <w:p w:rsidR="003E231F" w:rsidRPr="00074911" w:rsidRDefault="003E231F" w:rsidP="00DC1C75">
            <w:pPr>
              <w:spacing w:before="60" w:line="200" w:lineRule="exact"/>
              <w:ind w:right="61"/>
              <w:jc w:val="center"/>
              <w:rPr>
                <w:sz w:val="16"/>
                <w:szCs w:val="16"/>
              </w:rPr>
            </w:pPr>
            <w:r w:rsidRPr="00074911">
              <w:rPr>
                <w:sz w:val="16"/>
                <w:szCs w:val="16"/>
              </w:rPr>
              <w:t>14 149</w:t>
            </w:r>
          </w:p>
        </w:tc>
        <w:tc>
          <w:tcPr>
            <w:tcW w:w="1038" w:type="dxa"/>
            <w:tcBorders>
              <w:top w:val="nil"/>
              <w:left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15 094</w:t>
            </w:r>
          </w:p>
        </w:tc>
        <w:tc>
          <w:tcPr>
            <w:tcW w:w="1038" w:type="dxa"/>
            <w:tcBorders>
              <w:top w:val="nil"/>
              <w:left w:val="nil"/>
              <w:right w:val="nil"/>
            </w:tcBorders>
            <w:noWrap/>
            <w:vAlign w:val="bottom"/>
          </w:tcPr>
          <w:p w:rsidR="003E231F" w:rsidRPr="00074911" w:rsidRDefault="003E231F" w:rsidP="00DC1C75">
            <w:pPr>
              <w:spacing w:before="60" w:line="200" w:lineRule="exact"/>
              <w:jc w:val="center"/>
              <w:rPr>
                <w:sz w:val="16"/>
                <w:szCs w:val="16"/>
              </w:rPr>
            </w:pPr>
            <w:r w:rsidRPr="00074911">
              <w:rPr>
                <w:sz w:val="16"/>
                <w:szCs w:val="16"/>
              </w:rPr>
              <w:t>945</w:t>
            </w:r>
          </w:p>
        </w:tc>
      </w:tr>
      <w:tr w:rsidR="003E231F" w:rsidRPr="00074911">
        <w:trPr>
          <w:trHeight w:val="255"/>
        </w:trPr>
        <w:tc>
          <w:tcPr>
            <w:tcW w:w="2842" w:type="dxa"/>
            <w:tcBorders>
              <w:top w:val="nil"/>
              <w:left w:val="nil"/>
              <w:bottom w:val="single" w:sz="4" w:space="0" w:color="auto"/>
              <w:right w:val="nil"/>
            </w:tcBorders>
            <w:noWrap/>
            <w:vAlign w:val="bottom"/>
          </w:tcPr>
          <w:p w:rsidR="003E231F" w:rsidRPr="00074911" w:rsidRDefault="003E231F" w:rsidP="00DC1C75">
            <w:pPr>
              <w:spacing w:before="60" w:line="200" w:lineRule="exact"/>
              <w:rPr>
                <w:sz w:val="16"/>
                <w:szCs w:val="16"/>
              </w:rPr>
            </w:pPr>
            <w:r w:rsidRPr="00074911">
              <w:rPr>
                <w:sz w:val="16"/>
                <w:szCs w:val="16"/>
              </w:rPr>
              <w:t>Lön i stället för förtidspension efter skatt</w:t>
            </w:r>
          </w:p>
        </w:tc>
        <w:tc>
          <w:tcPr>
            <w:tcW w:w="1021" w:type="dxa"/>
            <w:tcBorders>
              <w:top w:val="nil"/>
              <w:left w:val="nil"/>
              <w:bottom w:val="single" w:sz="4" w:space="0" w:color="auto"/>
              <w:right w:val="nil"/>
            </w:tcBorders>
            <w:noWrap/>
            <w:vAlign w:val="bottom"/>
          </w:tcPr>
          <w:p w:rsidR="003E231F" w:rsidRPr="00074911" w:rsidRDefault="00DC1C75" w:rsidP="00DC1C75">
            <w:pPr>
              <w:spacing w:before="60" w:line="200" w:lineRule="exact"/>
              <w:ind w:right="61"/>
              <w:jc w:val="center"/>
              <w:rPr>
                <w:sz w:val="16"/>
                <w:szCs w:val="16"/>
              </w:rPr>
            </w:pPr>
            <w:r w:rsidRPr="00074911">
              <w:rPr>
                <w:sz w:val="16"/>
                <w:szCs w:val="16"/>
              </w:rPr>
              <w:t xml:space="preserve">  –</w:t>
            </w:r>
            <w:r w:rsidR="003E231F" w:rsidRPr="00074911">
              <w:rPr>
                <w:sz w:val="16"/>
                <w:szCs w:val="16"/>
              </w:rPr>
              <w:t>608</w:t>
            </w:r>
          </w:p>
        </w:tc>
        <w:tc>
          <w:tcPr>
            <w:tcW w:w="1038" w:type="dxa"/>
            <w:tcBorders>
              <w:top w:val="nil"/>
              <w:left w:val="nil"/>
              <w:bottom w:val="single" w:sz="4" w:space="0" w:color="auto"/>
              <w:right w:val="nil"/>
            </w:tcBorders>
            <w:noWrap/>
            <w:vAlign w:val="bottom"/>
          </w:tcPr>
          <w:p w:rsidR="003E231F" w:rsidRPr="00074911" w:rsidRDefault="00DC1C75" w:rsidP="00DC1C75">
            <w:pPr>
              <w:spacing w:before="60" w:line="200" w:lineRule="exact"/>
              <w:jc w:val="center"/>
              <w:rPr>
                <w:sz w:val="16"/>
                <w:szCs w:val="16"/>
              </w:rPr>
            </w:pPr>
            <w:r w:rsidRPr="00074911">
              <w:rPr>
                <w:sz w:val="16"/>
                <w:szCs w:val="16"/>
              </w:rPr>
              <w:t xml:space="preserve">     </w:t>
            </w:r>
            <w:r w:rsidR="003E231F" w:rsidRPr="00074911">
              <w:rPr>
                <w:sz w:val="16"/>
                <w:szCs w:val="16"/>
              </w:rPr>
              <w:t>982</w:t>
            </w:r>
          </w:p>
        </w:tc>
        <w:tc>
          <w:tcPr>
            <w:tcW w:w="1038" w:type="dxa"/>
            <w:tcBorders>
              <w:top w:val="nil"/>
              <w:left w:val="nil"/>
              <w:bottom w:val="single" w:sz="4" w:space="0" w:color="auto"/>
              <w:right w:val="nil"/>
            </w:tcBorders>
            <w:noWrap/>
            <w:vAlign w:val="bottom"/>
          </w:tcPr>
          <w:p w:rsidR="003E231F" w:rsidRPr="00074911" w:rsidRDefault="003E231F" w:rsidP="00DC1C75">
            <w:pPr>
              <w:spacing w:before="60" w:line="200" w:lineRule="exact"/>
              <w:rPr>
                <w:sz w:val="16"/>
                <w:szCs w:val="16"/>
              </w:rPr>
            </w:pPr>
          </w:p>
        </w:tc>
      </w:tr>
    </w:tbl>
    <w:p w:rsidR="00BA1365" w:rsidRPr="00074911" w:rsidRDefault="00C050C4" w:rsidP="00DC1C75">
      <w:r w:rsidRPr="00074911">
        <w:t xml:space="preserve">Med </w:t>
      </w:r>
      <w:r w:rsidR="00D715C9" w:rsidRPr="00074911">
        <w:t xml:space="preserve">den moderata </w:t>
      </w:r>
      <w:r w:rsidRPr="00074911">
        <w:t>sänkning</w:t>
      </w:r>
      <w:r w:rsidR="00D715C9" w:rsidRPr="00074911">
        <w:t>en</w:t>
      </w:r>
      <w:r w:rsidRPr="00074911">
        <w:t xml:space="preserve"> av ersättningen </w:t>
      </w:r>
      <w:r w:rsidR="00D715C9" w:rsidRPr="00074911">
        <w:t xml:space="preserve">i förtidspensionen det andra året efter ett regeringsskifte </w:t>
      </w:r>
      <w:r w:rsidRPr="00074911">
        <w:t xml:space="preserve">med 4 procentenheter blir den totala ersättningen i stället </w:t>
      </w:r>
      <w:r w:rsidR="000A3344" w:rsidRPr="00074911">
        <w:t xml:space="preserve">19 946 kr före skatt. </w:t>
      </w:r>
      <w:r w:rsidR="00D715C9" w:rsidRPr="00074911">
        <w:t xml:space="preserve">Det andra steget i </w:t>
      </w:r>
      <w:r w:rsidR="000A3344" w:rsidRPr="00074911">
        <w:t xml:space="preserve">Allians för </w:t>
      </w:r>
      <w:r w:rsidR="00D715C9" w:rsidRPr="00074911">
        <w:t>Sveriges jobba</w:t>
      </w:r>
      <w:r w:rsidR="00D715C9" w:rsidRPr="00074911">
        <w:t>v</w:t>
      </w:r>
      <w:r w:rsidR="00D715C9" w:rsidRPr="00074911">
        <w:t xml:space="preserve">drag ger samma år en sänkning av skatten med närmare </w:t>
      </w:r>
      <w:r w:rsidR="003733E7" w:rsidRPr="00074911">
        <w:t>1</w:t>
      </w:r>
      <w:r w:rsidR="00DC1C75" w:rsidRPr="00074911">
        <w:t> </w:t>
      </w:r>
      <w:r w:rsidR="003733E7" w:rsidRPr="00074911">
        <w:t>000</w:t>
      </w:r>
      <w:r w:rsidR="00206046" w:rsidRPr="00074911">
        <w:t xml:space="preserve"> kr</w:t>
      </w:r>
      <w:r w:rsidR="00D715C9" w:rsidRPr="00074911">
        <w:t xml:space="preserve"> i mån</w:t>
      </w:r>
      <w:r w:rsidR="00D715C9" w:rsidRPr="00074911">
        <w:t>a</w:t>
      </w:r>
      <w:r w:rsidR="00D715C9" w:rsidRPr="00074911">
        <w:t>den för ett jobb med</w:t>
      </w:r>
      <w:r w:rsidR="00206046" w:rsidRPr="00074911">
        <w:t xml:space="preserve"> en månadslön runt 20 000 kr</w:t>
      </w:r>
      <w:r w:rsidR="00D715C9" w:rsidRPr="00074911">
        <w:t xml:space="preserve"> i månaden. Man kan </w:t>
      </w:r>
      <w:r w:rsidR="009E7ABB" w:rsidRPr="00074911">
        <w:t>dä</w:t>
      </w:r>
      <w:r w:rsidR="009E7ABB" w:rsidRPr="00074911">
        <w:t>r</w:t>
      </w:r>
      <w:r w:rsidR="009E7ABB" w:rsidRPr="00074911">
        <w:t xml:space="preserve">med </w:t>
      </w:r>
      <w:r w:rsidR="00D715C9" w:rsidRPr="00074911">
        <w:t xml:space="preserve">som förtidspensionär om man </w:t>
      </w:r>
      <w:r w:rsidR="005B6693" w:rsidRPr="00074911">
        <w:t>tar ett</w:t>
      </w:r>
      <w:r w:rsidR="00D715C9" w:rsidRPr="00074911">
        <w:t xml:space="preserve"> arbete med </w:t>
      </w:r>
      <w:r w:rsidR="005B6693" w:rsidRPr="00074911">
        <w:t xml:space="preserve">en månadslön på </w:t>
      </w:r>
      <w:r w:rsidR="00DC1C75" w:rsidRPr="00074911">
        <w:t>20 </w:t>
      </w:r>
      <w:r w:rsidR="00537F28" w:rsidRPr="00074911">
        <w:t>000</w:t>
      </w:r>
      <w:r w:rsidR="00206046" w:rsidRPr="00074911">
        <w:t xml:space="preserve"> kr</w:t>
      </w:r>
      <w:r w:rsidR="005B6693" w:rsidRPr="00074911">
        <w:t xml:space="preserve"> </w:t>
      </w:r>
      <w:r w:rsidR="00D715C9" w:rsidRPr="00074911">
        <w:t xml:space="preserve">få behålla </w:t>
      </w:r>
      <w:r w:rsidR="00537F28" w:rsidRPr="00074911">
        <w:t xml:space="preserve">närmare </w:t>
      </w:r>
      <w:r w:rsidR="00D715C9" w:rsidRPr="00074911">
        <w:t>1</w:t>
      </w:r>
      <w:r w:rsidR="00DC1C75" w:rsidRPr="00074911">
        <w:t> </w:t>
      </w:r>
      <w:r w:rsidR="00206046" w:rsidRPr="00074911">
        <w:t>000 kr</w:t>
      </w:r>
      <w:r w:rsidR="00D715C9" w:rsidRPr="00074911">
        <w:t xml:space="preserve"> mer i månaden efter skatt </w:t>
      </w:r>
      <w:r w:rsidR="005B6693" w:rsidRPr="00074911">
        <w:t xml:space="preserve">med vår politik. Med nuvarande system förlorar man i stället </w:t>
      </w:r>
      <w:r w:rsidR="00537F28" w:rsidRPr="00074911">
        <w:t xml:space="preserve">drygt 600 </w:t>
      </w:r>
      <w:r w:rsidR="00206046" w:rsidRPr="00074911">
        <w:t>kr</w:t>
      </w:r>
      <w:r w:rsidR="005B6693" w:rsidRPr="00074911">
        <w:t xml:space="preserve"> i mån</w:t>
      </w:r>
      <w:r w:rsidR="005B6693" w:rsidRPr="00074911">
        <w:t>a</w:t>
      </w:r>
      <w:r w:rsidR="005B6693" w:rsidRPr="00074911">
        <w:t>den på att ta ett arbete med en sådan lön</w:t>
      </w:r>
      <w:r w:rsidR="00BA1365" w:rsidRPr="0007491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1C75" w:rsidRPr="00074911">
        <w:tblPrEx>
          <w:tblCellMar>
            <w:top w:w="0" w:type="dxa"/>
            <w:bottom w:w="0" w:type="dxa"/>
          </w:tblCellMar>
        </w:tblPrEx>
        <w:trPr>
          <w:cantSplit/>
        </w:trPr>
        <w:tc>
          <w:tcPr>
            <w:tcW w:w="3046" w:type="dxa"/>
          </w:tcPr>
          <w:p w:rsidR="00DC1C75" w:rsidRPr="00074911" w:rsidRDefault="00DC1C75" w:rsidP="00DC1C75">
            <w:pPr>
              <w:pStyle w:val="UnderskriftDatum"/>
              <w:spacing w:before="0"/>
            </w:pPr>
            <w:r w:rsidRPr="00074911">
              <w:t>Stockholm den 9 november 2005</w:t>
            </w:r>
          </w:p>
        </w:tc>
        <w:tc>
          <w:tcPr>
            <w:tcW w:w="3047" w:type="dxa"/>
          </w:tcPr>
          <w:p w:rsidR="00DC1C75" w:rsidRPr="00074911" w:rsidRDefault="00DC1C75" w:rsidP="00DC1C75">
            <w:pPr>
              <w:pStyle w:val="Underskrifter"/>
            </w:pPr>
          </w:p>
        </w:tc>
      </w:tr>
      <w:tr w:rsidR="00DC1C75" w:rsidRPr="00074911">
        <w:tblPrEx>
          <w:tblCellMar>
            <w:top w:w="0" w:type="dxa"/>
            <w:bottom w:w="0" w:type="dxa"/>
          </w:tblCellMar>
        </w:tblPrEx>
        <w:trPr>
          <w:cantSplit/>
        </w:trPr>
        <w:tc>
          <w:tcPr>
            <w:tcW w:w="3046" w:type="dxa"/>
          </w:tcPr>
          <w:p w:rsidR="00DC1C75" w:rsidRPr="00074911" w:rsidRDefault="00DC1C75" w:rsidP="00DC1C75">
            <w:pPr>
              <w:pStyle w:val="Underskrifter"/>
            </w:pPr>
            <w:r w:rsidRPr="00074911">
              <w:t>Per Westerberg (m)</w:t>
            </w:r>
          </w:p>
        </w:tc>
        <w:tc>
          <w:tcPr>
            <w:tcW w:w="3047" w:type="dxa"/>
          </w:tcPr>
          <w:p w:rsidR="00DC1C75" w:rsidRPr="00074911" w:rsidRDefault="00DC1C75" w:rsidP="00DC1C75">
            <w:pPr>
              <w:pStyle w:val="Underskrifter"/>
            </w:pPr>
          </w:p>
        </w:tc>
      </w:tr>
      <w:tr w:rsidR="00DC1C75" w:rsidRPr="00074911">
        <w:tblPrEx>
          <w:tblCellMar>
            <w:top w:w="0" w:type="dxa"/>
            <w:bottom w:w="0" w:type="dxa"/>
          </w:tblCellMar>
        </w:tblPrEx>
        <w:trPr>
          <w:cantSplit/>
        </w:trPr>
        <w:tc>
          <w:tcPr>
            <w:tcW w:w="3046" w:type="dxa"/>
          </w:tcPr>
          <w:p w:rsidR="00DC1C75" w:rsidRPr="00074911" w:rsidRDefault="00DC1C75" w:rsidP="00DC1C75">
            <w:pPr>
              <w:pStyle w:val="Underskrifter"/>
            </w:pPr>
            <w:r w:rsidRPr="00074911">
              <w:t>Tobias Billström (m)</w:t>
            </w:r>
          </w:p>
        </w:tc>
        <w:tc>
          <w:tcPr>
            <w:tcW w:w="3047" w:type="dxa"/>
          </w:tcPr>
          <w:p w:rsidR="00DC1C75" w:rsidRPr="00074911" w:rsidRDefault="00DC1C75" w:rsidP="00DC1C75">
            <w:pPr>
              <w:pStyle w:val="Underskrifter"/>
            </w:pPr>
            <w:r w:rsidRPr="00074911">
              <w:t>Anna Lilliehöök (m)</w:t>
            </w:r>
          </w:p>
        </w:tc>
      </w:tr>
      <w:tr w:rsidR="00DC1C75" w:rsidRPr="00074911">
        <w:tblPrEx>
          <w:tblCellMar>
            <w:top w:w="0" w:type="dxa"/>
            <w:bottom w:w="0" w:type="dxa"/>
          </w:tblCellMar>
        </w:tblPrEx>
        <w:trPr>
          <w:cantSplit/>
        </w:trPr>
        <w:tc>
          <w:tcPr>
            <w:tcW w:w="3046" w:type="dxa"/>
          </w:tcPr>
          <w:p w:rsidR="00DC1C75" w:rsidRPr="00074911" w:rsidRDefault="00DC1C75" w:rsidP="00DC1C75">
            <w:pPr>
              <w:pStyle w:val="Underskrifter"/>
            </w:pPr>
            <w:r w:rsidRPr="00074911">
              <w:t>Anita Sidén (m)</w:t>
            </w:r>
          </w:p>
        </w:tc>
        <w:tc>
          <w:tcPr>
            <w:tcW w:w="3047" w:type="dxa"/>
          </w:tcPr>
          <w:p w:rsidR="00DC1C75" w:rsidRPr="00074911" w:rsidRDefault="00DC1C75" w:rsidP="00DC1C75">
            <w:pPr>
              <w:pStyle w:val="Underskrifter"/>
            </w:pPr>
            <w:r w:rsidRPr="00074911">
              <w:t>Anne-Marie Pålsson (m)</w:t>
            </w:r>
          </w:p>
        </w:tc>
      </w:tr>
      <w:tr w:rsidR="00DC1C75" w:rsidRPr="00074911">
        <w:tblPrEx>
          <w:tblCellMar>
            <w:top w:w="0" w:type="dxa"/>
            <w:bottom w:w="0" w:type="dxa"/>
          </w:tblCellMar>
        </w:tblPrEx>
        <w:trPr>
          <w:cantSplit/>
        </w:trPr>
        <w:tc>
          <w:tcPr>
            <w:tcW w:w="3046" w:type="dxa"/>
          </w:tcPr>
          <w:p w:rsidR="00DC1C75" w:rsidRPr="00074911" w:rsidRDefault="00DC1C75" w:rsidP="00DC1C75">
            <w:pPr>
              <w:pStyle w:val="Underskrifter"/>
            </w:pPr>
            <w:r w:rsidRPr="00074911">
              <w:t>Anne Marie Brodén (m)</w:t>
            </w:r>
          </w:p>
        </w:tc>
        <w:tc>
          <w:tcPr>
            <w:tcW w:w="3047" w:type="dxa"/>
          </w:tcPr>
          <w:p w:rsidR="00DC1C75" w:rsidRPr="00074911" w:rsidRDefault="00DC1C75" w:rsidP="00DC1C75">
            <w:pPr>
              <w:pStyle w:val="Underskrifter"/>
            </w:pPr>
            <w:r w:rsidRPr="00074911">
              <w:t>Karin Enström (m)</w:t>
            </w:r>
          </w:p>
        </w:tc>
      </w:tr>
    </w:tbl>
    <w:p w:rsidR="0043799E" w:rsidRPr="00074911" w:rsidRDefault="0043799E" w:rsidP="00DC1C75">
      <w:pPr>
        <w:pStyle w:val="Normaltindrag"/>
      </w:pPr>
    </w:p>
    <w:sectPr w:rsidR="0043799E" w:rsidRPr="00074911" w:rsidSect="00DC1C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FEA" w:rsidRPr="00074911" w:rsidRDefault="00B45FEA">
      <w:r w:rsidRPr="00074911">
        <w:separator/>
      </w:r>
    </w:p>
  </w:endnote>
  <w:endnote w:type="continuationSeparator" w:id="0">
    <w:p w:rsidR="00B45FEA" w:rsidRPr="00074911" w:rsidRDefault="00B45FEA">
      <w:r w:rsidRPr="00074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4DA" w:rsidRPr="00074911" w:rsidRDefault="00074911" w:rsidP="00DC1C75">
    <w:pPr>
      <w:pStyle w:val="Sidfot"/>
    </w:pPr>
    <w:r w:rsidRPr="00074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624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4DA" w:rsidRDefault="008704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4DA" w:rsidRDefault="008704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4DA" w:rsidRPr="00074911" w:rsidRDefault="00074911" w:rsidP="00DC1C75">
    <w:pPr>
      <w:pStyle w:val="Sidfot"/>
    </w:pPr>
    <w:r w:rsidRPr="00074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4546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4DA" w:rsidRDefault="008704D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4DA" w:rsidRDefault="008704D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4DA" w:rsidRPr="00074911" w:rsidRDefault="00074911" w:rsidP="00DC1C75">
    <w:pPr>
      <w:pStyle w:val="Sidfot"/>
    </w:pPr>
    <w:r w:rsidRPr="00074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407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4DA" w:rsidRDefault="008704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4DA" w:rsidRDefault="008704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FEA" w:rsidRPr="00074911" w:rsidRDefault="00B45FEA" w:rsidP="00DC1C75">
      <w:pPr>
        <w:pStyle w:val="Sidfot"/>
      </w:pPr>
    </w:p>
  </w:footnote>
  <w:footnote w:type="continuationSeparator" w:id="0">
    <w:p w:rsidR="00B45FEA" w:rsidRPr="00074911" w:rsidRDefault="00B45FEA" w:rsidP="00DC1C75">
      <w:pPr>
        <w:pStyle w:val="Sidfot"/>
      </w:pPr>
    </w:p>
  </w:footnote>
  <w:footnote w:type="continuationNotice" w:id="1">
    <w:p w:rsidR="00B45FEA" w:rsidRPr="00074911" w:rsidRDefault="00B45FEA"/>
  </w:footnote>
  <w:footnote w:id="2">
    <w:p w:rsidR="008704DA" w:rsidRPr="00074911" w:rsidRDefault="008704DA" w:rsidP="00206046">
      <w:pPr>
        <w:pStyle w:val="Fotnotstext"/>
        <w:spacing w:before="0" w:line="180" w:lineRule="exact"/>
        <w:rPr>
          <w:sz w:val="16"/>
          <w:szCs w:val="16"/>
        </w:rPr>
      </w:pPr>
      <w:r w:rsidRPr="00074911">
        <w:rPr>
          <w:rStyle w:val="Fotnotsreferens"/>
          <w:sz w:val="19"/>
          <w:szCs w:val="19"/>
        </w:rPr>
        <w:footnoteRef/>
      </w:r>
      <w:r w:rsidRPr="00074911">
        <w:rPr>
          <w:sz w:val="16"/>
          <w:szCs w:val="16"/>
        </w:rPr>
        <w:t xml:space="preserve"> Hetzler, A, Melén, D, och Bjerstedt, D, </w:t>
      </w:r>
      <w:r w:rsidRPr="00074911">
        <w:rPr>
          <w:i/>
          <w:sz w:val="16"/>
          <w:szCs w:val="16"/>
        </w:rPr>
        <w:t xml:space="preserve">Rehabiliteringens verklighet, </w:t>
      </w:r>
      <w:r w:rsidRPr="00074911">
        <w:rPr>
          <w:sz w:val="16"/>
          <w:szCs w:val="16"/>
        </w:rPr>
        <w:t>Sociologiska instit</w:t>
      </w:r>
      <w:r w:rsidRPr="00074911">
        <w:rPr>
          <w:sz w:val="16"/>
          <w:szCs w:val="16"/>
        </w:rPr>
        <w:t>u</w:t>
      </w:r>
      <w:r w:rsidRPr="00074911">
        <w:rPr>
          <w:sz w:val="16"/>
          <w:szCs w:val="16"/>
        </w:rPr>
        <w:t>tionen, Lunds universitet,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4DA" w:rsidRPr="00074911" w:rsidRDefault="00074911" w:rsidP="00DC1C75">
    <w:pPr>
      <w:pStyle w:val="Sidhuvud"/>
    </w:pPr>
    <w:r w:rsidRPr="00074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745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4DA" w:rsidRDefault="008704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4DA" w:rsidRDefault="008704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4DA" w:rsidRPr="00074911" w:rsidRDefault="00074911" w:rsidP="00DC1C75">
    <w:pPr>
      <w:pStyle w:val="Sidhuvud"/>
    </w:pPr>
    <w:r w:rsidRPr="00074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773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4DA" w:rsidRDefault="008704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4DA" w:rsidRDefault="008704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4DA" w:rsidRPr="00074911" w:rsidRDefault="008704DA">
    <w:pPr>
      <w:pStyle w:val="FSHNormal"/>
      <w:tabs>
        <w:tab w:val="right" w:pos="5840"/>
      </w:tabs>
    </w:pPr>
    <w:r w:rsidRPr="00074911">
      <w:br/>
    </w:r>
    <w:r w:rsidRPr="00074911">
      <w:fldChar w:fldCharType="begin" w:fldLock="1"/>
    </w:r>
    <w:r w:rsidRPr="00074911">
      <w:instrText xml:space="preserve"> DOCPROPERTY</w:instrText>
    </w:r>
    <w:r w:rsidRPr="00074911">
      <w:rPr>
        <w:sz w:val="18"/>
      </w:rPr>
      <w:instrText xml:space="preserve"> "YearUser" *\charformat </w:instrText>
    </w:r>
    <w:r w:rsidRPr="00074911">
      <w:fldChar w:fldCharType="separate"/>
    </w:r>
    <w:r w:rsidRPr="00074911">
      <w:t>2005/06</w:t>
    </w:r>
    <w:r w:rsidRPr="00074911">
      <w:fldChar w:fldCharType="end"/>
    </w:r>
    <w:r w:rsidRPr="00074911">
      <w:t xml:space="preserve"> </w:t>
    </w:r>
    <w:r w:rsidRPr="00074911">
      <w:tab/>
      <w:t xml:space="preserve">mnr: </w:t>
    </w:r>
    <w:r w:rsidRPr="00074911">
      <w:fldChar w:fldCharType="begin" w:fldLock="1"/>
    </w:r>
    <w:r w:rsidRPr="00074911">
      <w:instrText xml:space="preserve"> DOCPROPERTY</w:instrText>
    </w:r>
    <w:r w:rsidRPr="00074911">
      <w:rPr>
        <w:sz w:val="18"/>
      </w:rPr>
      <w:instrText xml:space="preserve"> "Motionsnummer" *\charformat </w:instrText>
    </w:r>
    <w:r w:rsidRPr="00074911">
      <w:fldChar w:fldCharType="separate"/>
    </w:r>
    <w:r w:rsidRPr="00074911">
      <w:t>Sf6</w:t>
    </w:r>
    <w:r w:rsidRPr="00074911">
      <w:fldChar w:fldCharType="end"/>
    </w:r>
    <w:r w:rsidRPr="00074911">
      <w:br/>
    </w:r>
    <w:r w:rsidRPr="00074911">
      <w:fldChar w:fldCharType="begin" w:fldLock="1"/>
    </w:r>
    <w:r w:rsidRPr="00074911">
      <w:instrText xml:space="preserve"> DOCPROPERTY</w:instrText>
    </w:r>
    <w:r w:rsidRPr="00074911">
      <w:rPr>
        <w:sz w:val="18"/>
      </w:rPr>
      <w:instrText xml:space="preserve"> "Samling" *\charformat </w:instrText>
    </w:r>
    <w:r w:rsidRPr="00074911">
      <w:fldChar w:fldCharType="end"/>
    </w:r>
    <w:r w:rsidRPr="00074911">
      <w:tab/>
      <w:t xml:space="preserve">pnr: </w:t>
    </w:r>
    <w:r w:rsidRPr="00074911">
      <w:fldChar w:fldCharType="begin" w:fldLock="1"/>
    </w:r>
    <w:r w:rsidRPr="00074911">
      <w:instrText xml:space="preserve"> DOCPROPERTY</w:instrText>
    </w:r>
    <w:r w:rsidRPr="00074911">
      <w:rPr>
        <w:sz w:val="18"/>
      </w:rPr>
      <w:instrText xml:space="preserve"> "Partinummer" *\charformat </w:instrText>
    </w:r>
    <w:r w:rsidRPr="00074911">
      <w:fldChar w:fldCharType="separate"/>
    </w:r>
    <w:r w:rsidRPr="00074911">
      <w:t>m188</w:t>
    </w:r>
    <w:r w:rsidRPr="00074911">
      <w:fldChar w:fldCharType="end"/>
    </w:r>
  </w:p>
  <w:p w:rsidR="008704DA" w:rsidRPr="00074911" w:rsidRDefault="008704DA">
    <w:pPr>
      <w:pStyle w:val="FSHRub1"/>
    </w:pPr>
    <w:r w:rsidRPr="00074911">
      <w:t>Motion till riksdagen</w:t>
    </w:r>
    <w:r w:rsidRPr="00074911">
      <w:br/>
    </w:r>
    <w:r w:rsidRPr="00074911">
      <w:fldChar w:fldCharType="begin" w:fldLock="1"/>
    </w:r>
    <w:r w:rsidRPr="00074911">
      <w:instrText xml:space="preserve"> DOCPROPERTY "YearUser" *\charformat </w:instrText>
    </w:r>
    <w:r w:rsidRPr="00074911">
      <w:fldChar w:fldCharType="separate"/>
    </w:r>
    <w:r w:rsidRPr="00074911">
      <w:t>2005/06</w:t>
    </w:r>
    <w:r w:rsidRPr="00074911">
      <w:fldChar w:fldCharType="end"/>
    </w:r>
    <w:r w:rsidRPr="00074911">
      <w:t>:</w:t>
    </w:r>
    <w:r w:rsidRPr="00074911">
      <w:fldChar w:fldCharType="begin" w:fldLock="1"/>
    </w:r>
    <w:r w:rsidRPr="00074911">
      <w:instrText xml:space="preserve"> DOCPROPERTY "Motionsnummer" *\charformat </w:instrText>
    </w:r>
    <w:r w:rsidRPr="00074911">
      <w:fldChar w:fldCharType="separate"/>
    </w:r>
    <w:r w:rsidRPr="00074911">
      <w:t>Sf6</w:t>
    </w:r>
    <w:r w:rsidRPr="00074911">
      <w:fldChar w:fldCharType="end"/>
    </w:r>
  </w:p>
  <w:p w:rsidR="008704DA" w:rsidRPr="00074911" w:rsidRDefault="008704DA">
    <w:pPr>
      <w:pStyle w:val="FSHNormalS5"/>
    </w:pPr>
    <w:r w:rsidRPr="00074911">
      <w:fldChar w:fldCharType="begin" w:fldLock="1"/>
    </w:r>
    <w:r w:rsidRPr="00074911">
      <w:instrText xml:space="preserve"> DOCPROPERTY "MotionarText" *\charformat </w:instrText>
    </w:r>
    <w:r w:rsidRPr="00074911">
      <w:fldChar w:fldCharType="separate"/>
    </w:r>
    <w:r w:rsidRPr="00074911">
      <w:t>av Per Westerberg m.fl. (m)</w:t>
    </w:r>
    <w:r w:rsidRPr="00074911">
      <w:fldChar w:fldCharType="end"/>
    </w:r>
    <w:r w:rsidRPr="00074911">
      <w:br/>
    </w:r>
    <w:r w:rsidRPr="00074911">
      <w:fldChar w:fldCharType="begin" w:fldLock="1"/>
    </w:r>
    <w:r w:rsidRPr="00074911">
      <w:instrText xml:space="preserve"> DOCPROPERTY "SvarFrasKort" *\charformat </w:instrText>
    </w:r>
    <w:r w:rsidRPr="00074911">
      <w:fldChar w:fldCharType="separate"/>
    </w:r>
    <w:r w:rsidRPr="00074911">
      <w:t>med anledning av framst. 2005/06:RRS8</w:t>
    </w:r>
    <w:r w:rsidRPr="00074911">
      <w:fldChar w:fldCharType="end"/>
    </w:r>
  </w:p>
  <w:p w:rsidR="008704DA" w:rsidRPr="00074911" w:rsidRDefault="008704DA">
    <w:pPr>
      <w:pStyle w:val="FSHTitel"/>
    </w:pPr>
    <w:r w:rsidRPr="00074911">
      <w:fldChar w:fldCharType="begin" w:fldLock="1"/>
    </w:r>
    <w:r w:rsidRPr="00074911">
      <w:instrText xml:space="preserve"> DOCPROPERTY</w:instrText>
    </w:r>
    <w:r w:rsidRPr="00074911">
      <w:rPr>
        <w:sz w:val="18"/>
      </w:rPr>
      <w:instrText xml:space="preserve"> "RubrikSvar" *\charformat </w:instrText>
    </w:r>
    <w:r w:rsidRPr="00074911">
      <w:fldChar w:fldCharType="separate"/>
    </w:r>
    <w:r w:rsidRPr="00074911">
      <w:t>Riksrevisionens styrelses framställning angående styrningen inom området sjuk- och aktivitetsersättning</w:t>
    </w:r>
    <w:r w:rsidRPr="00074911">
      <w:fldChar w:fldCharType="end"/>
    </w:r>
  </w:p>
  <w:p w:rsidR="008704DA" w:rsidRPr="00074911" w:rsidRDefault="008704DA" w:rsidP="00DC1C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400C02"/>
    <w:multiLevelType w:val="hybridMultilevel"/>
    <w:tmpl w:val="1FC2DF8E"/>
    <w:lvl w:ilvl="0" w:tplc="C902E2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B862D3D"/>
    <w:multiLevelType w:val="hybridMultilevel"/>
    <w:tmpl w:val="74CC1C1E"/>
    <w:lvl w:ilvl="0" w:tplc="CFC0945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0A0AB0"/>
    <w:multiLevelType w:val="multilevel"/>
    <w:tmpl w:val="6CFED2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4050335">
    <w:abstractNumId w:val="16"/>
  </w:num>
  <w:num w:numId="2" w16cid:durableId="1410419971">
    <w:abstractNumId w:val="10"/>
  </w:num>
  <w:num w:numId="3" w16cid:durableId="585849749">
    <w:abstractNumId w:val="13"/>
  </w:num>
  <w:num w:numId="4" w16cid:durableId="975524926">
    <w:abstractNumId w:val="15"/>
  </w:num>
  <w:num w:numId="5" w16cid:durableId="257761783">
    <w:abstractNumId w:val="8"/>
  </w:num>
  <w:num w:numId="6" w16cid:durableId="1002583840">
    <w:abstractNumId w:val="3"/>
  </w:num>
  <w:num w:numId="7" w16cid:durableId="323633741">
    <w:abstractNumId w:val="2"/>
  </w:num>
  <w:num w:numId="8" w16cid:durableId="1492258615">
    <w:abstractNumId w:val="1"/>
  </w:num>
  <w:num w:numId="9" w16cid:durableId="1532065634">
    <w:abstractNumId w:val="0"/>
  </w:num>
  <w:num w:numId="10" w16cid:durableId="759446496">
    <w:abstractNumId w:val="9"/>
  </w:num>
  <w:num w:numId="11" w16cid:durableId="1186678899">
    <w:abstractNumId w:val="7"/>
  </w:num>
  <w:num w:numId="12" w16cid:durableId="796532458">
    <w:abstractNumId w:val="6"/>
  </w:num>
  <w:num w:numId="13" w16cid:durableId="700711768">
    <w:abstractNumId w:val="5"/>
  </w:num>
  <w:num w:numId="14" w16cid:durableId="1675721721">
    <w:abstractNumId w:val="4"/>
  </w:num>
  <w:num w:numId="15" w16cid:durableId="1510557841">
    <w:abstractNumId w:val="12"/>
  </w:num>
  <w:num w:numId="16" w16cid:durableId="499737708">
    <w:abstractNumId w:val="14"/>
  </w:num>
  <w:num w:numId="17" w16cid:durableId="1147622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31"/>
  </w:docVars>
  <w:rsids>
    <w:rsidRoot w:val="00E4445C"/>
    <w:rsid w:val="0000471F"/>
    <w:rsid w:val="0004381F"/>
    <w:rsid w:val="00064BC3"/>
    <w:rsid w:val="00066775"/>
    <w:rsid w:val="00072FB9"/>
    <w:rsid w:val="00074911"/>
    <w:rsid w:val="000A3344"/>
    <w:rsid w:val="00100531"/>
    <w:rsid w:val="001606C5"/>
    <w:rsid w:val="0017026D"/>
    <w:rsid w:val="00195F0C"/>
    <w:rsid w:val="001B13CA"/>
    <w:rsid w:val="001B4511"/>
    <w:rsid w:val="001E0043"/>
    <w:rsid w:val="00201DFB"/>
    <w:rsid w:val="00204A63"/>
    <w:rsid w:val="00206046"/>
    <w:rsid w:val="00212FF1"/>
    <w:rsid w:val="00213F6C"/>
    <w:rsid w:val="00230193"/>
    <w:rsid w:val="0025068A"/>
    <w:rsid w:val="002668DA"/>
    <w:rsid w:val="002818D3"/>
    <w:rsid w:val="002943C8"/>
    <w:rsid w:val="002A569D"/>
    <w:rsid w:val="002D11A8"/>
    <w:rsid w:val="002D6DAB"/>
    <w:rsid w:val="00362810"/>
    <w:rsid w:val="003733E7"/>
    <w:rsid w:val="003A061D"/>
    <w:rsid w:val="003C2EC2"/>
    <w:rsid w:val="003E231F"/>
    <w:rsid w:val="0043799E"/>
    <w:rsid w:val="00445271"/>
    <w:rsid w:val="00447A04"/>
    <w:rsid w:val="00467258"/>
    <w:rsid w:val="004743A9"/>
    <w:rsid w:val="004A0504"/>
    <w:rsid w:val="004E38D9"/>
    <w:rsid w:val="005117CD"/>
    <w:rsid w:val="00537F28"/>
    <w:rsid w:val="00542E57"/>
    <w:rsid w:val="005821E5"/>
    <w:rsid w:val="005B145B"/>
    <w:rsid w:val="005B6693"/>
    <w:rsid w:val="0061154A"/>
    <w:rsid w:val="00631ED7"/>
    <w:rsid w:val="006A34EF"/>
    <w:rsid w:val="006B5DB1"/>
    <w:rsid w:val="006C1AA3"/>
    <w:rsid w:val="006C1EAF"/>
    <w:rsid w:val="00740D6D"/>
    <w:rsid w:val="00743F76"/>
    <w:rsid w:val="00794149"/>
    <w:rsid w:val="007B67A7"/>
    <w:rsid w:val="007C6092"/>
    <w:rsid w:val="00804323"/>
    <w:rsid w:val="00853E7A"/>
    <w:rsid w:val="00867BF0"/>
    <w:rsid w:val="008704DA"/>
    <w:rsid w:val="00875332"/>
    <w:rsid w:val="008C111C"/>
    <w:rsid w:val="00992ABB"/>
    <w:rsid w:val="009A7991"/>
    <w:rsid w:val="009E7ABB"/>
    <w:rsid w:val="00A053C6"/>
    <w:rsid w:val="00A539C2"/>
    <w:rsid w:val="00A72A74"/>
    <w:rsid w:val="00B13BF0"/>
    <w:rsid w:val="00B33C81"/>
    <w:rsid w:val="00B45FEA"/>
    <w:rsid w:val="00B842D6"/>
    <w:rsid w:val="00BA1365"/>
    <w:rsid w:val="00BC0A69"/>
    <w:rsid w:val="00BD08FA"/>
    <w:rsid w:val="00BD7043"/>
    <w:rsid w:val="00BE5BDA"/>
    <w:rsid w:val="00C01DD7"/>
    <w:rsid w:val="00C050C4"/>
    <w:rsid w:val="00C1285C"/>
    <w:rsid w:val="00C27B7D"/>
    <w:rsid w:val="00C506C4"/>
    <w:rsid w:val="00C53838"/>
    <w:rsid w:val="00C7589E"/>
    <w:rsid w:val="00CC23B4"/>
    <w:rsid w:val="00CD3689"/>
    <w:rsid w:val="00CF0F62"/>
    <w:rsid w:val="00CF7A43"/>
    <w:rsid w:val="00D01775"/>
    <w:rsid w:val="00D1174F"/>
    <w:rsid w:val="00D715C9"/>
    <w:rsid w:val="00D97AC7"/>
    <w:rsid w:val="00DC1C75"/>
    <w:rsid w:val="00DC47FB"/>
    <w:rsid w:val="00DC6C70"/>
    <w:rsid w:val="00DD61FD"/>
    <w:rsid w:val="00DF79B1"/>
    <w:rsid w:val="00E22893"/>
    <w:rsid w:val="00E349C2"/>
    <w:rsid w:val="00E360DE"/>
    <w:rsid w:val="00E4445C"/>
    <w:rsid w:val="00E75D28"/>
    <w:rsid w:val="00E84F25"/>
    <w:rsid w:val="00F21B30"/>
    <w:rsid w:val="00F361DA"/>
    <w:rsid w:val="00F70FC1"/>
    <w:rsid w:val="00F807A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1ABD70-BFDA-43DF-B75C-DBA9608A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7533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75332"/>
    <w:pPr>
      <w:spacing w:before="500" w:line="250" w:lineRule="exact"/>
      <w:outlineLvl w:val="1"/>
    </w:pPr>
    <w:rPr>
      <w:sz w:val="27"/>
    </w:rPr>
  </w:style>
  <w:style w:type="paragraph" w:styleId="Rubrik3">
    <w:name w:val="heading 3"/>
    <w:aliases w:val="Mellanrubrik"/>
    <w:basedOn w:val="Rubrik2"/>
    <w:next w:val="Normal"/>
    <w:qFormat/>
    <w:rsid w:val="00875332"/>
    <w:pPr>
      <w:spacing w:before="250" w:after="0"/>
      <w:outlineLvl w:val="2"/>
    </w:pPr>
    <w:rPr>
      <w:b/>
      <w:sz w:val="21"/>
    </w:rPr>
  </w:style>
  <w:style w:type="paragraph" w:styleId="Rubrik4">
    <w:name w:val="heading 4"/>
    <w:aliases w:val="KursivRubrik"/>
    <w:basedOn w:val="Rubrik3"/>
    <w:next w:val="Normal"/>
    <w:qFormat/>
    <w:rsid w:val="00875332"/>
    <w:pPr>
      <w:outlineLvl w:val="3"/>
    </w:pPr>
    <w:rPr>
      <w:b w:val="0"/>
      <w:i/>
    </w:rPr>
  </w:style>
  <w:style w:type="paragraph" w:styleId="Rubrik5">
    <w:name w:val="heading 5"/>
    <w:aliases w:val="PackadFetRubrik,PackadKursivRubrik"/>
    <w:basedOn w:val="Rubrik4"/>
    <w:next w:val="Normal"/>
    <w:qFormat/>
    <w:rsid w:val="00875332"/>
    <w:pPr>
      <w:tabs>
        <w:tab w:val="clear" w:pos="1021"/>
      </w:tabs>
      <w:spacing w:before="125"/>
      <w:outlineLvl w:val="4"/>
    </w:pPr>
    <w:rPr>
      <w:i w:val="0"/>
      <w:sz w:val="19"/>
    </w:rPr>
  </w:style>
  <w:style w:type="paragraph" w:styleId="Rubrik6">
    <w:name w:val="heading 6"/>
    <w:basedOn w:val="Rubrik5"/>
    <w:next w:val="Normal"/>
    <w:qFormat/>
    <w:rsid w:val="00875332"/>
    <w:pPr>
      <w:spacing w:before="50" w:line="200" w:lineRule="exact"/>
      <w:outlineLvl w:val="5"/>
    </w:pPr>
    <w:rPr>
      <w:caps/>
      <w:sz w:val="14"/>
    </w:rPr>
  </w:style>
  <w:style w:type="paragraph" w:styleId="Rubrik7">
    <w:name w:val="heading 7"/>
    <w:basedOn w:val="Rubrik6"/>
    <w:next w:val="Normal"/>
    <w:qFormat/>
    <w:rsid w:val="00875332"/>
    <w:pPr>
      <w:spacing w:before="0"/>
      <w:outlineLvl w:val="6"/>
    </w:pPr>
  </w:style>
  <w:style w:type="paragraph" w:styleId="Rubrik8">
    <w:name w:val="heading 8"/>
    <w:basedOn w:val="Rubrik7"/>
    <w:next w:val="Normal"/>
    <w:qFormat/>
    <w:rsid w:val="00875332"/>
    <w:pPr>
      <w:outlineLvl w:val="7"/>
    </w:pPr>
  </w:style>
  <w:style w:type="paragraph" w:styleId="Rubrik9">
    <w:name w:val="heading 9"/>
    <w:basedOn w:val="Rubrik8"/>
    <w:next w:val="Normal"/>
    <w:qFormat/>
    <w:rsid w:val="00875332"/>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Fotnotstext">
    <w:name w:val="footnote text"/>
    <w:basedOn w:val="Normal"/>
    <w:semiHidden/>
    <w:rsid w:val="00A539C2"/>
    <w:rPr>
      <w:sz w:val="20"/>
    </w:rPr>
  </w:style>
  <w:style w:type="character" w:styleId="Fotnotsreferens">
    <w:name w:val="footnote reference"/>
    <w:basedOn w:val="Standardstycketeckensnitt"/>
    <w:semiHidden/>
    <w:rsid w:val="00A539C2"/>
    <w:rPr>
      <w:vertAlign w:val="superscript"/>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1C75"/>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695">
      <w:bodyDiv w:val="1"/>
      <w:marLeft w:val="0"/>
      <w:marRight w:val="0"/>
      <w:marTop w:val="0"/>
      <w:marBottom w:val="0"/>
      <w:divBdr>
        <w:top w:val="none" w:sz="0" w:space="0" w:color="auto"/>
        <w:left w:val="none" w:sz="0" w:space="0" w:color="auto"/>
        <w:bottom w:val="none" w:sz="0" w:space="0" w:color="auto"/>
        <w:right w:val="none" w:sz="0" w:space="0" w:color="auto"/>
      </w:divBdr>
    </w:div>
    <w:div w:id="976228475">
      <w:bodyDiv w:val="1"/>
      <w:marLeft w:val="0"/>
      <w:marRight w:val="0"/>
      <w:marTop w:val="0"/>
      <w:marBottom w:val="0"/>
      <w:divBdr>
        <w:top w:val="none" w:sz="0" w:space="0" w:color="auto"/>
        <w:left w:val="none" w:sz="0" w:space="0" w:color="auto"/>
        <w:bottom w:val="none" w:sz="0" w:space="0" w:color="auto"/>
        <w:right w:val="none" w:sz="0" w:space="0" w:color="auto"/>
      </w:divBdr>
    </w:div>
    <w:div w:id="17492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1415</Words>
  <Characters>8395</Characters>
  <Application>Microsoft Office Word</Application>
  <DocSecurity>4</DocSecurity>
  <Lines>182</Lines>
  <Paragraphs>71</Paragraphs>
  <ScaleCrop>false</ScaleCrop>
  <HeadingPairs>
    <vt:vector size="2" baseType="variant">
      <vt:variant>
        <vt:lpstr>Rubrik</vt:lpstr>
      </vt:variant>
      <vt:variant>
        <vt:i4>1</vt:i4>
      </vt:variant>
    </vt:vector>
  </HeadingPairs>
  <TitlesOfParts>
    <vt:vector size="1" baseType="lpstr">
      <vt:lpstr>Sf6</vt:lpstr>
    </vt:vector>
  </TitlesOfParts>
  <Company>Riksdagen</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dc:title>
  <dc:subject>Sf6</dc:subject>
  <dc:creator>Riksdagen</dc:creator>
  <cp:keywords>Riksdagen</cp:keywords>
  <dc:description/>
  <cp:lastModifiedBy>Lars Brink</cp:lastModifiedBy>
  <cp:revision>2</cp:revision>
  <cp:lastPrinted>2006-05-31T13:00:00Z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mot2000_440_2006-05-31</vt:lpwstr>
  </property>
  <property fmtid="{D5CDD505-2E9C-101B-9397-08002B2CF9AE}" pid="3" name="version">
    <vt:lpwstr>mot2000_423_2005-10-27</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2005/06:RRS8 Riksrevisionens styrelses framställning angående styrningen inom området sjuk- och aktivitetsersättning</vt:lpwstr>
  </property>
  <property fmtid="{D5CDD505-2E9C-101B-9397-08002B2CF9AE}" pid="11" name="SvarFrasKort">
    <vt:lpwstr>med anledning av framst. 2005/06:RRS8</vt:lpwstr>
  </property>
  <property fmtid="{D5CDD505-2E9C-101B-9397-08002B2CF9AE}" pid="12" name="Svar">
    <vt:lpwstr>framstallning</vt:lpwstr>
  </property>
  <property fmtid="{D5CDD505-2E9C-101B-9397-08002B2CF9AE}" pid="13" name="SvarNr">
    <vt:lpwstr>2005/06:RRS8</vt:lpwstr>
  </property>
  <property fmtid="{D5CDD505-2E9C-101B-9397-08002B2CF9AE}" pid="14" name="RubrikSvar">
    <vt:lpwstr>Riksrevisionens styrelses framställning angående styrningen inom området sjuk- och aktivitetsersättning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2005</vt:lpwstr>
  </property>
  <property fmtid="{D5CDD505-2E9C-101B-9397-08002B2CF9AE}" pid="44" name="NotesUID">
    <vt:lpwstr>gunilla.mattsson@riksdagen.se</vt:lpwstr>
  </property>
  <property fmtid="{D5CDD505-2E9C-101B-9397-08002B2CF9AE}" pid="45" name="ReservUID">
    <vt:lpwstr/>
  </property>
  <property fmtid="{D5CDD505-2E9C-101B-9397-08002B2CF9AE}" pid="46" name="MotionID">
    <vt:lpwstr>20052006000000000109000001880075</vt:lpwstr>
  </property>
  <property fmtid="{D5CDD505-2E9C-101B-9397-08002B2CF9AE}" pid="47" name="datum">
    <vt:lpwstr>051109</vt:lpwstr>
  </property>
  <property fmtid="{D5CDD505-2E9C-101B-9397-08002B2CF9AE}" pid="48" name="avsändar-e-post">
    <vt:lpwstr>gunilla.mattsson@riksdagen.se</vt:lpwstr>
  </property>
  <property fmtid="{D5CDD505-2E9C-101B-9397-08002B2CF9AE}" pid="49" name="id">
    <vt:lpwstr>20052006000000000109000001880075</vt:lpwstr>
  </property>
  <property fmtid="{D5CDD505-2E9C-101B-9397-08002B2CF9AE}" pid="50" name="nummer">
    <vt:lpwstr>6</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y fmtid="{D5CDD505-2E9C-101B-9397-08002B2CF9AE}" pid="54" name="Checksum">
    <vt:lpwstr>1008391906917</vt:lpwstr>
  </property>
</Properties>
</file>