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585B" w:rsidRPr="00EB75B0" w:rsidRDefault="0040585B">
      <w:pPr>
        <w:pStyle w:val="Frslagsrubrik"/>
      </w:pPr>
      <w:r w:rsidRPr="00EB75B0">
        <w:t>Förslag till riksdagsbeslut</w:t>
      </w:r>
    </w:p>
    <w:p w:rsidR="0040585B" w:rsidRPr="00EB75B0" w:rsidRDefault="0040585B">
      <w:pPr>
        <w:pStyle w:val="Hemstlatt"/>
        <w:numPr>
          <w:ilvl w:val="0"/>
          <w:numId w:val="1"/>
        </w:numPr>
      </w:pPr>
      <w:r w:rsidRPr="00EB75B0">
        <w:rPr>
          <w:szCs w:val="24"/>
        </w:rPr>
        <w:t xml:space="preserve">Riksdagen tillkännager för regeringen som sin mening vad som anförs i motionen </w:t>
      </w:r>
      <w:r w:rsidRPr="00EB75B0">
        <w:t>om att regeringen bör göra en a</w:t>
      </w:r>
      <w:r w:rsidRPr="00EB75B0">
        <w:t>v</w:t>
      </w:r>
      <w:r w:rsidRPr="00EB75B0">
        <w:t>siktsförklaring för utbyggnad av höghastighetsbanor som kan avlasta den befintliga järnvägen med byggstart 2015 av en första etapp av Ostlänken mellan Norrköping och Linköping.</w:t>
      </w:r>
    </w:p>
    <w:p w:rsidR="0040585B" w:rsidRPr="00EB75B0" w:rsidRDefault="0040585B">
      <w:pPr>
        <w:pStyle w:val="Hemstlatt"/>
        <w:numPr>
          <w:ilvl w:val="0"/>
          <w:numId w:val="1"/>
        </w:numPr>
      </w:pPr>
      <w:r w:rsidRPr="00EB75B0">
        <w:t>Riksdagen tillkännager för regeringen som sin mening vad som anförs i motionen om att rusta upp länsbanorna Linköping–Västervik samt Linköping–Kalmar.</w:t>
      </w:r>
    </w:p>
    <w:p w:rsidR="0040585B" w:rsidRPr="00EB75B0" w:rsidRDefault="0040585B">
      <w:pPr>
        <w:pStyle w:val="Rubrik1"/>
      </w:pPr>
      <w:r w:rsidRPr="00EB75B0">
        <w:t>Bakgrund</w:t>
      </w:r>
    </w:p>
    <w:p w:rsidR="0040585B" w:rsidRPr="00EB75B0" w:rsidRDefault="0040585B">
      <w:r w:rsidRPr="00EB75B0">
        <w:t>Allt fler vill åka tåg, inte minst inom och genom Östergötland. Bara pendelt</w:t>
      </w:r>
      <w:r w:rsidRPr="00EB75B0">
        <w:t>å</w:t>
      </w:r>
      <w:r w:rsidRPr="00EB75B0">
        <w:t>get i Östergötland har cirka 3 miljoner passagerare per år, vilket är betydligt fler än de som färdas mellan Stockholm och Malmö/Köpenhamn oavsett transportslag. Persontrafiken och trängseln på Södra stambanan ökar och avsnittet genom Östergötland utnyttjas redan maximalt.</w:t>
      </w:r>
    </w:p>
    <w:p w:rsidR="0040585B" w:rsidRPr="00EB75B0" w:rsidRDefault="0040585B">
      <w:pPr>
        <w:pStyle w:val="Normaltindrag"/>
      </w:pPr>
      <w:r w:rsidRPr="00EB75B0">
        <w:t>Punktligheten för fjärr- och regionaltåg är sämst i landet på Södra stamb</w:t>
      </w:r>
      <w:r w:rsidRPr="00EB75B0">
        <w:t>a</w:t>
      </w:r>
      <w:r w:rsidRPr="00EB75B0">
        <w:t xml:space="preserve">nan, enligt SJ. Allra värst är det mellan Linköping och Stockholm. Under exempelvis september–december 2010 var cirka 1 000 tåg mer än 15 minuter försenade eller inställda på den sträckan. Störningsnivån på Södra stambanan är hög eller mycket hög under hela året. I juli och augusti var punktligheten något sämre än under tre av de fyra omtalade snömånaderna. </w:t>
      </w:r>
      <w:r w:rsidRPr="00EB75B0">
        <w:rPr>
          <w:color w:val="000000"/>
          <w:szCs w:val="24"/>
        </w:rPr>
        <w:t xml:space="preserve">Att många tåg är </w:t>
      </w:r>
      <w:r w:rsidRPr="00EB75B0">
        <w:rPr>
          <w:color w:val="000000"/>
          <w:szCs w:val="24"/>
        </w:rPr>
        <w:lastRenderedPageBreak/>
        <w:t>försenade är alltså inte ett vinterproblem. En starkt bidragande orsak är att tågen går så tätt att varje fel får stora ”dominoeffekte</w:t>
      </w:r>
      <w:r w:rsidRPr="00EB75B0">
        <w:rPr>
          <w:color w:val="000000"/>
          <w:szCs w:val="24"/>
        </w:rPr>
        <w:t>r”.</w:t>
      </w:r>
      <w:r w:rsidRPr="00EB75B0">
        <w:t xml:space="preserve"> Varje fel fortplantar sig i tidtabellen, och det tar lång tid att återställa trafiken.</w:t>
      </w:r>
    </w:p>
    <w:p w:rsidR="0040585B" w:rsidRPr="00EB75B0" w:rsidRDefault="0040585B">
      <w:pPr>
        <w:pStyle w:val="Normaltindrag"/>
      </w:pPr>
      <w:r w:rsidRPr="00EB75B0">
        <w:t>Pendeltåget är ryggraden i östgötaregionens kollektivtrafik, och dess bet</w:t>
      </w:r>
      <w:r w:rsidRPr="00EB75B0">
        <w:t>y</w:t>
      </w:r>
      <w:r w:rsidRPr="00EB75B0">
        <w:t>delse växer. Pendeltågstrafiken behöver utökas med både tätare trafik och nya sträckningar, till exempel till Nyköping och Katrineholm. Nu hotas den istä</w:t>
      </w:r>
      <w:r w:rsidRPr="00EB75B0">
        <w:t>l</w:t>
      </w:r>
      <w:r w:rsidRPr="00EB75B0">
        <w:t>let av utträngning och marginalisering när trängseln ökar på otillräckligt u</w:t>
      </w:r>
      <w:r w:rsidRPr="00EB75B0">
        <w:t>n</w:t>
      </w:r>
      <w:r w:rsidRPr="00EB75B0">
        <w:t>derhållna, redan överfulla spår. Därtill värderas den ner systematiskt, vid Trafikverkets tilldelning av tåglägen, till fördel för fjärrtrafiken. Försämringar för pendeltågen ger allvarliga negativa effekter i hela kollektivtrafiksystemen och motverkar de nationella målen om regi</w:t>
      </w:r>
      <w:r w:rsidRPr="00EB75B0">
        <w:t>onal utveckling.</w:t>
      </w:r>
    </w:p>
    <w:p w:rsidR="0040585B" w:rsidRPr="00EB75B0" w:rsidRDefault="0040585B">
      <w:pPr>
        <w:pStyle w:val="Normaltindrag"/>
      </w:pPr>
      <w:r w:rsidRPr="00EB75B0">
        <w:t>Inte bara persontransporterna utan även godstransporterna på järnväg har ökat kraftigt. Kapacitetsbristen i järnvägssystemet slår hårt även mot godstr</w:t>
      </w:r>
      <w:r w:rsidRPr="00EB75B0">
        <w:t>a</w:t>
      </w:r>
      <w:r w:rsidRPr="00EB75B0">
        <w:t>fiken i ett läge där det inte minst av klimatskäl är viktigt att mer godstranspo</w:t>
      </w:r>
      <w:r w:rsidRPr="00EB75B0">
        <w:t>r</w:t>
      </w:r>
      <w:r w:rsidRPr="00EB75B0">
        <w:t>ter flyttas över från lastbil till tåg.</w:t>
      </w:r>
    </w:p>
    <w:p w:rsidR="0040585B" w:rsidRPr="00EB75B0" w:rsidRDefault="0040585B">
      <w:pPr>
        <w:pStyle w:val="Normaltindrag"/>
      </w:pPr>
      <w:r w:rsidRPr="00EB75B0">
        <w:t>I september 2010 förklarade Trafikverket Södra stambanan genom Öste</w:t>
      </w:r>
      <w:r w:rsidRPr="00EB75B0">
        <w:t>r</w:t>
      </w:r>
      <w:r w:rsidRPr="00EB75B0">
        <w:t>götland överbelastad. Det är därför allvarligt att regeringen i sin budget inte satsar på åtgärder som kan lösa problemen på denna sträcka, liksom att Tr</w:t>
      </w:r>
      <w:r w:rsidRPr="00EB75B0">
        <w:t>a</w:t>
      </w:r>
      <w:r w:rsidRPr="00EB75B0">
        <w:t xml:space="preserve">fikverket i sitt delbetänkande i den så kallade Kapacitetsutredningen, som presenterades i juli, inte prioriterar satsningar på Södra stambanan utanför storstadsområdena. </w:t>
      </w:r>
    </w:p>
    <w:p w:rsidR="0040585B" w:rsidRPr="00EB75B0" w:rsidRDefault="0040585B">
      <w:pPr>
        <w:pStyle w:val="Normaltindrag"/>
      </w:pPr>
      <w:r w:rsidRPr="00EB75B0">
        <w:t>Även länsbanorna Linköping–Kalmar och Linköping–Västervik är viktiga för regionen. Underhållet av dem är eftersatt. Om de rustas upp, kan både persontrafik och godstrafik ökas, till nyt</w:t>
      </w:r>
      <w:r w:rsidRPr="00EB75B0">
        <w:t>ta för såväl näringsliv som arbet</w:t>
      </w:r>
      <w:r w:rsidRPr="00EB75B0">
        <w:t>s</w:t>
      </w:r>
      <w:r w:rsidRPr="00EB75B0">
        <w:t>pendlare och andra resenärer.</w:t>
      </w:r>
    </w:p>
    <w:p w:rsidR="0040585B" w:rsidRPr="00EB75B0" w:rsidRDefault="0040585B">
      <w:pPr>
        <w:pStyle w:val="Rubrik1"/>
      </w:pPr>
      <w:r w:rsidRPr="00EB75B0">
        <w:t>Börja bygga Ostlänken mellan Norrköping och Linköping</w:t>
      </w:r>
    </w:p>
    <w:p w:rsidR="0040585B" w:rsidRPr="00EB75B0" w:rsidRDefault="0040585B">
      <w:r w:rsidRPr="00EB75B0">
        <w:t>Fler spår krävs för att lösa trängseln på Södra stambanan. En utbyggnad av höghastighetsbanor skulle göra det möjligt att separera tåg med olika hasti</w:t>
      </w:r>
      <w:r w:rsidRPr="00EB75B0">
        <w:t>g</w:t>
      </w:r>
      <w:r w:rsidRPr="00EB75B0">
        <w:t>heter. Det skulle ge mer utrymme för såväl fjärr-, gods- som pendeltågstrafik och göra det svenska järnvägsnätet mindre sårbart för störningar.</w:t>
      </w:r>
    </w:p>
    <w:p w:rsidR="0040585B" w:rsidRPr="00EB75B0" w:rsidRDefault="0040585B">
      <w:pPr>
        <w:pStyle w:val="Normaltindrag"/>
      </w:pPr>
      <w:r w:rsidRPr="00EB75B0">
        <w:t>Miljöpartiet anser därför att Ostlänken bör börja byggas snarast möjligt, 2015. Att börja med sträckan Norrköping–Linköping skulle ge en kraftfull kapacitetshöjning på ett av de avsnitt där den bäst behövs.</w:t>
      </w:r>
    </w:p>
    <w:p w:rsidR="0040585B" w:rsidRPr="00EB75B0" w:rsidRDefault="0040585B">
      <w:pPr>
        <w:pStyle w:val="Normaltindrag"/>
      </w:pPr>
      <w:r w:rsidRPr="00EB75B0">
        <w:t>Det finns redan en fastställd järnvägsutredning för sträckan Norrköping–Linköping. Utifrån den kan man gå vidare med tillåtlighetsprövning och jär</w:t>
      </w:r>
      <w:r w:rsidRPr="00EB75B0">
        <w:t>n</w:t>
      </w:r>
      <w:r w:rsidRPr="00EB75B0">
        <w:t>vägsplan. Det är möjligt att genomföra bygget i etapper.</w:t>
      </w:r>
    </w:p>
    <w:p w:rsidR="0040585B" w:rsidRPr="00EB75B0" w:rsidRDefault="0040585B">
      <w:pPr>
        <w:pStyle w:val="Normaltindrag"/>
      </w:pPr>
      <w:r w:rsidRPr="00EB75B0">
        <w:t>Det lokala engagemanget är stort. Regionförbundet Östsam, Linköpings kommun och Norrköpings kommun förklarar, nu senast i ett yttrande över Kapacitetsutredningens delbetänkande, att de är beredda att ”omedelbart tillföra resurser för att Trafikverket ska kunna starta planeringsarbetet och diskutera eventuella fördelar med etappvis utbyggnad”.</w:t>
      </w:r>
    </w:p>
    <w:p w:rsidR="0040585B" w:rsidRPr="00EB75B0" w:rsidRDefault="0040585B">
      <w:pPr>
        <w:pStyle w:val="Normaltindrag"/>
      </w:pPr>
      <w:r w:rsidRPr="00EB75B0">
        <w:t xml:space="preserve">Därtill bör kapacitetshöjande åtgärder som kan sättas in på kortare sikt också undersökas och genomföras, om de bedöms vara verkningsfulla. </w:t>
      </w:r>
    </w:p>
    <w:p w:rsidR="0040585B" w:rsidRPr="00EB75B0" w:rsidRDefault="0040585B">
      <w:pPr>
        <w:pStyle w:val="Normaltindrag"/>
      </w:pPr>
      <w:r w:rsidRPr="00EB75B0">
        <w:t>Mot bakgrund av detta anser jag att regeringen bör göra en avsiktsförkla</w:t>
      </w:r>
      <w:r w:rsidRPr="00EB75B0">
        <w:t>r</w:t>
      </w:r>
      <w:r w:rsidRPr="00EB75B0">
        <w:t>ing för utbyggnad av höghastighetsbanor som kan avlasta den befintliga jär</w:t>
      </w:r>
      <w:r w:rsidRPr="00EB75B0">
        <w:t>n</w:t>
      </w:r>
      <w:r w:rsidRPr="00EB75B0">
        <w:t>vägen, och som ett första steg enligt fastställd järnvägsplan snarast bygga ut Ostlänken mellan Norrköping och Linköping. Detta bör riksdagen ge rege</w:t>
      </w:r>
      <w:r w:rsidRPr="00EB75B0">
        <w:t>r</w:t>
      </w:r>
      <w:r w:rsidRPr="00EB75B0">
        <w:t>ingen tillkänna som sin mening.</w:t>
      </w:r>
    </w:p>
    <w:p w:rsidR="0040585B" w:rsidRPr="00EB75B0" w:rsidRDefault="0040585B">
      <w:pPr>
        <w:pStyle w:val="Rubrik1"/>
      </w:pPr>
      <w:r w:rsidRPr="00EB75B0">
        <w:t>Länstågstrafiken mellan Linköping och Västervik samt Linköping och Kalmar</w:t>
      </w:r>
    </w:p>
    <w:p w:rsidR="0040585B" w:rsidRPr="00EB75B0" w:rsidRDefault="0040585B">
      <w:r w:rsidRPr="00EB75B0">
        <w:t>Linköping är en universitetsstad och har ett universitetssjukhus samt högte</w:t>
      </w:r>
      <w:r w:rsidRPr="00EB75B0">
        <w:t>k</w:t>
      </w:r>
      <w:r w:rsidRPr="00EB75B0">
        <w:rPr>
          <w:spacing w:val="4"/>
        </w:rPr>
        <w:t>nologiskt näringsliv. Allt detta medför stor inpendling till kommunen. I Ka</w:t>
      </w:r>
      <w:r w:rsidRPr="00EB75B0">
        <w:rPr>
          <w:spacing w:val="4"/>
        </w:rPr>
        <w:t>l</w:t>
      </w:r>
      <w:r w:rsidRPr="00EB75B0">
        <w:rPr>
          <w:spacing w:val="4"/>
        </w:rPr>
        <w:t xml:space="preserve">mar </w:t>
      </w:r>
      <w:r w:rsidRPr="00EB75B0">
        <w:t>län finns många orter med högklassiga boendemiljöer nära havet och relativt lågexploaterad natur. För att binda samman dessa olika regioner bör befintlig järnväg mellan Linköping och Västervik (Tjustbanan) samt Link</w:t>
      </w:r>
      <w:r w:rsidRPr="00EB75B0">
        <w:t>ö</w:t>
      </w:r>
      <w:r w:rsidRPr="00EB75B0">
        <w:t>ping och Kalmar (Stångådalsbanan) rustas upp för högre hastigheter. I regi</w:t>
      </w:r>
      <w:r w:rsidRPr="00EB75B0">
        <w:t>o</w:t>
      </w:r>
      <w:r w:rsidRPr="00EB75B0">
        <w:t>nen har man nyligen investerat i nya Itinotåg, med en maxhastighet om 140 kilometer/timme. Maxhastigheten för dessa banor är 110–120 kilom</w:t>
      </w:r>
      <w:r w:rsidRPr="00EB75B0">
        <w:t>e</w:t>
      </w:r>
      <w:r w:rsidRPr="00EB75B0">
        <w:t>t</w:t>
      </w:r>
      <w:r w:rsidRPr="00EB75B0">
        <w:t xml:space="preserve">er/timme, men genomsnittshastigheten ligger kring 70–80 kilometer/timme. </w:t>
      </w:r>
    </w:p>
    <w:p w:rsidR="0040585B" w:rsidRPr="00EB75B0" w:rsidRDefault="0040585B">
      <w:pPr>
        <w:pStyle w:val="Normaltindrag"/>
      </w:pPr>
      <w:r w:rsidRPr="00EB75B0">
        <w:t>Att rusta upp Tjustbanan, som har skarvspår och grusballast, till helsvetsad räls kostar cirka 60 miljoner kronor per mil, vilket motsvarar cirka 10 procent av nybyggnads</w:t>
      </w:r>
      <w:r w:rsidRPr="00EB75B0">
        <w:softHyphen/>
        <w:t>kostnaden. Stångådalsbanan, som har makadamballast, kostar 20 miljoner kronor per mil att förse med helsvetsad räls. Med ytterligare m</w:t>
      </w:r>
      <w:r w:rsidRPr="00EB75B0">
        <w:t>ö</w:t>
      </w:r>
      <w:r w:rsidRPr="00EB75B0">
        <w:t>tesspår, av särskild stor vikt i Gullringen och Rockneby, kan det bli möjligt att införa lokala tåg med uppehåll på fler orter. Detta skulle vara av stor bet</w:t>
      </w:r>
      <w:r w:rsidRPr="00EB75B0">
        <w:t>y</w:t>
      </w:r>
      <w:r w:rsidRPr="00EB75B0">
        <w:t>delse för människor i ett antal samhällen längs banorna.</w:t>
      </w:r>
    </w:p>
    <w:p w:rsidR="0040585B" w:rsidRPr="00EB75B0" w:rsidRDefault="0040585B">
      <w:pPr>
        <w:pStyle w:val="Normaltindrag"/>
      </w:pPr>
      <w:r w:rsidRPr="00EB75B0">
        <w:t>Det skulle ge stora regionalpolitiska vinster att förbättra kapaciteten och standarden på dessa länsbanor, liksom på många andra håll i landet.</w:t>
      </w:r>
    </w:p>
    <w:p w:rsidR="0040585B" w:rsidRPr="00EB75B0" w:rsidRDefault="0040585B">
      <w:pPr>
        <w:pStyle w:val="Normaltindrag"/>
      </w:pPr>
      <w:r w:rsidRPr="00EB75B0">
        <w:t>I regeringens politik, men även i Kapacitetsutredningen saknas satsningar på banor i vissa delar av landet eller ligger i planerna först efter 2021. För Miljöpartiet är det däremot självklart att satsa på järnväg i hela landet och att rusta upp banor som Tjust- och Stångådalsbanorna under budgetperioden.</w:t>
      </w:r>
    </w:p>
    <w:p w:rsidR="0040585B" w:rsidRPr="00EB75B0" w:rsidRDefault="0040585B">
      <w:pPr>
        <w:pStyle w:val="Normaltindrag"/>
        <w:rPr>
          <w:szCs w:val="24"/>
        </w:rPr>
      </w:pPr>
      <w:r w:rsidRPr="00EB75B0">
        <w:t>Mot bakgrund av detta anser jag att regeringen bör göra en satsning på län</w:t>
      </w:r>
      <w:r w:rsidRPr="00EB75B0">
        <w:t>s</w:t>
      </w:r>
      <w:r w:rsidRPr="00EB75B0">
        <w:t>järnvägarna. Länsbanorna Linköping–Västervik samt Linköping–Kalmar är två av de banor som bör rustas upp. Detta bör riksdagen ge regeringen til</w:t>
      </w:r>
      <w:r w:rsidRPr="00EB75B0">
        <w:t>l</w:t>
      </w:r>
      <w:r w:rsidRPr="00EB75B0">
        <w:t>känna som sin mening.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B75B0">
        <w:trPr>
          <w:cantSplit/>
        </w:trPr>
        <w:tc>
          <w:tcPr>
            <w:tcW w:w="3046" w:type="dxa"/>
          </w:tcPr>
          <w:p w:rsidR="0040585B" w:rsidRPr="00EB75B0" w:rsidRDefault="0040585B">
            <w:pPr>
              <w:pStyle w:val="UnderskriftDatum"/>
              <w:spacing w:before="240"/>
            </w:pPr>
            <w:r w:rsidRPr="00EB75B0">
              <w:t>Stockholm den 3 oktober 2011</w:t>
            </w:r>
          </w:p>
        </w:tc>
        <w:tc>
          <w:tcPr>
            <w:tcW w:w="3047" w:type="dxa"/>
          </w:tcPr>
          <w:p w:rsidR="0040585B" w:rsidRPr="00EB75B0" w:rsidRDefault="0040585B">
            <w:pPr>
              <w:pStyle w:val="Underskrifter"/>
              <w:spacing w:before="240"/>
            </w:pPr>
          </w:p>
        </w:tc>
      </w:tr>
      <w:tr w:rsidR="00000000" w:rsidRPr="00EB75B0">
        <w:trPr>
          <w:cantSplit/>
        </w:trPr>
        <w:tc>
          <w:tcPr>
            <w:tcW w:w="3046" w:type="dxa"/>
          </w:tcPr>
          <w:p w:rsidR="0040585B" w:rsidRPr="00EB75B0" w:rsidRDefault="0040585B">
            <w:pPr>
              <w:pStyle w:val="Underskrifter"/>
            </w:pPr>
            <w:r w:rsidRPr="00EB75B0">
              <w:t>Annika Lillemets (MP)</w:t>
            </w:r>
          </w:p>
        </w:tc>
        <w:tc>
          <w:tcPr>
            <w:tcW w:w="3046" w:type="dxa"/>
          </w:tcPr>
          <w:p w:rsidR="0040585B" w:rsidRPr="00EB75B0" w:rsidRDefault="0040585B">
            <w:pPr>
              <w:pStyle w:val="Underskrifter"/>
            </w:pPr>
          </w:p>
        </w:tc>
      </w:tr>
    </w:tbl>
    <w:p w:rsidR="0040585B" w:rsidRPr="00EB75B0" w:rsidRDefault="0040585B">
      <w:pPr>
        <w:pStyle w:val="Normaltindrag"/>
      </w:pPr>
    </w:p>
    <w:sectPr w:rsidR="0040585B" w:rsidRPr="00EB75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585B" w:rsidRPr="00EB75B0" w:rsidRDefault="0040585B">
      <w:r w:rsidRPr="00EB75B0">
        <w:separator/>
      </w:r>
    </w:p>
  </w:endnote>
  <w:endnote w:type="continuationSeparator" w:id="0">
    <w:p w:rsidR="0040585B" w:rsidRPr="00EB75B0" w:rsidRDefault="0040585B">
      <w:r w:rsidRPr="00EB75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85B" w:rsidRPr="00EB75B0" w:rsidRDefault="00EB75B0">
    <w:pPr>
      <w:pStyle w:val="Sidfot"/>
    </w:pPr>
    <w:r w:rsidRPr="00EB75B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211515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85B" w:rsidRDefault="004058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0585B" w:rsidRDefault="0040585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85B" w:rsidRPr="00EB75B0" w:rsidRDefault="00EB75B0">
    <w:pPr>
      <w:pStyle w:val="Sidfot"/>
    </w:pPr>
    <w:r w:rsidRPr="00EB75B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42777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85B" w:rsidRDefault="004058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585B" w:rsidRDefault="004058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85B" w:rsidRPr="00EB75B0" w:rsidRDefault="00EB75B0">
    <w:pPr>
      <w:pStyle w:val="Sidfot"/>
    </w:pPr>
    <w:r w:rsidRPr="00EB75B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79446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85B" w:rsidRDefault="004058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585B" w:rsidRDefault="004058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585B" w:rsidRPr="00EB75B0" w:rsidRDefault="0040585B">
      <w:r w:rsidRPr="00EB75B0">
        <w:separator/>
      </w:r>
    </w:p>
  </w:footnote>
  <w:footnote w:type="continuationSeparator" w:id="0">
    <w:p w:rsidR="0040585B" w:rsidRPr="00EB75B0" w:rsidRDefault="0040585B">
      <w:r w:rsidRPr="00EB75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85B" w:rsidRPr="00EB75B0" w:rsidRDefault="00EB75B0">
    <w:pPr>
      <w:pStyle w:val="Sidhuvud"/>
    </w:pPr>
    <w:r w:rsidRPr="00EB75B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27387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85B" w:rsidRDefault="004058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0585B" w:rsidRDefault="0040585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85B" w:rsidRPr="00EB75B0" w:rsidRDefault="00EB75B0">
    <w:pPr>
      <w:pStyle w:val="Sidhuvud"/>
    </w:pPr>
    <w:r w:rsidRPr="00EB75B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03770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85B" w:rsidRDefault="004058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0585B" w:rsidRDefault="004058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85B" w:rsidRPr="00EB75B0" w:rsidRDefault="0040585B">
    <w:pPr>
      <w:pStyle w:val="FSHNormal"/>
      <w:tabs>
        <w:tab w:val="right" w:pos="5840"/>
      </w:tabs>
    </w:pPr>
    <w:r w:rsidRPr="00EB75B0">
      <w:br/>
    </w:r>
    <w:r w:rsidRPr="00EB75B0">
      <w:fldChar w:fldCharType="begin" w:fldLock="1"/>
    </w:r>
    <w:r w:rsidRPr="00EB75B0">
      <w:instrText xml:space="preserve"> DOCPROPERTY</w:instrText>
    </w:r>
    <w:r w:rsidRPr="00EB75B0">
      <w:rPr>
        <w:sz w:val="18"/>
      </w:rPr>
      <w:instrText xml:space="preserve"> "YearUser" *\charformat </w:instrText>
    </w:r>
    <w:r w:rsidRPr="00EB75B0">
      <w:fldChar w:fldCharType="separate"/>
    </w:r>
    <w:r w:rsidRPr="00EB75B0">
      <w:t>2011/12</w:t>
    </w:r>
    <w:r w:rsidRPr="00EB75B0">
      <w:fldChar w:fldCharType="end"/>
    </w:r>
    <w:r w:rsidRPr="00EB75B0">
      <w:t xml:space="preserve"> </w:t>
    </w:r>
    <w:r w:rsidRPr="00EB75B0">
      <w:tab/>
      <w:t xml:space="preserve">mnr: </w:t>
    </w:r>
    <w:r w:rsidRPr="00EB75B0">
      <w:fldChar w:fldCharType="begin" w:fldLock="1"/>
    </w:r>
    <w:r w:rsidRPr="00EB75B0">
      <w:instrText xml:space="preserve"> DOCPROPERTY</w:instrText>
    </w:r>
    <w:r w:rsidRPr="00EB75B0">
      <w:rPr>
        <w:sz w:val="18"/>
      </w:rPr>
      <w:instrText xml:space="preserve"> "Motionsnummer" *\charformat </w:instrText>
    </w:r>
    <w:r w:rsidRPr="00EB75B0">
      <w:fldChar w:fldCharType="separate"/>
    </w:r>
    <w:r w:rsidRPr="00EB75B0">
      <w:t>T342</w:t>
    </w:r>
    <w:r w:rsidRPr="00EB75B0">
      <w:fldChar w:fldCharType="end"/>
    </w:r>
    <w:r w:rsidRPr="00EB75B0">
      <w:br/>
    </w:r>
    <w:r w:rsidRPr="00EB75B0">
      <w:fldChar w:fldCharType="begin" w:fldLock="1"/>
    </w:r>
    <w:r w:rsidRPr="00EB75B0">
      <w:instrText xml:space="preserve"> DOCPROPERTY</w:instrText>
    </w:r>
    <w:r w:rsidRPr="00EB75B0">
      <w:rPr>
        <w:sz w:val="18"/>
      </w:rPr>
      <w:instrText xml:space="preserve"> "Samling" *\charformat </w:instrText>
    </w:r>
    <w:r w:rsidRPr="00EB75B0">
      <w:fldChar w:fldCharType="end"/>
    </w:r>
    <w:r w:rsidRPr="00EB75B0">
      <w:tab/>
      <w:t xml:space="preserve">pnr: </w:t>
    </w:r>
    <w:r w:rsidRPr="00EB75B0">
      <w:fldChar w:fldCharType="begin" w:fldLock="1"/>
    </w:r>
    <w:r w:rsidRPr="00EB75B0">
      <w:instrText xml:space="preserve"> DOCPROPERTY</w:instrText>
    </w:r>
    <w:r w:rsidRPr="00EB75B0">
      <w:rPr>
        <w:sz w:val="18"/>
      </w:rPr>
      <w:instrText xml:space="preserve"> "Partinummer" *\charformat </w:instrText>
    </w:r>
    <w:r w:rsidRPr="00EB75B0">
      <w:fldChar w:fldCharType="separate"/>
    </w:r>
    <w:r w:rsidRPr="00EB75B0">
      <w:t>MP2508</w:t>
    </w:r>
    <w:r w:rsidRPr="00EB75B0">
      <w:fldChar w:fldCharType="end"/>
    </w:r>
  </w:p>
  <w:p w:rsidR="0040585B" w:rsidRPr="00EB75B0" w:rsidRDefault="0040585B">
    <w:pPr>
      <w:pStyle w:val="FSHRub1"/>
    </w:pPr>
    <w:r w:rsidRPr="00EB75B0">
      <w:t>Motion till riksdagen</w:t>
    </w:r>
    <w:r w:rsidRPr="00EB75B0">
      <w:br/>
    </w:r>
    <w:r w:rsidRPr="00EB75B0">
      <w:fldChar w:fldCharType="begin" w:fldLock="1"/>
    </w:r>
    <w:r w:rsidRPr="00EB75B0">
      <w:instrText xml:space="preserve"> DOCPROPERTY "YearUser" *\charformat </w:instrText>
    </w:r>
    <w:r w:rsidRPr="00EB75B0">
      <w:fldChar w:fldCharType="separate"/>
    </w:r>
    <w:r w:rsidRPr="00EB75B0">
      <w:t>2011/12</w:t>
    </w:r>
    <w:r w:rsidRPr="00EB75B0">
      <w:fldChar w:fldCharType="end"/>
    </w:r>
    <w:r w:rsidRPr="00EB75B0">
      <w:t>:</w:t>
    </w:r>
    <w:r w:rsidRPr="00EB75B0">
      <w:fldChar w:fldCharType="begin" w:fldLock="1"/>
    </w:r>
    <w:r w:rsidRPr="00EB75B0">
      <w:instrText xml:space="preserve"> DOCPROPERTY "Motionsnummer" *\charformat </w:instrText>
    </w:r>
    <w:r w:rsidRPr="00EB75B0">
      <w:fldChar w:fldCharType="separate"/>
    </w:r>
    <w:r w:rsidRPr="00EB75B0">
      <w:t>T342</w:t>
    </w:r>
    <w:r w:rsidRPr="00EB75B0">
      <w:fldChar w:fldCharType="end"/>
    </w:r>
  </w:p>
  <w:p w:rsidR="0040585B" w:rsidRPr="00EB75B0" w:rsidRDefault="0040585B">
    <w:pPr>
      <w:pStyle w:val="FSHNormalS5"/>
    </w:pPr>
    <w:r w:rsidRPr="00EB75B0">
      <w:fldChar w:fldCharType="begin" w:fldLock="1"/>
    </w:r>
    <w:r w:rsidRPr="00EB75B0">
      <w:instrText xml:space="preserve"> DOCPROPERTY "MotionarText" *\charformat </w:instrText>
    </w:r>
    <w:r w:rsidRPr="00EB75B0">
      <w:fldChar w:fldCharType="separate"/>
    </w:r>
    <w:r w:rsidRPr="00EB75B0">
      <w:t>av Annika Lillemets (MP)</w:t>
    </w:r>
    <w:r w:rsidRPr="00EB75B0">
      <w:fldChar w:fldCharType="end"/>
    </w:r>
    <w:r w:rsidRPr="00EB75B0">
      <w:br/>
    </w:r>
    <w:r w:rsidRPr="00EB75B0">
      <w:fldChar w:fldCharType="begin" w:fldLock="1"/>
    </w:r>
    <w:r w:rsidRPr="00EB75B0">
      <w:instrText xml:space="preserve"> DOCPROPERTY "SvarFrasKort" *\charformat </w:instrText>
    </w:r>
    <w:r w:rsidRPr="00EB75B0">
      <w:fldChar w:fldCharType="end"/>
    </w:r>
  </w:p>
  <w:p w:rsidR="0040585B" w:rsidRPr="00EB75B0" w:rsidRDefault="0040585B">
    <w:pPr>
      <w:pStyle w:val="FSHTitel"/>
    </w:pPr>
    <w:r w:rsidRPr="00EB75B0">
      <w:fldChar w:fldCharType="begin" w:fldLock="1"/>
    </w:r>
    <w:r w:rsidRPr="00EB75B0">
      <w:instrText xml:space="preserve"> DOCPROPERTY</w:instrText>
    </w:r>
    <w:r w:rsidRPr="00EB75B0">
      <w:rPr>
        <w:sz w:val="18"/>
      </w:rPr>
      <w:instrText xml:space="preserve"> "RubrikSvar" *\charformat </w:instrText>
    </w:r>
    <w:r w:rsidRPr="00EB75B0">
      <w:fldChar w:fldCharType="separate"/>
    </w:r>
    <w:r w:rsidRPr="00EB75B0">
      <w:t>Ökad järnvägskapacitet mellan Norrköping och Linköping med Ostlänken och upprustning av länsbanorna Linköping–Västervik samt Linköping–Kalmar</w:t>
    </w:r>
    <w:r w:rsidRPr="00EB75B0">
      <w:fldChar w:fldCharType="end"/>
    </w:r>
  </w:p>
  <w:p w:rsidR="0040585B" w:rsidRPr="00EB75B0" w:rsidRDefault="0040585B">
    <w:pPr>
      <w:pStyle w:val="Normal00"/>
    </w:pPr>
  </w:p>
  <w:p w:rsidR="0040585B" w:rsidRPr="00EB75B0" w:rsidRDefault="0040585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2D64656"/>
    <w:multiLevelType w:val="hybridMultilevel"/>
    <w:tmpl w:val="B748FC20"/>
    <w:lvl w:ilvl="0" w:tplc="68CCF6C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7E46DE7"/>
    <w:multiLevelType w:val="hybridMultilevel"/>
    <w:tmpl w:val="ECDEAEAC"/>
    <w:lvl w:ilvl="0" w:tplc="041D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02537625">
    <w:abstractNumId w:val="3"/>
  </w:num>
  <w:num w:numId="2" w16cid:durableId="1438057382">
    <w:abstractNumId w:val="2"/>
  </w:num>
  <w:num w:numId="3" w16cid:durableId="798106808">
    <w:abstractNumId w:val="1"/>
  </w:num>
  <w:num w:numId="4" w16cid:durableId="1858888125">
    <w:abstractNumId w:val="0"/>
  </w:num>
  <w:num w:numId="5" w16cid:durableId="1669748273">
    <w:abstractNumId w:val="7"/>
  </w:num>
  <w:num w:numId="6" w16cid:durableId="1528519673">
    <w:abstractNumId w:val="6"/>
  </w:num>
  <w:num w:numId="7" w16cid:durableId="587889906">
    <w:abstractNumId w:val="5"/>
  </w:num>
  <w:num w:numId="8" w16cid:durableId="766194775">
    <w:abstractNumId w:val="4"/>
  </w:num>
  <w:num w:numId="9" w16cid:durableId="672803359">
    <w:abstractNumId w:val="8"/>
  </w:num>
  <w:num w:numId="10" w16cid:durableId="497429324">
    <w:abstractNumId w:val="9"/>
  </w:num>
  <w:num w:numId="11" w16cid:durableId="1122191642">
    <w:abstractNumId w:val="10"/>
  </w:num>
  <w:num w:numId="12" w16cid:durableId="807479293">
    <w:abstractNumId w:val="13"/>
  </w:num>
  <w:num w:numId="13" w16cid:durableId="1636448403">
    <w:abstractNumId w:val="16"/>
  </w:num>
  <w:num w:numId="14" w16cid:durableId="478499269">
    <w:abstractNumId w:val="17"/>
  </w:num>
  <w:num w:numId="15" w16cid:durableId="1228997321">
    <w:abstractNumId w:val="11"/>
  </w:num>
  <w:num w:numId="16" w16cid:durableId="151996211">
    <w:abstractNumId w:val="20"/>
  </w:num>
  <w:num w:numId="17" w16cid:durableId="936132670">
    <w:abstractNumId w:val="18"/>
  </w:num>
  <w:num w:numId="18" w16cid:durableId="983117566">
    <w:abstractNumId w:val="15"/>
  </w:num>
  <w:num w:numId="19" w16cid:durableId="219050554">
    <w:abstractNumId w:val="12"/>
  </w:num>
  <w:num w:numId="20" w16cid:durableId="1787193279">
    <w:abstractNumId w:val="19"/>
  </w:num>
  <w:num w:numId="21" w16cid:durableId="14039885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CD608734-BDFD-4479-B45A-FA9EAF5B640F}"/>
  </w:docVars>
  <w:rsids>
    <w:rsidRoot w:val="00F7795C"/>
    <w:rsid w:val="0040585B"/>
    <w:rsid w:val="00EB75B0"/>
    <w:rsid w:val="00F7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37C463A-34DF-4FBD-8BA4-D5633B24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942</Words>
  <Characters>5657</Characters>
  <Application>Microsoft Office Word</Application>
  <DocSecurity>4</DocSecurity>
  <Lines>102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MP2508</vt:lpstr>
    </vt:vector>
  </TitlesOfParts>
  <Company>Riksdagen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MP2508</dc:title>
  <dc:subject>MP2508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2011-12-06T13:21:00Z</cp:lastPrinted>
  <dcterms:created xsi:type="dcterms:W3CDTF">2025-12-17T20:21:00Z</dcterms:created>
  <dcterms:modified xsi:type="dcterms:W3CDTF">2025-12-17T20:21:00Z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Ökad järnvägskapacitet mellan Norrköping och Linköping med Ostlänken och upprustning av länsbanorna Linköping–Västervik samt Linköping–Kalmar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Ökad järnvägskapacitet mellan Norrköping och Linköping med Ostlänken och upprustning av länsbanorna Linköping–Västervik samt Linköping–Kalmar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MP2508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Annika Lillemets (MP)</vt:lpwstr>
  </property>
  <property fmtid="{D5CDD505-2E9C-101B-9397-08002B2CF9AE}" pid="26" name="MotionarLista">
    <vt:lpwstr>Lillemets, Annika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Annika Lillemets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20112012000000770080000025080069</vt:lpwstr>
  </property>
  <property fmtid="{D5CDD505-2E9C-101B-9397-08002B2CF9AE}" pid="47" name="datum">
    <vt:lpwstr>111003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20112012000000770080000025080069</vt:lpwstr>
  </property>
  <property fmtid="{D5CDD505-2E9C-101B-9397-08002B2CF9AE}" pid="50" name="nummer">
    <vt:lpwstr>342</vt:lpwstr>
  </property>
  <property fmtid="{D5CDD505-2E9C-101B-9397-08002B2CF9AE}" pid="51" name="utskottsbeteckning">
    <vt:lpwstr>T</vt:lpwstr>
  </property>
  <property fmtid="{D5CDD505-2E9C-101B-9397-08002B2CF9AE}" pid="52" name="GlobalUID">
    <vt:lpwstr>{137E800E-3317-4C94-8E48-8AD929834523}</vt:lpwstr>
  </property>
  <property fmtid="{D5CDD505-2E9C-101B-9397-08002B2CF9AE}" pid="53" name="Överföringar">
    <vt:i4>0</vt:i4>
  </property>
  <property fmtid="{D5CDD505-2E9C-101B-9397-08002B2CF9AE}" pid="54" name="Checksum">
    <vt:lpwstr>*0020103004927*</vt:lpwstr>
  </property>
  <property fmtid="{D5CDD505-2E9C-101B-9397-08002B2CF9AE}" pid="55" name="skuggnummer">
    <vt:lpwstr>1559</vt:lpwstr>
  </property>
  <property fmtid="{D5CDD505-2E9C-101B-9397-08002B2CF9AE}" pid="56" name="urixVersion">
    <vt:lpwstr>4.5.0.25</vt:lpwstr>
  </property>
  <property fmtid="{D5CDD505-2E9C-101B-9397-08002B2CF9AE}" pid="57" name="urixOrigin">
    <vt:lpwstr>111207 12:27:37.577</vt:lpwstr>
  </property>
  <property fmtid="{D5CDD505-2E9C-101B-9397-08002B2CF9AE}" pid="58" name="urixGuid">
    <vt:lpwstr>{41488642-EF5C-42E1-BE07-A68103F68595}</vt:lpwstr>
  </property>
</Properties>
</file>