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2" w:type="dxa"/>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B15311">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B15311" w:rsidRDefault="00B15311">
            <w:pPr>
              <w:pStyle w:val="EntLogo"/>
            </w:pPr>
            <w:r w:rsidRPr="00B15311">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B15311">
        <w:tblPrEx>
          <w:tblCellMar>
            <w:top w:w="0" w:type="dxa"/>
            <w:left w:w="0" w:type="dxa"/>
            <w:bottom w:w="0" w:type="dxa"/>
            <w:right w:w="0" w:type="dxa"/>
          </w:tblCellMar>
        </w:tblPrEx>
        <w:trPr>
          <w:cantSplit/>
          <w:trHeight w:val="1120"/>
        </w:trPr>
        <w:tc>
          <w:tcPr>
            <w:tcW w:w="4821" w:type="dxa"/>
            <w:gridSpan w:val="2"/>
          </w:tcPr>
          <w:p w:rsidR="00660886" w:rsidRPr="00B15311" w:rsidRDefault="00660886">
            <w:pPr>
              <w:pStyle w:val="EntInstit"/>
            </w:pPr>
            <w:bookmarkStart w:id="0" w:name="Entete"/>
            <w:bookmarkEnd w:id="0"/>
            <w:r w:rsidRPr="00B15311">
              <w:t>COUNCIL OF</w:t>
            </w:r>
          </w:p>
          <w:p w:rsidR="002B28C5" w:rsidRPr="00B15311" w:rsidRDefault="00660886">
            <w:pPr>
              <w:pStyle w:val="EntInstit"/>
            </w:pPr>
            <w:r w:rsidRPr="00B15311">
              <w:t>THE EUROPEAN UNION</w:t>
            </w:r>
          </w:p>
        </w:tc>
        <w:tc>
          <w:tcPr>
            <w:tcW w:w="1701" w:type="dxa"/>
          </w:tcPr>
          <w:p w:rsidR="002B28C5" w:rsidRPr="00B15311" w:rsidRDefault="002B28C5">
            <w:pPr>
              <w:spacing w:line="240" w:lineRule="auto"/>
              <w:jc w:val="right"/>
              <w:rPr>
                <w:b/>
              </w:rPr>
            </w:pPr>
          </w:p>
        </w:tc>
        <w:tc>
          <w:tcPr>
            <w:tcW w:w="4820" w:type="dxa"/>
            <w:gridSpan w:val="2"/>
          </w:tcPr>
          <w:p w:rsidR="002B28C5" w:rsidRPr="00B15311" w:rsidRDefault="00660886">
            <w:pPr>
              <w:pStyle w:val="EntRefer"/>
            </w:pPr>
            <w:bookmarkStart w:id="1" w:name="Lieu"/>
            <w:bookmarkEnd w:id="1"/>
            <w:r w:rsidRPr="00B15311">
              <w:t>Brussels,</w:t>
            </w:r>
            <w:r w:rsidR="002B28C5" w:rsidRPr="00B15311">
              <w:t xml:space="preserve"> </w:t>
            </w:r>
            <w:bookmarkStart w:id="2" w:name="Date"/>
            <w:bookmarkEnd w:id="2"/>
            <w:r w:rsidR="005101AA" w:rsidRPr="00B15311">
              <w:t xml:space="preserve">12 May </w:t>
            </w:r>
            <w:r w:rsidRPr="00B15311">
              <w:t>200</w:t>
            </w:r>
            <w:r w:rsidR="005101AA" w:rsidRPr="00B15311">
              <w:t>6</w:t>
            </w:r>
            <w:r w:rsidR="002B28C5" w:rsidRPr="00B15311">
              <w:t xml:space="preserve"> </w:t>
            </w:r>
            <w:bookmarkStart w:id="3" w:name="DateEntree"/>
            <w:bookmarkEnd w:id="3"/>
          </w:p>
          <w:p w:rsidR="002B28C5" w:rsidRPr="00B15311" w:rsidRDefault="002B28C5">
            <w:pPr>
              <w:pStyle w:val="EntRefer"/>
            </w:pPr>
            <w:bookmarkStart w:id="4" w:name="LangueOrig"/>
            <w:bookmarkEnd w:id="4"/>
          </w:p>
        </w:tc>
      </w:tr>
      <w:tr w:rsidR="00DA1C81" w:rsidRPr="00B15311">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DA1C81" w:rsidRPr="00B15311" w:rsidRDefault="00DA1C81" w:rsidP="009F05D5">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B15311">
              <w:t>Interinstitutional File:</w:t>
            </w:r>
          </w:p>
          <w:p w:rsidR="00DA1C81" w:rsidRPr="00B15311" w:rsidRDefault="00DA1C81" w:rsidP="009F05D5">
            <w:pPr>
              <w:pStyle w:val="EntRefer"/>
              <w:pBdr>
                <w:top w:val="double" w:sz="4" w:space="4" w:color="auto"/>
                <w:left w:val="double" w:sz="4" w:space="0" w:color="auto"/>
                <w:bottom w:val="double" w:sz="4" w:space="4" w:color="auto"/>
                <w:right w:val="double" w:sz="4" w:space="0" w:color="auto"/>
              </w:pBdr>
              <w:jc w:val="center"/>
            </w:pPr>
            <w:r w:rsidRPr="00B15311">
              <w:t>200</w:t>
            </w:r>
            <w:r w:rsidR="005101AA" w:rsidRPr="00B15311">
              <w:t>4</w:t>
            </w:r>
            <w:r w:rsidRPr="00B15311">
              <w:t>/0</w:t>
            </w:r>
            <w:r w:rsidR="005101AA" w:rsidRPr="00B15311">
              <w:t>237</w:t>
            </w:r>
            <w:r w:rsidRPr="00B15311">
              <w:t xml:space="preserve"> (COD)</w:t>
            </w:r>
          </w:p>
        </w:tc>
        <w:tc>
          <w:tcPr>
            <w:tcW w:w="1701" w:type="dxa"/>
            <w:vAlign w:val="center"/>
          </w:tcPr>
          <w:p w:rsidR="00DA1C81" w:rsidRPr="00B15311" w:rsidRDefault="00DA1C81">
            <w:pPr>
              <w:spacing w:line="240" w:lineRule="auto"/>
              <w:rPr>
                <w:b/>
              </w:rPr>
            </w:pPr>
          </w:p>
        </w:tc>
        <w:tc>
          <w:tcPr>
            <w:tcW w:w="3970" w:type="dxa"/>
          </w:tcPr>
          <w:p w:rsidR="00DA1C81" w:rsidRPr="00B15311" w:rsidRDefault="00737A01">
            <w:pPr>
              <w:pStyle w:val="EntRefer"/>
            </w:pPr>
            <w:bookmarkStart w:id="6" w:name="Cote"/>
            <w:bookmarkEnd w:id="6"/>
            <w:r w:rsidRPr="00B15311">
              <w:t>9</w:t>
            </w:r>
            <w:r w:rsidR="00D75C5C" w:rsidRPr="00B15311">
              <w:t>2</w:t>
            </w:r>
            <w:r w:rsidRPr="00B15311">
              <w:t>83</w:t>
            </w:r>
            <w:r w:rsidR="005101AA" w:rsidRPr="00B15311">
              <w:t>/</w:t>
            </w:r>
            <w:r w:rsidR="00DA1C81" w:rsidRPr="00B15311">
              <w:t>0</w:t>
            </w:r>
            <w:r w:rsidR="005101AA" w:rsidRPr="00B15311">
              <w:t>6</w:t>
            </w:r>
          </w:p>
          <w:p w:rsidR="00DA1C81" w:rsidRPr="00B15311" w:rsidRDefault="00DA1C81">
            <w:pPr>
              <w:pStyle w:val="EntRefer"/>
            </w:pPr>
            <w:bookmarkStart w:id="7" w:name="CoteRev"/>
            <w:bookmarkEnd w:id="7"/>
          </w:p>
          <w:p w:rsidR="00DA1C81" w:rsidRPr="00B15311" w:rsidRDefault="00DA1C81">
            <w:pPr>
              <w:pStyle w:val="EntRefer"/>
            </w:pPr>
          </w:p>
          <w:p w:rsidR="00DA1C81" w:rsidRPr="00B15311" w:rsidRDefault="00DA1C81">
            <w:pPr>
              <w:pStyle w:val="EntRefer"/>
            </w:pPr>
            <w:bookmarkStart w:id="8" w:name="CoteSec"/>
            <w:bookmarkEnd w:id="8"/>
          </w:p>
          <w:p w:rsidR="00DA1C81" w:rsidRPr="00B15311" w:rsidRDefault="00DA1C81">
            <w:pPr>
              <w:pStyle w:val="EntRefer"/>
            </w:pPr>
          </w:p>
        </w:tc>
      </w:tr>
      <w:tr w:rsidR="00DA1C81" w:rsidRPr="00B15311">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DA1C81" w:rsidRPr="00B15311" w:rsidRDefault="00DA1C81">
            <w:pPr>
              <w:pStyle w:val="EntRefer"/>
              <w:jc w:val="center"/>
            </w:pPr>
            <w:bookmarkStart w:id="9" w:name="SousEmbargo"/>
            <w:bookmarkEnd w:id="9"/>
          </w:p>
        </w:tc>
        <w:tc>
          <w:tcPr>
            <w:tcW w:w="1701" w:type="dxa"/>
            <w:vAlign w:val="center"/>
          </w:tcPr>
          <w:p w:rsidR="00DA1C81" w:rsidRPr="00B15311" w:rsidRDefault="00DA1C81">
            <w:pPr>
              <w:spacing w:line="240" w:lineRule="auto"/>
              <w:rPr>
                <w:b/>
              </w:rPr>
            </w:pPr>
          </w:p>
        </w:tc>
        <w:tc>
          <w:tcPr>
            <w:tcW w:w="3970" w:type="dxa"/>
          </w:tcPr>
          <w:p w:rsidR="005101AA" w:rsidRPr="00B15311" w:rsidRDefault="00DA1C81">
            <w:pPr>
              <w:pStyle w:val="EntRefer"/>
            </w:pPr>
            <w:r w:rsidRPr="00B15311">
              <w:t xml:space="preserve">CODEC </w:t>
            </w:r>
            <w:r w:rsidR="00FA05D2" w:rsidRPr="00B15311">
              <w:t>468</w:t>
            </w:r>
          </w:p>
          <w:p w:rsidR="00DA1C81" w:rsidRPr="00B15311" w:rsidRDefault="00DA1C81">
            <w:pPr>
              <w:pStyle w:val="EntRefer"/>
            </w:pPr>
            <w:r w:rsidRPr="00B15311">
              <w:t xml:space="preserve">DENLEG </w:t>
            </w:r>
            <w:r w:rsidR="00FA05D2" w:rsidRPr="00B15311">
              <w:t>27</w:t>
            </w:r>
          </w:p>
          <w:p w:rsidR="00DA1C81" w:rsidRPr="00B15311" w:rsidRDefault="00DA1C81">
            <w:pPr>
              <w:pStyle w:val="EntRefer"/>
            </w:pPr>
          </w:p>
        </w:tc>
      </w:tr>
    </w:tbl>
    <w:p w:rsidR="002B28C5" w:rsidRPr="00B15311" w:rsidRDefault="00660886" w:rsidP="00C212A7">
      <w:pPr>
        <w:pStyle w:val="EntRefer"/>
        <w:outlineLvl w:val="0"/>
      </w:pPr>
      <w:bookmarkStart w:id="10" w:name="AC"/>
      <w:bookmarkStart w:id="11" w:name="Title"/>
      <w:bookmarkEnd w:id="11"/>
      <w:r w:rsidRPr="00B15311">
        <w:t>NOTE</w:t>
      </w:r>
    </w:p>
    <w:tbl>
      <w:tblPr>
        <w:tblW w:w="9640" w:type="dxa"/>
        <w:tblLayout w:type="fixed"/>
        <w:tblCellMar>
          <w:left w:w="0" w:type="dxa"/>
          <w:right w:w="0" w:type="dxa"/>
        </w:tblCellMar>
        <w:tblLook w:val="0000" w:firstRow="0" w:lastRow="0" w:firstColumn="0" w:lastColumn="0" w:noHBand="0" w:noVBand="0"/>
      </w:tblPr>
      <w:tblGrid>
        <w:gridCol w:w="1701"/>
        <w:gridCol w:w="7939"/>
      </w:tblGrid>
      <w:tr w:rsidR="002B28C5" w:rsidRPr="00B15311">
        <w:tblPrEx>
          <w:tblCellMar>
            <w:top w:w="0" w:type="dxa"/>
            <w:left w:w="0" w:type="dxa"/>
            <w:bottom w:w="0" w:type="dxa"/>
            <w:right w:w="0" w:type="dxa"/>
          </w:tblCellMar>
        </w:tblPrEx>
        <w:tc>
          <w:tcPr>
            <w:tcW w:w="1701" w:type="dxa"/>
            <w:tcBorders>
              <w:top w:val="single" w:sz="4" w:space="0" w:color="auto"/>
            </w:tcBorders>
          </w:tcPr>
          <w:p w:rsidR="002B28C5" w:rsidRPr="00B15311" w:rsidRDefault="00C212A7">
            <w:pPr>
              <w:pStyle w:val="EntEmet"/>
            </w:pPr>
            <w:bookmarkStart w:id="12" w:name="Ref"/>
            <w:bookmarkStart w:id="13" w:name="RefDu"/>
            <w:r w:rsidRPr="00B15311">
              <w:t>from</w:t>
            </w:r>
            <w:r w:rsidR="002B28C5" w:rsidRPr="00B15311">
              <w:t>:</w:t>
            </w:r>
            <w:bookmarkEnd w:id="13"/>
          </w:p>
        </w:tc>
        <w:tc>
          <w:tcPr>
            <w:tcW w:w="7939" w:type="dxa"/>
            <w:tcBorders>
              <w:top w:val="single" w:sz="4" w:space="0" w:color="auto"/>
            </w:tcBorders>
          </w:tcPr>
          <w:p w:rsidR="002B28C5" w:rsidRPr="00B15311" w:rsidRDefault="00C212A7">
            <w:pPr>
              <w:pStyle w:val="EntEmet"/>
            </w:pPr>
            <w:r w:rsidRPr="00B15311">
              <w:t>General Secretariat of the Council</w:t>
            </w:r>
          </w:p>
        </w:tc>
      </w:tr>
      <w:tr w:rsidR="002B28C5" w:rsidRPr="00B15311">
        <w:tblPrEx>
          <w:tblCellMar>
            <w:top w:w="0" w:type="dxa"/>
            <w:left w:w="0" w:type="dxa"/>
            <w:bottom w:w="0" w:type="dxa"/>
            <w:right w:w="0" w:type="dxa"/>
          </w:tblCellMar>
        </w:tblPrEx>
        <w:tc>
          <w:tcPr>
            <w:tcW w:w="1701" w:type="dxa"/>
            <w:tcBorders>
              <w:bottom w:val="single" w:sz="4" w:space="0" w:color="auto"/>
            </w:tcBorders>
          </w:tcPr>
          <w:p w:rsidR="002B28C5" w:rsidRPr="00B15311" w:rsidRDefault="00C212A7">
            <w:pPr>
              <w:pStyle w:val="EntEmet"/>
            </w:pPr>
            <w:bookmarkStart w:id="14" w:name="RefEnDateDu"/>
            <w:r w:rsidRPr="00B15311">
              <w:t>to</w:t>
            </w:r>
            <w:r w:rsidR="002B28C5" w:rsidRPr="00B15311">
              <w:t>:</w:t>
            </w:r>
            <w:bookmarkEnd w:id="14"/>
          </w:p>
        </w:tc>
        <w:tc>
          <w:tcPr>
            <w:tcW w:w="7939" w:type="dxa"/>
            <w:tcBorders>
              <w:bottom w:val="single" w:sz="4" w:space="0" w:color="auto"/>
            </w:tcBorders>
          </w:tcPr>
          <w:p w:rsidR="002B28C5" w:rsidRPr="00B15311" w:rsidRDefault="00C212A7">
            <w:pPr>
              <w:pStyle w:val="EntEmet"/>
            </w:pPr>
            <w:r w:rsidRPr="00B15311">
              <w:t>COREPER/COUNCIL</w:t>
            </w:r>
          </w:p>
        </w:tc>
      </w:tr>
      <w:tr w:rsidR="002B28C5" w:rsidRPr="00B15311">
        <w:tblPrEx>
          <w:tblCellMar>
            <w:top w:w="0" w:type="dxa"/>
            <w:left w:w="0" w:type="dxa"/>
            <w:bottom w:w="0" w:type="dxa"/>
            <w:right w:w="0" w:type="dxa"/>
          </w:tblCellMar>
        </w:tblPrEx>
        <w:tc>
          <w:tcPr>
            <w:tcW w:w="1701" w:type="dxa"/>
            <w:tcBorders>
              <w:top w:val="single" w:sz="4" w:space="0" w:color="auto"/>
            </w:tcBorders>
          </w:tcPr>
          <w:p w:rsidR="002B28C5" w:rsidRPr="00B15311" w:rsidRDefault="002B28C5">
            <w:pPr>
              <w:pStyle w:val="EntEmet"/>
            </w:pPr>
            <w:bookmarkStart w:id="15" w:name="RefRow_NPropCion"/>
            <w:r w:rsidRPr="00B15311">
              <w:t>No</w:t>
            </w:r>
            <w:r w:rsidR="00F8781C" w:rsidRPr="00B15311">
              <w:t>.</w:t>
            </w:r>
            <w:r w:rsidRPr="00B15311">
              <w:t xml:space="preserve"> Cion prop</w:t>
            </w:r>
            <w:r w:rsidR="00F8781C" w:rsidRPr="00B15311">
              <w:t>.</w:t>
            </w:r>
            <w:r w:rsidRPr="00B15311">
              <w:t>:</w:t>
            </w:r>
          </w:p>
        </w:tc>
        <w:tc>
          <w:tcPr>
            <w:tcW w:w="7939" w:type="dxa"/>
            <w:tcBorders>
              <w:top w:val="single" w:sz="4" w:space="0" w:color="auto"/>
            </w:tcBorders>
          </w:tcPr>
          <w:p w:rsidR="002B28C5" w:rsidRPr="00B15311" w:rsidRDefault="005101AA">
            <w:pPr>
              <w:pStyle w:val="EntEmet"/>
            </w:pPr>
            <w:r w:rsidRPr="00B15311">
              <w:t>13489/04 DENLEG 53 CODEC 1119</w:t>
            </w:r>
          </w:p>
        </w:tc>
      </w:tr>
      <w:bookmarkEnd w:id="12"/>
      <w:bookmarkEnd w:id="15"/>
      <w:tr w:rsidR="002B28C5" w:rsidRPr="00B15311">
        <w:tblPrEx>
          <w:tblCellMar>
            <w:top w:w="0" w:type="dxa"/>
            <w:left w:w="0" w:type="dxa"/>
            <w:bottom w:w="0" w:type="dxa"/>
            <w:right w:w="0" w:type="dxa"/>
          </w:tblCellMar>
        </w:tblPrEx>
        <w:tc>
          <w:tcPr>
            <w:tcW w:w="1701" w:type="dxa"/>
            <w:tcBorders>
              <w:top w:val="single" w:sz="4" w:space="0" w:color="auto"/>
              <w:bottom w:val="single" w:sz="4" w:space="0" w:color="auto"/>
            </w:tcBorders>
          </w:tcPr>
          <w:p w:rsidR="002B28C5" w:rsidRPr="00B15311" w:rsidRDefault="002B28C5">
            <w:pPr>
              <w:pStyle w:val="EntEmet"/>
            </w:pPr>
            <w:r w:rsidRPr="00B15311">
              <w:t>Subject :</w:t>
            </w:r>
          </w:p>
        </w:tc>
        <w:tc>
          <w:tcPr>
            <w:tcW w:w="7939" w:type="dxa"/>
            <w:tcBorders>
              <w:top w:val="single" w:sz="4" w:space="0" w:color="auto"/>
              <w:bottom w:val="single" w:sz="4" w:space="0" w:color="auto"/>
            </w:tcBorders>
          </w:tcPr>
          <w:p w:rsidR="000F68C8" w:rsidRPr="00B15311" w:rsidRDefault="000F68C8" w:rsidP="000F68C8">
            <w:pPr>
              <w:pStyle w:val="EntEmet"/>
              <w:rPr>
                <w:b/>
              </w:rPr>
            </w:pPr>
            <w:bookmarkStart w:id="16" w:name="Subject"/>
            <w:bookmarkEnd w:id="16"/>
            <w:r w:rsidRPr="00B15311">
              <w:t>Proposal for a Directive of the European Parliament and of the Council amending Directive 95/2/EC on food additives other than colours and sweeteners and Directive 94/35/EC on sweeteners for use in foodstuffs</w:t>
            </w:r>
            <w:r w:rsidRPr="00B15311">
              <w:rPr>
                <w:b/>
              </w:rPr>
              <w:t xml:space="preserve"> [First reading]</w:t>
            </w:r>
          </w:p>
          <w:p w:rsidR="00680946" w:rsidRPr="00B15311" w:rsidRDefault="000F68C8" w:rsidP="000F68C8">
            <w:pPr>
              <w:pStyle w:val="EntEmet"/>
              <w:tabs>
                <w:tab w:val="clear" w:pos="284"/>
                <w:tab w:val="left" w:pos="408"/>
              </w:tabs>
            </w:pPr>
            <w:r w:rsidRPr="00B15311">
              <w:t>- Adoption of the legislative act (Public Deliberation)</w:t>
            </w:r>
            <w:r w:rsidRPr="00B15311">
              <w:rPr>
                <w:b/>
              </w:rPr>
              <w:t xml:space="preserve"> (LA + </w:t>
            </w:r>
            <w:r w:rsidR="006073FA" w:rsidRPr="00B15311">
              <w:rPr>
                <w:b/>
              </w:rPr>
              <w:t>S</w:t>
            </w:r>
            <w:r w:rsidRPr="00B15311">
              <w:rPr>
                <w:b/>
              </w:rPr>
              <w:t>)</w:t>
            </w:r>
          </w:p>
        </w:tc>
      </w:tr>
      <w:bookmarkEnd w:id="10"/>
    </w:tbl>
    <w:p w:rsidR="00645849" w:rsidRPr="00B15311" w:rsidRDefault="00645849" w:rsidP="00DA1C81"/>
    <w:p w:rsidR="00C212A7" w:rsidRPr="00B15311" w:rsidRDefault="00C212A7" w:rsidP="00DA1C81">
      <w:pPr>
        <w:ind w:left="567" w:hanging="567"/>
      </w:pPr>
      <w:r w:rsidRPr="00B15311">
        <w:t>1.</w:t>
      </w:r>
      <w:r w:rsidRPr="00B15311">
        <w:tab/>
        <w:t xml:space="preserve">On </w:t>
      </w:r>
      <w:r w:rsidR="000846C7" w:rsidRPr="00B15311">
        <w:t>14</w:t>
      </w:r>
      <w:r w:rsidRPr="00B15311">
        <w:t xml:space="preserve"> </w:t>
      </w:r>
      <w:r w:rsidR="000846C7" w:rsidRPr="00B15311">
        <w:t>October</w:t>
      </w:r>
      <w:r w:rsidRPr="00B15311">
        <w:t xml:space="preserve"> 200</w:t>
      </w:r>
      <w:r w:rsidR="000846C7" w:rsidRPr="00B15311">
        <w:t>4</w:t>
      </w:r>
      <w:r w:rsidRPr="00B15311">
        <w:t xml:space="preserve"> </w:t>
      </w:r>
      <w:r w:rsidRPr="00B15311">
        <w:rPr>
          <w:u w:val="single"/>
        </w:rPr>
        <w:t>the Commission</w:t>
      </w:r>
      <w:r w:rsidRPr="00B15311">
        <w:t xml:space="preserve"> forwarded the above proposal</w:t>
      </w:r>
      <w:r w:rsidR="00DA1C81" w:rsidRPr="00B15311">
        <w:t> </w:t>
      </w:r>
      <w:r w:rsidR="00DA1C81" w:rsidRPr="00B15311">
        <w:rPr>
          <w:rStyle w:val="Fotnotsreferens"/>
        </w:rPr>
        <w:footnoteReference w:id="1"/>
      </w:r>
      <w:r w:rsidRPr="00B15311">
        <w:t>, based on Article 95 TEC, to the Council.</w:t>
      </w:r>
    </w:p>
    <w:p w:rsidR="00C212A7" w:rsidRPr="00B15311" w:rsidRDefault="00C212A7" w:rsidP="00DA1C81"/>
    <w:p w:rsidR="00C212A7" w:rsidRPr="00B15311" w:rsidRDefault="00C212A7" w:rsidP="00DA1C81">
      <w:r w:rsidRPr="00B15311">
        <w:t>2.</w:t>
      </w:r>
      <w:r w:rsidRPr="00B15311">
        <w:tab/>
      </w:r>
      <w:r w:rsidRPr="00B15311">
        <w:rPr>
          <w:u w:val="single"/>
        </w:rPr>
        <w:t>The Economic and Social Committee</w:t>
      </w:r>
      <w:r w:rsidRPr="00B15311">
        <w:t xml:space="preserve"> </w:t>
      </w:r>
      <w:r w:rsidR="003D2183" w:rsidRPr="00B15311">
        <w:t>delivered its O</w:t>
      </w:r>
      <w:r w:rsidRPr="00B15311">
        <w:t xml:space="preserve">pinion on </w:t>
      </w:r>
      <w:r w:rsidR="000846C7" w:rsidRPr="00B15311">
        <w:t>6</w:t>
      </w:r>
      <w:r w:rsidRPr="00B15311">
        <w:t xml:space="preserve"> </w:t>
      </w:r>
      <w:r w:rsidR="000846C7" w:rsidRPr="00B15311">
        <w:t>April</w:t>
      </w:r>
      <w:r w:rsidRPr="00B15311">
        <w:t xml:space="preserve"> 200</w:t>
      </w:r>
      <w:r w:rsidR="000846C7" w:rsidRPr="00B15311">
        <w:t>5</w:t>
      </w:r>
      <w:r w:rsidR="00D75C5C" w:rsidRPr="00B15311">
        <w:t> </w:t>
      </w:r>
      <w:r w:rsidR="00D75C5C" w:rsidRPr="00B15311">
        <w:rPr>
          <w:rStyle w:val="Fotnotsreferens"/>
        </w:rPr>
        <w:footnoteReference w:id="2"/>
      </w:r>
      <w:r w:rsidRPr="00B15311">
        <w:t>.</w:t>
      </w:r>
    </w:p>
    <w:p w:rsidR="00C212A7" w:rsidRPr="00B15311" w:rsidRDefault="00C212A7" w:rsidP="00DA1C81"/>
    <w:p w:rsidR="00D75C5C" w:rsidRPr="00B15311" w:rsidRDefault="00D75C5C" w:rsidP="00D75C5C">
      <w:pPr>
        <w:pStyle w:val="Par-number11"/>
        <w:numPr>
          <w:ilvl w:val="0"/>
          <w:numId w:val="0"/>
        </w:numPr>
        <w:ind w:left="567" w:hanging="567"/>
        <w:rPr>
          <w:szCs w:val="24"/>
        </w:rPr>
      </w:pPr>
      <w:r w:rsidRPr="00B15311">
        <w:t>3.</w:t>
      </w:r>
      <w:r w:rsidRPr="00B15311">
        <w:tab/>
      </w:r>
      <w:r w:rsidRPr="00B15311">
        <w:rPr>
          <w:szCs w:val="24"/>
        </w:rPr>
        <w:t>In accordance with the joint declaration on practical arrangements for the codecision procedure</w:t>
      </w:r>
      <w:r w:rsidR="004634AB" w:rsidRPr="00B15311">
        <w:rPr>
          <w:szCs w:val="24"/>
        </w:rPr>
        <w:t> </w:t>
      </w:r>
      <w:r w:rsidRPr="00B15311">
        <w:rPr>
          <w:rStyle w:val="Fotnotsreferens"/>
          <w:szCs w:val="24"/>
        </w:rPr>
        <w:footnoteReference w:id="3"/>
      </w:r>
      <w:r w:rsidRPr="00B15311">
        <w:rPr>
          <w:szCs w:val="24"/>
        </w:rPr>
        <w:t>, informal talks were held between the Council, the European Parliament and the Commission with a view to reaching agreement at first reading.</w:t>
      </w:r>
    </w:p>
    <w:p w:rsidR="00D75C5C" w:rsidRPr="00B15311" w:rsidRDefault="00D75C5C" w:rsidP="00DA1C81">
      <w:r w:rsidRPr="00B15311">
        <w:br w:type="page"/>
      </w:r>
    </w:p>
    <w:p w:rsidR="00C212A7" w:rsidRPr="00B15311" w:rsidRDefault="00D75C5C" w:rsidP="00690B44">
      <w:pPr>
        <w:ind w:left="567" w:hanging="567"/>
      </w:pPr>
      <w:r w:rsidRPr="00B15311">
        <w:t>4</w:t>
      </w:r>
      <w:r w:rsidR="00C212A7" w:rsidRPr="00B15311">
        <w:t>.</w:t>
      </w:r>
      <w:r w:rsidR="00C212A7" w:rsidRPr="00B15311">
        <w:tab/>
      </w:r>
      <w:r w:rsidR="00A76171" w:rsidRPr="00B15311">
        <w:rPr>
          <w:u w:val="single"/>
        </w:rPr>
        <w:t>The Permanent Representatives Committee</w:t>
      </w:r>
      <w:r w:rsidR="00A76171" w:rsidRPr="00B15311">
        <w:t xml:space="preserve"> examined the outstanding questions and agreed </w:t>
      </w:r>
      <w:r w:rsidR="00E43A1D" w:rsidRPr="00B15311">
        <w:t xml:space="preserve">by qualified majority </w:t>
      </w:r>
      <w:r w:rsidR="00A76171" w:rsidRPr="00B15311">
        <w:t>on a compromise text to be sent to the European Parliament in view of an agreement in first reading on 14 October 2005. The results of its deliberations can be found in document 13346/05.</w:t>
      </w:r>
    </w:p>
    <w:p w:rsidR="00690B44" w:rsidRPr="00B15311" w:rsidRDefault="00690B44" w:rsidP="00690B44">
      <w:pPr>
        <w:ind w:left="567" w:hanging="567"/>
      </w:pPr>
    </w:p>
    <w:p w:rsidR="00D75C5C" w:rsidRPr="00B15311" w:rsidRDefault="009062DA" w:rsidP="00D75C5C">
      <w:pPr>
        <w:ind w:left="567" w:hanging="567"/>
        <w:rPr>
          <w:szCs w:val="24"/>
        </w:rPr>
      </w:pPr>
      <w:r w:rsidRPr="00B15311">
        <w:rPr>
          <w:szCs w:val="24"/>
        </w:rPr>
        <w:t>5</w:t>
      </w:r>
      <w:r w:rsidR="00D75C5C" w:rsidRPr="00B15311">
        <w:rPr>
          <w:szCs w:val="24"/>
        </w:rPr>
        <w:t>.</w:t>
      </w:r>
      <w:r w:rsidR="00D75C5C" w:rsidRPr="00B15311">
        <w:rPr>
          <w:szCs w:val="24"/>
        </w:rPr>
        <w:tab/>
        <w:t xml:space="preserve">The </w:t>
      </w:r>
      <w:r w:rsidR="00D75C5C" w:rsidRPr="00B15311">
        <w:rPr>
          <w:szCs w:val="24"/>
          <w:u w:val="single"/>
        </w:rPr>
        <w:t>European Parliament</w:t>
      </w:r>
      <w:r w:rsidR="00D75C5C" w:rsidRPr="00B15311">
        <w:rPr>
          <w:szCs w:val="24"/>
        </w:rPr>
        <w:t xml:space="preserve"> delivered its first-reading opinion on </w:t>
      </w:r>
      <w:r w:rsidR="004634AB" w:rsidRPr="00B15311">
        <w:rPr>
          <w:szCs w:val="24"/>
        </w:rPr>
        <w:t>26 October 2005</w:t>
      </w:r>
      <w:r w:rsidR="00D75C5C" w:rsidRPr="00B15311">
        <w:rPr>
          <w:szCs w:val="24"/>
        </w:rPr>
        <w:t xml:space="preserve">, passing </w:t>
      </w:r>
      <w:r w:rsidR="004634AB" w:rsidRPr="00B15311">
        <w:rPr>
          <w:szCs w:val="24"/>
        </w:rPr>
        <w:t>25</w:t>
      </w:r>
      <w:r w:rsidR="00D75C5C" w:rsidRPr="00B15311">
        <w:rPr>
          <w:szCs w:val="24"/>
        </w:rPr>
        <w:t> amendments to the Commission proposal.  The outcome of voting in the European Parliament reflects the compromise struck between institutions and should thus be acceptable to the Council</w:t>
      </w:r>
      <w:r w:rsidR="004634AB" w:rsidRPr="00B15311">
        <w:rPr>
          <w:szCs w:val="24"/>
        </w:rPr>
        <w:t> </w:t>
      </w:r>
      <w:r w:rsidR="00D75C5C" w:rsidRPr="00B15311">
        <w:rPr>
          <w:rStyle w:val="Fotnotsreferens"/>
          <w:szCs w:val="24"/>
        </w:rPr>
        <w:footnoteReference w:id="4"/>
      </w:r>
      <w:r w:rsidR="00D75C5C" w:rsidRPr="00B15311">
        <w:rPr>
          <w:szCs w:val="24"/>
        </w:rPr>
        <w:t>.</w:t>
      </w:r>
    </w:p>
    <w:p w:rsidR="00D75C5C" w:rsidRPr="00B15311" w:rsidRDefault="00D75C5C" w:rsidP="00D75C5C">
      <w:pPr>
        <w:ind w:left="567" w:hanging="567"/>
      </w:pPr>
    </w:p>
    <w:p w:rsidR="00FB6124" w:rsidRPr="00B15311" w:rsidRDefault="00D75C5C" w:rsidP="00FB6124">
      <w:pPr>
        <w:ind w:left="567" w:hanging="567"/>
        <w:rPr>
          <w:szCs w:val="24"/>
        </w:rPr>
      </w:pPr>
      <w:r w:rsidRPr="00B15311">
        <w:t>6</w:t>
      </w:r>
      <w:r w:rsidR="003D2183" w:rsidRPr="00B15311">
        <w:t>.</w:t>
      </w:r>
      <w:r w:rsidR="003D2183" w:rsidRPr="00B15311">
        <w:tab/>
      </w:r>
      <w:r w:rsidR="003D2183" w:rsidRPr="00B15311">
        <w:rPr>
          <w:u w:val="single"/>
        </w:rPr>
        <w:t xml:space="preserve">The </w:t>
      </w:r>
      <w:r w:rsidR="00FB6124" w:rsidRPr="00B15311">
        <w:rPr>
          <w:szCs w:val="24"/>
          <w:u w:val="single"/>
        </w:rPr>
        <w:t>Permanent Representatives Committee</w:t>
      </w:r>
      <w:r w:rsidR="00FB6124" w:rsidRPr="00B15311">
        <w:rPr>
          <w:szCs w:val="24"/>
        </w:rPr>
        <w:t xml:space="preserve"> is therefore asked to confirm agreement and advise the Council:</w:t>
      </w:r>
    </w:p>
    <w:p w:rsidR="00FB6124" w:rsidRPr="00B15311" w:rsidRDefault="00FB6124" w:rsidP="00FB6124">
      <w:pPr>
        <w:ind w:left="567" w:hanging="567"/>
        <w:rPr>
          <w:szCs w:val="24"/>
        </w:rPr>
      </w:pPr>
    </w:p>
    <w:p w:rsidR="00577AFD" w:rsidRPr="00B15311" w:rsidRDefault="00577AFD" w:rsidP="009062DA">
      <w:pPr>
        <w:ind w:left="1134" w:hanging="567"/>
      </w:pPr>
      <w:r w:rsidRPr="00B15311">
        <w:t>-</w:t>
      </w:r>
      <w:r w:rsidRPr="00B15311">
        <w:tab/>
        <w:t>to adopt</w:t>
      </w:r>
      <w:r w:rsidR="009062DA" w:rsidRPr="00B15311">
        <w:t>,</w:t>
      </w:r>
      <w:r w:rsidRPr="00B15311">
        <w:t xml:space="preserve"> as a "</w:t>
      </w:r>
      <w:r w:rsidR="009062DA" w:rsidRPr="00B15311">
        <w:t>B</w:t>
      </w:r>
      <w:r w:rsidRPr="00B15311">
        <w:t xml:space="preserve">" item on the agenda for a forthcoming meeting, </w:t>
      </w:r>
      <w:r w:rsidR="009062DA" w:rsidRPr="00B15311">
        <w:t xml:space="preserve">the Directive </w:t>
      </w:r>
      <w:r w:rsidRPr="00B15311">
        <w:t>as contained in PE-CONS 3663/05;</w:t>
      </w:r>
    </w:p>
    <w:p w:rsidR="003D2183" w:rsidRPr="00B15311" w:rsidRDefault="003D2183" w:rsidP="00DA1C81"/>
    <w:p w:rsidR="00577AFD" w:rsidRPr="00B15311" w:rsidRDefault="00577AFD" w:rsidP="00577AFD">
      <w:r w:rsidRPr="00B15311">
        <w:tab/>
        <w:t>-</w:t>
      </w:r>
      <w:r w:rsidRPr="00B15311">
        <w:tab/>
        <w:t>decide to enter the statement</w:t>
      </w:r>
      <w:r w:rsidR="00EE408F" w:rsidRPr="00B15311">
        <w:t>s</w:t>
      </w:r>
      <w:r w:rsidRPr="00B15311">
        <w:t xml:space="preserve"> contained in the </w:t>
      </w:r>
      <w:r w:rsidRPr="00B15311">
        <w:rPr>
          <w:u w:val="single"/>
        </w:rPr>
        <w:t>Addendum</w:t>
      </w:r>
      <w:r w:rsidRPr="00B15311">
        <w:t xml:space="preserve"> to this note in the minutes of </w:t>
      </w:r>
      <w:r w:rsidRPr="00B15311">
        <w:tab/>
      </w:r>
      <w:r w:rsidRPr="00B15311">
        <w:tab/>
        <w:t>that meeting.</w:t>
      </w:r>
    </w:p>
    <w:p w:rsidR="00645849" w:rsidRPr="00B15311" w:rsidRDefault="00645849" w:rsidP="00DA1C81"/>
    <w:p w:rsidR="00732EE9" w:rsidRPr="00B15311" w:rsidRDefault="00732EE9" w:rsidP="00732EE9">
      <w:pPr>
        <w:ind w:left="567"/>
        <w:rPr>
          <w:szCs w:val="24"/>
        </w:rPr>
      </w:pPr>
      <w:r w:rsidRPr="00B15311">
        <w:rPr>
          <w:szCs w:val="24"/>
        </w:rPr>
        <w:t>Once signed by the President of the European Parliament, the President of the Council and the Secretaries</w:t>
      </w:r>
      <w:r w:rsidR="00577AFD" w:rsidRPr="00B15311">
        <w:rPr>
          <w:szCs w:val="24"/>
        </w:rPr>
        <w:t>-</w:t>
      </w:r>
      <w:r w:rsidRPr="00B15311">
        <w:rPr>
          <w:szCs w:val="24"/>
        </w:rPr>
        <w:t>General of the two institutions, the legislative act will be published in the Official Journal of the European Union.</w:t>
      </w:r>
    </w:p>
    <w:p w:rsidR="00732EE9" w:rsidRPr="00B15311" w:rsidRDefault="00732EE9" w:rsidP="00DA1C81"/>
    <w:p w:rsidR="003D2183" w:rsidRPr="00B15311" w:rsidRDefault="003D2183" w:rsidP="00DA1C81"/>
    <w:p w:rsidR="00DA1C81" w:rsidRPr="00B15311" w:rsidRDefault="00DA1C81" w:rsidP="00DA1C81">
      <w:pPr>
        <w:spacing w:line="240" w:lineRule="auto"/>
        <w:jc w:val="center"/>
        <w:rPr>
          <w:u w:val="double"/>
        </w:rPr>
      </w:pPr>
      <w:r w:rsidRPr="00B15311">
        <w:rPr>
          <w:u w:val="double"/>
        </w:rPr>
        <w:tab/>
      </w:r>
      <w:r w:rsidRPr="00B15311">
        <w:rPr>
          <w:u w:val="double"/>
        </w:rPr>
        <w:tab/>
      </w:r>
      <w:r w:rsidRPr="00B15311">
        <w:rPr>
          <w:u w:val="double"/>
        </w:rPr>
        <w:tab/>
      </w:r>
      <w:r w:rsidRPr="00B15311">
        <w:rPr>
          <w:u w:val="double"/>
        </w:rPr>
        <w:tab/>
      </w:r>
    </w:p>
    <w:p w:rsidR="00645849" w:rsidRPr="00B15311" w:rsidRDefault="00645849" w:rsidP="00DA1C81"/>
    <w:sectPr w:rsidR="00645849" w:rsidRPr="00B15311">
      <w:footerReference w:type="default" r:id="rId8"/>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94D" w:rsidRPr="00B15311" w:rsidRDefault="00CB494D">
      <w:r w:rsidRPr="00B15311">
        <w:separator/>
      </w:r>
    </w:p>
  </w:endnote>
  <w:endnote w:type="continuationSeparator" w:id="0">
    <w:p w:rsidR="00CB494D" w:rsidRPr="00B15311" w:rsidRDefault="00CB494D">
      <w:r w:rsidRPr="00B15311">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886" w:rsidRPr="00B15311" w:rsidRDefault="00660886">
    <w:pPr>
      <w:pStyle w:val="Sidfot"/>
      <w:pBdr>
        <w:bottom w:val="single" w:sz="4" w:space="1" w:color="auto"/>
      </w:pBdr>
      <w:spacing w:after="60"/>
    </w:pPr>
  </w:p>
  <w:p w:rsidR="00660886" w:rsidRPr="00B15311" w:rsidRDefault="00D75C5C">
    <w:pPr>
      <w:pStyle w:val="Sidfot"/>
    </w:pPr>
    <w:bookmarkStart w:id="17" w:name="CoteFooter"/>
    <w:bookmarkEnd w:id="17"/>
    <w:r w:rsidRPr="00B15311">
      <w:t>9283</w:t>
    </w:r>
    <w:r w:rsidR="00660886" w:rsidRPr="00B15311">
      <w:t>/0</w:t>
    </w:r>
    <w:r w:rsidR="00995AAA" w:rsidRPr="00B15311">
      <w:t>6</w:t>
    </w:r>
    <w:r w:rsidR="00660886" w:rsidRPr="00B15311">
      <w:tab/>
    </w:r>
    <w:bookmarkStart w:id="18" w:name="SuplCote"/>
    <w:bookmarkEnd w:id="18"/>
    <w:r w:rsidR="00660886" w:rsidRPr="00B15311">
      <w:tab/>
    </w:r>
    <w:bookmarkStart w:id="19" w:name="Init"/>
    <w:bookmarkEnd w:id="19"/>
    <w:r w:rsidR="00F97C93" w:rsidRPr="00B15311">
      <w:t>JDC/ec</w:t>
    </w:r>
    <w:r w:rsidR="00660886" w:rsidRPr="00B15311">
      <w:tab/>
    </w:r>
    <w:r w:rsidR="00660886" w:rsidRPr="00B15311">
      <w:rPr>
        <w:rStyle w:val="Sidnummer"/>
      </w:rPr>
      <w:fldChar w:fldCharType="begin" w:fldLock="1"/>
    </w:r>
    <w:r w:rsidR="00660886" w:rsidRPr="00B15311">
      <w:rPr>
        <w:rStyle w:val="Sidnummer"/>
      </w:rPr>
      <w:instrText xml:space="preserve"> PAGE </w:instrText>
    </w:r>
    <w:r w:rsidR="00660886" w:rsidRPr="00B15311">
      <w:rPr>
        <w:rStyle w:val="Sidnummer"/>
      </w:rPr>
      <w:fldChar w:fldCharType="separate"/>
    </w:r>
    <w:r w:rsidR="00FA05D2" w:rsidRPr="00B15311">
      <w:rPr>
        <w:rStyle w:val="Sidnummer"/>
      </w:rPr>
      <w:t>1</w:t>
    </w:r>
    <w:r w:rsidR="00660886" w:rsidRPr="00B15311">
      <w:rPr>
        <w:rStyle w:val="Sidnummer"/>
      </w:rPr>
      <w:fldChar w:fldCharType="end"/>
    </w:r>
  </w:p>
  <w:p w:rsidR="00660886" w:rsidRPr="00B15311" w:rsidRDefault="00660886">
    <w:pPr>
      <w:pStyle w:val="Sidfot"/>
      <w:tabs>
        <w:tab w:val="clear" w:pos="7371"/>
      </w:tabs>
      <w:spacing w:line="280" w:lineRule="exact"/>
    </w:pPr>
    <w:r w:rsidRPr="00B15311">
      <w:tab/>
    </w:r>
    <w:bookmarkStart w:id="20" w:name="DG"/>
    <w:bookmarkEnd w:id="20"/>
    <w:r w:rsidR="00D75C5C" w:rsidRPr="00B15311">
      <w:t>JUR</w:t>
    </w:r>
    <w:r w:rsidRPr="00B15311">
      <w:tab/>
    </w:r>
    <w:bookmarkStart w:id="21" w:name="FooterCoteSec"/>
    <w:r w:rsidRPr="00B15311">
      <w:rPr>
        <w:b/>
        <w:position w:val="-4"/>
        <w:sz w:val="36"/>
      </w:rPr>
      <w:t xml:space="preserve"> </w:t>
    </w:r>
    <w:bookmarkEnd w:id="21"/>
    <w:r w:rsidRPr="00B15311">
      <w:rPr>
        <w:b/>
        <w:position w:val="-4"/>
        <w:sz w:val="36"/>
      </w:rPr>
      <w:t> </w:t>
    </w:r>
    <w:bookmarkStart w:id="22" w:name="Langue"/>
    <w:r w:rsidRPr="00B15311">
      <w:rPr>
        <w:b/>
        <w:position w:val="-4"/>
        <w:sz w:val="36"/>
      </w:rPr>
      <w:t>EN</w:t>
    </w:r>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94D" w:rsidRPr="00B15311" w:rsidRDefault="00CB494D">
      <w:pPr>
        <w:pStyle w:val="Fotnotstext"/>
      </w:pPr>
      <w:r w:rsidRPr="00B15311">
        <w:separator/>
      </w:r>
    </w:p>
  </w:footnote>
  <w:footnote w:type="continuationSeparator" w:id="0">
    <w:p w:rsidR="00CB494D" w:rsidRPr="00B15311" w:rsidRDefault="00CB494D">
      <w:pPr>
        <w:pStyle w:val="Fotnotstext"/>
      </w:pPr>
      <w:r w:rsidRPr="00B15311">
        <w:separator/>
      </w:r>
    </w:p>
  </w:footnote>
  <w:footnote w:id="1">
    <w:p w:rsidR="00DA1C81" w:rsidRPr="00B15311" w:rsidRDefault="00DA1C81">
      <w:pPr>
        <w:pStyle w:val="Fotnotstext"/>
      </w:pPr>
      <w:r w:rsidRPr="00B15311">
        <w:rPr>
          <w:rStyle w:val="Fotnotsreferens"/>
        </w:rPr>
        <w:footnoteRef/>
      </w:r>
      <w:r w:rsidRPr="00B15311">
        <w:t xml:space="preserve"> </w:t>
      </w:r>
      <w:r w:rsidRPr="00B15311">
        <w:tab/>
      </w:r>
      <w:r w:rsidR="00995AAA" w:rsidRPr="00B15311">
        <w:t xml:space="preserve">13489/04 </w:t>
      </w:r>
    </w:p>
  </w:footnote>
  <w:footnote w:id="2">
    <w:p w:rsidR="00D75C5C" w:rsidRPr="00B15311" w:rsidRDefault="00D75C5C">
      <w:pPr>
        <w:pStyle w:val="Fotnotstext"/>
      </w:pPr>
      <w:r w:rsidRPr="00B15311">
        <w:rPr>
          <w:rStyle w:val="Fotnotsreferens"/>
        </w:rPr>
        <w:footnoteRef/>
      </w:r>
      <w:r w:rsidRPr="00B15311">
        <w:tab/>
        <w:t>O</w:t>
      </w:r>
      <w:r w:rsidR="004601ED" w:rsidRPr="00B15311">
        <w:t>J</w:t>
      </w:r>
      <w:r w:rsidRPr="00B15311">
        <w:t xml:space="preserve"> C 255, 14.10.2005, p. 59.</w:t>
      </w:r>
    </w:p>
  </w:footnote>
  <w:footnote w:id="3">
    <w:p w:rsidR="00D75C5C" w:rsidRPr="00B15311" w:rsidRDefault="00D75C5C" w:rsidP="00D75C5C">
      <w:pPr>
        <w:pStyle w:val="Fotnotstext"/>
      </w:pPr>
      <w:r w:rsidRPr="00B15311">
        <w:rPr>
          <w:rStyle w:val="Fotnotsreferens"/>
        </w:rPr>
        <w:footnoteRef/>
      </w:r>
      <w:r w:rsidRPr="00B15311">
        <w:tab/>
        <w:t>OJ C 148, 28.5.1999, p. 1.</w:t>
      </w:r>
    </w:p>
  </w:footnote>
  <w:footnote w:id="4">
    <w:p w:rsidR="00D75C5C" w:rsidRPr="00B15311" w:rsidRDefault="00D75C5C" w:rsidP="00D75C5C">
      <w:pPr>
        <w:pStyle w:val="Fotnotstext"/>
      </w:pPr>
      <w:r w:rsidRPr="00B15311">
        <w:rPr>
          <w:rStyle w:val="Fotnotsreferens"/>
        </w:rPr>
        <w:footnoteRef/>
      </w:r>
      <w:r w:rsidRPr="00B15311">
        <w:tab/>
      </w:r>
      <w:r w:rsidR="00E4640E" w:rsidRPr="00B15311">
        <w:t>13689/05</w:t>
      </w:r>
      <w:r w:rsidRPr="00B1531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3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0"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1"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365450246">
    <w:abstractNumId w:val="9"/>
  </w:num>
  <w:num w:numId="2" w16cid:durableId="1056507895">
    <w:abstractNumId w:val="7"/>
  </w:num>
  <w:num w:numId="3" w16cid:durableId="1305695242">
    <w:abstractNumId w:val="6"/>
  </w:num>
  <w:num w:numId="4" w16cid:durableId="1225339006">
    <w:abstractNumId w:val="5"/>
  </w:num>
  <w:num w:numId="5" w16cid:durableId="2076313352">
    <w:abstractNumId w:val="4"/>
  </w:num>
  <w:num w:numId="6" w16cid:durableId="1795171597">
    <w:abstractNumId w:val="8"/>
  </w:num>
  <w:num w:numId="7" w16cid:durableId="176240259">
    <w:abstractNumId w:val="3"/>
  </w:num>
  <w:num w:numId="8" w16cid:durableId="211310292">
    <w:abstractNumId w:val="2"/>
  </w:num>
  <w:num w:numId="9" w16cid:durableId="974065373">
    <w:abstractNumId w:val="1"/>
  </w:num>
  <w:num w:numId="10" w16cid:durableId="1707027118">
    <w:abstractNumId w:val="0"/>
  </w:num>
  <w:num w:numId="11" w16cid:durableId="46415724">
    <w:abstractNumId w:val="25"/>
  </w:num>
  <w:num w:numId="12" w16cid:durableId="1126895390">
    <w:abstractNumId w:val="42"/>
  </w:num>
  <w:num w:numId="13" w16cid:durableId="842937004">
    <w:abstractNumId w:val="40"/>
  </w:num>
  <w:num w:numId="14" w16cid:durableId="889461024">
    <w:abstractNumId w:val="31"/>
  </w:num>
  <w:num w:numId="15" w16cid:durableId="275598650">
    <w:abstractNumId w:val="13"/>
  </w:num>
  <w:num w:numId="16" w16cid:durableId="1922062144">
    <w:abstractNumId w:val="33"/>
  </w:num>
  <w:num w:numId="17" w16cid:durableId="1747335611">
    <w:abstractNumId w:val="21"/>
  </w:num>
  <w:num w:numId="18" w16cid:durableId="59601318">
    <w:abstractNumId w:val="15"/>
  </w:num>
  <w:num w:numId="19" w16cid:durableId="951588867">
    <w:abstractNumId w:val="14"/>
  </w:num>
  <w:num w:numId="20" w16cid:durableId="1659381128">
    <w:abstractNumId w:val="14"/>
  </w:num>
  <w:num w:numId="21" w16cid:durableId="345138469">
    <w:abstractNumId w:val="14"/>
  </w:num>
  <w:num w:numId="22" w16cid:durableId="2066028380">
    <w:abstractNumId w:val="14"/>
  </w:num>
  <w:num w:numId="23" w16cid:durableId="1460759350">
    <w:abstractNumId w:val="14"/>
  </w:num>
  <w:num w:numId="24" w16cid:durableId="1266307607">
    <w:abstractNumId w:val="14"/>
  </w:num>
  <w:num w:numId="25" w16cid:durableId="2085176678">
    <w:abstractNumId w:val="14"/>
  </w:num>
  <w:num w:numId="26" w16cid:durableId="495615729">
    <w:abstractNumId w:val="14"/>
  </w:num>
  <w:num w:numId="27" w16cid:durableId="666135773">
    <w:abstractNumId w:val="14"/>
  </w:num>
  <w:num w:numId="28" w16cid:durableId="880829223">
    <w:abstractNumId w:val="14"/>
  </w:num>
  <w:num w:numId="29" w16cid:durableId="266891617">
    <w:abstractNumId w:val="14"/>
  </w:num>
  <w:num w:numId="30" w16cid:durableId="1752391397">
    <w:abstractNumId w:val="14"/>
  </w:num>
  <w:num w:numId="31" w16cid:durableId="1159075280">
    <w:abstractNumId w:val="14"/>
  </w:num>
  <w:num w:numId="32" w16cid:durableId="133644462">
    <w:abstractNumId w:val="14"/>
  </w:num>
  <w:num w:numId="33" w16cid:durableId="194314678">
    <w:abstractNumId w:val="14"/>
  </w:num>
  <w:num w:numId="34" w16cid:durableId="1067612043">
    <w:abstractNumId w:val="14"/>
  </w:num>
  <w:num w:numId="35" w16cid:durableId="1654136305">
    <w:abstractNumId w:val="14"/>
  </w:num>
  <w:num w:numId="36" w16cid:durableId="1272667727">
    <w:abstractNumId w:val="14"/>
  </w:num>
  <w:num w:numId="37" w16cid:durableId="1343823677">
    <w:abstractNumId w:val="37"/>
  </w:num>
  <w:num w:numId="38" w16cid:durableId="272713804">
    <w:abstractNumId w:val="39"/>
  </w:num>
  <w:num w:numId="39" w16cid:durableId="1042095598">
    <w:abstractNumId w:val="32"/>
  </w:num>
  <w:num w:numId="40" w16cid:durableId="2106681435">
    <w:abstractNumId w:val="35"/>
  </w:num>
  <w:num w:numId="41" w16cid:durableId="923219203">
    <w:abstractNumId w:val="24"/>
  </w:num>
  <w:num w:numId="42" w16cid:durableId="1742679243">
    <w:abstractNumId w:val="44"/>
  </w:num>
  <w:num w:numId="43" w16cid:durableId="625547526">
    <w:abstractNumId w:val="30"/>
  </w:num>
  <w:num w:numId="44" w16cid:durableId="707610896">
    <w:abstractNumId w:val="23"/>
  </w:num>
  <w:num w:numId="45" w16cid:durableId="984043424">
    <w:abstractNumId w:val="26"/>
  </w:num>
  <w:num w:numId="46" w16cid:durableId="1697803664">
    <w:abstractNumId w:val="43"/>
  </w:num>
  <w:num w:numId="47" w16cid:durableId="259221222">
    <w:abstractNumId w:val="11"/>
  </w:num>
  <w:num w:numId="48" w16cid:durableId="1603954820">
    <w:abstractNumId w:val="16"/>
  </w:num>
  <w:num w:numId="49" w16cid:durableId="1466968764">
    <w:abstractNumId w:val="14"/>
  </w:num>
  <w:num w:numId="50" w16cid:durableId="1000894269">
    <w:abstractNumId w:val="14"/>
  </w:num>
  <w:num w:numId="51" w16cid:durableId="1346513009">
    <w:abstractNumId w:val="14"/>
  </w:num>
  <w:num w:numId="52" w16cid:durableId="1033962582">
    <w:abstractNumId w:val="14"/>
  </w:num>
  <w:num w:numId="53" w16cid:durableId="118495331">
    <w:abstractNumId w:val="14"/>
  </w:num>
  <w:num w:numId="54" w16cid:durableId="1207639364">
    <w:abstractNumId w:val="14"/>
  </w:num>
  <w:num w:numId="55" w16cid:durableId="2130929649">
    <w:abstractNumId w:val="14"/>
  </w:num>
  <w:num w:numId="56" w16cid:durableId="1694454541">
    <w:abstractNumId w:val="14"/>
  </w:num>
  <w:num w:numId="57" w16cid:durableId="1325741834">
    <w:abstractNumId w:val="14"/>
  </w:num>
  <w:num w:numId="58" w16cid:durableId="716396650">
    <w:abstractNumId w:val="44"/>
  </w:num>
  <w:num w:numId="59" w16cid:durableId="753624623">
    <w:abstractNumId w:val="30"/>
  </w:num>
  <w:num w:numId="60" w16cid:durableId="1510371022">
    <w:abstractNumId w:val="23"/>
  </w:num>
  <w:num w:numId="61" w16cid:durableId="582955759">
    <w:abstractNumId w:val="26"/>
  </w:num>
  <w:num w:numId="62" w16cid:durableId="709382495">
    <w:abstractNumId w:val="43"/>
  </w:num>
  <w:num w:numId="63" w16cid:durableId="1788160782">
    <w:abstractNumId w:val="11"/>
  </w:num>
  <w:num w:numId="64" w16cid:durableId="1730418162">
    <w:abstractNumId w:val="16"/>
  </w:num>
  <w:num w:numId="65" w16cid:durableId="153500340">
    <w:abstractNumId w:val="22"/>
  </w:num>
  <w:num w:numId="66" w16cid:durableId="1343167163">
    <w:abstractNumId w:val="12"/>
  </w:num>
  <w:num w:numId="67" w16cid:durableId="681320826">
    <w:abstractNumId w:val="21"/>
  </w:num>
  <w:num w:numId="68" w16cid:durableId="2124642370">
    <w:abstractNumId w:val="28"/>
  </w:num>
  <w:num w:numId="69" w16cid:durableId="1085760960">
    <w:abstractNumId w:val="19"/>
  </w:num>
  <w:num w:numId="70" w16cid:durableId="1219827279">
    <w:abstractNumId w:val="20"/>
  </w:num>
  <w:num w:numId="71" w16cid:durableId="261836625">
    <w:abstractNumId w:val="19"/>
  </w:num>
  <w:num w:numId="72" w16cid:durableId="195893156">
    <w:abstractNumId w:val="14"/>
  </w:num>
  <w:num w:numId="73" w16cid:durableId="312175748">
    <w:abstractNumId w:val="14"/>
  </w:num>
  <w:num w:numId="74" w16cid:durableId="1201435189">
    <w:abstractNumId w:val="14"/>
  </w:num>
  <w:num w:numId="75" w16cid:durableId="519901547">
    <w:abstractNumId w:val="14"/>
  </w:num>
  <w:num w:numId="76" w16cid:durableId="1529445902">
    <w:abstractNumId w:val="14"/>
  </w:num>
  <w:num w:numId="77" w16cid:durableId="1050037409">
    <w:abstractNumId w:val="14"/>
  </w:num>
  <w:num w:numId="78" w16cid:durableId="1895582818">
    <w:abstractNumId w:val="14"/>
  </w:num>
  <w:num w:numId="79" w16cid:durableId="427122502">
    <w:abstractNumId w:val="14"/>
  </w:num>
  <w:num w:numId="80" w16cid:durableId="992413817">
    <w:abstractNumId w:val="14"/>
  </w:num>
  <w:num w:numId="81" w16cid:durableId="956639587">
    <w:abstractNumId w:val="44"/>
  </w:num>
  <w:num w:numId="82" w16cid:durableId="2048408805">
    <w:abstractNumId w:val="16"/>
  </w:num>
  <w:num w:numId="83" w16cid:durableId="1805849737">
    <w:abstractNumId w:val="30"/>
  </w:num>
  <w:num w:numId="84" w16cid:durableId="2146968446">
    <w:abstractNumId w:val="23"/>
  </w:num>
  <w:num w:numId="85" w16cid:durableId="1181505810">
    <w:abstractNumId w:val="19"/>
  </w:num>
  <w:num w:numId="86" w16cid:durableId="1657607827">
    <w:abstractNumId w:val="20"/>
  </w:num>
  <w:num w:numId="87" w16cid:durableId="933778609">
    <w:abstractNumId w:val="19"/>
  </w:num>
  <w:num w:numId="88" w16cid:durableId="1211191274">
    <w:abstractNumId w:val="11"/>
  </w:num>
  <w:num w:numId="89" w16cid:durableId="298919133">
    <w:abstractNumId w:val="43"/>
  </w:num>
  <w:num w:numId="90" w16cid:durableId="1644920771">
    <w:abstractNumId w:val="27"/>
  </w:num>
  <w:num w:numId="91" w16cid:durableId="625703427">
    <w:abstractNumId w:val="28"/>
  </w:num>
  <w:num w:numId="92" w16cid:durableId="638651250">
    <w:abstractNumId w:val="20"/>
  </w:num>
  <w:num w:numId="93" w16cid:durableId="922840767">
    <w:abstractNumId w:val="16"/>
  </w:num>
  <w:num w:numId="94" w16cid:durableId="1650744855">
    <w:abstractNumId w:val="30"/>
  </w:num>
  <w:num w:numId="95" w16cid:durableId="1794325487">
    <w:abstractNumId w:val="44"/>
  </w:num>
  <w:num w:numId="96" w16cid:durableId="2131824020">
    <w:abstractNumId w:val="26"/>
  </w:num>
  <w:num w:numId="97" w16cid:durableId="343215966">
    <w:abstractNumId w:val="18"/>
  </w:num>
  <w:num w:numId="98" w16cid:durableId="846678603">
    <w:abstractNumId w:val="18"/>
  </w:num>
  <w:num w:numId="99" w16cid:durableId="1536503641">
    <w:abstractNumId w:val="18"/>
  </w:num>
  <w:num w:numId="100" w16cid:durableId="520584017">
    <w:abstractNumId w:val="18"/>
  </w:num>
  <w:num w:numId="101" w16cid:durableId="394817240">
    <w:abstractNumId w:val="18"/>
  </w:num>
  <w:num w:numId="102" w16cid:durableId="685791928">
    <w:abstractNumId w:val="18"/>
  </w:num>
  <w:num w:numId="103" w16cid:durableId="250550150">
    <w:abstractNumId w:val="18"/>
  </w:num>
  <w:num w:numId="104" w16cid:durableId="713039227">
    <w:abstractNumId w:val="18"/>
  </w:num>
  <w:num w:numId="105" w16cid:durableId="739864367">
    <w:abstractNumId w:val="18"/>
  </w:num>
  <w:num w:numId="106" w16cid:durableId="993531870">
    <w:abstractNumId w:val="18"/>
  </w:num>
  <w:num w:numId="107" w16cid:durableId="1487477528">
    <w:abstractNumId w:val="18"/>
  </w:num>
  <w:num w:numId="108" w16cid:durableId="358626416">
    <w:abstractNumId w:val="18"/>
  </w:num>
  <w:num w:numId="109" w16cid:durableId="1914194411">
    <w:abstractNumId w:val="18"/>
  </w:num>
  <w:num w:numId="110" w16cid:durableId="1971397423">
    <w:abstractNumId w:val="14"/>
  </w:num>
  <w:num w:numId="111" w16cid:durableId="194320125">
    <w:abstractNumId w:val="14"/>
  </w:num>
  <w:num w:numId="112" w16cid:durableId="702555428">
    <w:abstractNumId w:val="14"/>
  </w:num>
  <w:num w:numId="113" w16cid:durableId="143395531">
    <w:abstractNumId w:val="14"/>
  </w:num>
  <w:num w:numId="114" w16cid:durableId="1129319023">
    <w:abstractNumId w:val="14"/>
  </w:num>
  <w:num w:numId="115" w16cid:durableId="146018376">
    <w:abstractNumId w:val="14"/>
  </w:num>
  <w:num w:numId="116" w16cid:durableId="1014769032">
    <w:abstractNumId w:val="14"/>
  </w:num>
  <w:num w:numId="117" w16cid:durableId="2138445061">
    <w:abstractNumId w:val="14"/>
  </w:num>
  <w:num w:numId="118" w16cid:durableId="378675011">
    <w:abstractNumId w:val="14"/>
  </w:num>
  <w:num w:numId="119" w16cid:durableId="2096585311">
    <w:abstractNumId w:val="14"/>
  </w:num>
  <w:num w:numId="120" w16cid:durableId="742414720">
    <w:abstractNumId w:val="14"/>
  </w:num>
  <w:num w:numId="121" w16cid:durableId="1047220510">
    <w:abstractNumId w:val="14"/>
  </w:num>
  <w:num w:numId="122" w16cid:durableId="714814463">
    <w:abstractNumId w:val="14"/>
  </w:num>
  <w:num w:numId="123" w16cid:durableId="2092240281">
    <w:abstractNumId w:val="14"/>
  </w:num>
  <w:num w:numId="124" w16cid:durableId="1278098036">
    <w:abstractNumId w:val="14"/>
  </w:num>
  <w:num w:numId="125" w16cid:durableId="927083394">
    <w:abstractNumId w:val="14"/>
  </w:num>
  <w:num w:numId="126" w16cid:durableId="1281718038">
    <w:abstractNumId w:val="14"/>
  </w:num>
  <w:num w:numId="127" w16cid:durableId="1441409268">
    <w:abstractNumId w:val="14"/>
  </w:num>
  <w:num w:numId="128" w16cid:durableId="1585604254">
    <w:abstractNumId w:val="27"/>
  </w:num>
  <w:num w:numId="129" w16cid:durableId="234898984">
    <w:abstractNumId w:val="23"/>
  </w:num>
  <w:num w:numId="130" w16cid:durableId="1033845126">
    <w:abstractNumId w:val="14"/>
  </w:num>
  <w:num w:numId="131" w16cid:durableId="2045131333">
    <w:abstractNumId w:val="14"/>
  </w:num>
  <w:num w:numId="132" w16cid:durableId="577327475">
    <w:abstractNumId w:val="14"/>
  </w:num>
  <w:num w:numId="133" w16cid:durableId="1986085466">
    <w:abstractNumId w:val="14"/>
  </w:num>
  <w:num w:numId="134" w16cid:durableId="700088242">
    <w:abstractNumId w:val="14"/>
  </w:num>
  <w:num w:numId="135" w16cid:durableId="791284966">
    <w:abstractNumId w:val="14"/>
  </w:num>
  <w:num w:numId="136" w16cid:durableId="2091005298">
    <w:abstractNumId w:val="14"/>
  </w:num>
  <w:num w:numId="137" w16cid:durableId="219438474">
    <w:abstractNumId w:val="14"/>
  </w:num>
  <w:num w:numId="138" w16cid:durableId="1007757782">
    <w:abstractNumId w:val="14"/>
  </w:num>
  <w:num w:numId="139" w16cid:durableId="803086721">
    <w:abstractNumId w:val="44"/>
  </w:num>
  <w:num w:numId="140" w16cid:durableId="46034898">
    <w:abstractNumId w:val="16"/>
  </w:num>
  <w:num w:numId="141" w16cid:durableId="523640360">
    <w:abstractNumId w:val="30"/>
  </w:num>
  <w:num w:numId="142" w16cid:durableId="710692020">
    <w:abstractNumId w:val="26"/>
  </w:num>
  <w:num w:numId="143" w16cid:durableId="1709211561">
    <w:abstractNumId w:val="28"/>
  </w:num>
  <w:num w:numId="144" w16cid:durableId="1455909248">
    <w:abstractNumId w:val="43"/>
  </w:num>
  <w:num w:numId="145" w16cid:durableId="672874879">
    <w:abstractNumId w:val="27"/>
  </w:num>
  <w:num w:numId="146" w16cid:durableId="1774666491">
    <w:abstractNumId w:val="19"/>
  </w:num>
  <w:num w:numId="147" w16cid:durableId="1246573467">
    <w:abstractNumId w:val="20"/>
  </w:num>
  <w:num w:numId="148" w16cid:durableId="286854916">
    <w:abstractNumId w:val="11"/>
  </w:num>
  <w:num w:numId="149" w16cid:durableId="1287202094">
    <w:abstractNumId w:val="14"/>
  </w:num>
  <w:num w:numId="150" w16cid:durableId="435171302">
    <w:abstractNumId w:val="36"/>
  </w:num>
  <w:num w:numId="151" w16cid:durableId="876501449">
    <w:abstractNumId w:val="34"/>
  </w:num>
  <w:num w:numId="152" w16cid:durableId="1027608877">
    <w:abstractNumId w:val="20"/>
  </w:num>
  <w:num w:numId="153" w16cid:durableId="652639320">
    <w:abstractNumId w:val="38"/>
  </w:num>
  <w:num w:numId="154" w16cid:durableId="90395796">
    <w:abstractNumId w:val="38"/>
  </w:num>
  <w:num w:numId="155" w16cid:durableId="1989019105">
    <w:abstractNumId w:val="38"/>
  </w:num>
  <w:num w:numId="156" w16cid:durableId="1155531326">
    <w:abstractNumId w:val="38"/>
  </w:num>
  <w:num w:numId="157" w16cid:durableId="633340533">
    <w:abstractNumId w:val="17"/>
  </w:num>
  <w:num w:numId="158" w16cid:durableId="1971858804">
    <w:abstractNumId w:val="17"/>
  </w:num>
  <w:num w:numId="159" w16cid:durableId="1876623997">
    <w:abstractNumId w:val="17"/>
  </w:num>
  <w:num w:numId="160" w16cid:durableId="639506382">
    <w:abstractNumId w:val="17"/>
  </w:num>
  <w:num w:numId="161" w16cid:durableId="2094474895">
    <w:abstractNumId w:val="29"/>
  </w:num>
  <w:num w:numId="162" w16cid:durableId="1971326602">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EN"/>
  </w:docVars>
  <w:rsids>
    <w:rsidRoot w:val="002B28C5"/>
    <w:rsid w:val="00083FBC"/>
    <w:rsid w:val="000846C7"/>
    <w:rsid w:val="000F68C8"/>
    <w:rsid w:val="0014406C"/>
    <w:rsid w:val="00171F08"/>
    <w:rsid w:val="001B6D16"/>
    <w:rsid w:val="0022170F"/>
    <w:rsid w:val="00261BEF"/>
    <w:rsid w:val="002B28C5"/>
    <w:rsid w:val="002D0849"/>
    <w:rsid w:val="00304DEB"/>
    <w:rsid w:val="00323DF1"/>
    <w:rsid w:val="00365A1E"/>
    <w:rsid w:val="003A4DAB"/>
    <w:rsid w:val="003D12D6"/>
    <w:rsid w:val="003D2183"/>
    <w:rsid w:val="003F4C17"/>
    <w:rsid w:val="00401FF5"/>
    <w:rsid w:val="004538E4"/>
    <w:rsid w:val="004601ED"/>
    <w:rsid w:val="004634AB"/>
    <w:rsid w:val="00500B68"/>
    <w:rsid w:val="005101AA"/>
    <w:rsid w:val="005115B2"/>
    <w:rsid w:val="005433F2"/>
    <w:rsid w:val="00577AFD"/>
    <w:rsid w:val="00595A4B"/>
    <w:rsid w:val="005D11D1"/>
    <w:rsid w:val="005F793E"/>
    <w:rsid w:val="006073FA"/>
    <w:rsid w:val="00645849"/>
    <w:rsid w:val="006556B2"/>
    <w:rsid w:val="00660886"/>
    <w:rsid w:val="00680946"/>
    <w:rsid w:val="00690B44"/>
    <w:rsid w:val="0069311C"/>
    <w:rsid w:val="006A0D97"/>
    <w:rsid w:val="006C413E"/>
    <w:rsid w:val="00720F54"/>
    <w:rsid w:val="00726B80"/>
    <w:rsid w:val="00732EE9"/>
    <w:rsid w:val="00737A01"/>
    <w:rsid w:val="00747D58"/>
    <w:rsid w:val="007B0D74"/>
    <w:rsid w:val="00820D9C"/>
    <w:rsid w:val="008D3B70"/>
    <w:rsid w:val="009062DA"/>
    <w:rsid w:val="00953834"/>
    <w:rsid w:val="009700CD"/>
    <w:rsid w:val="00995AAA"/>
    <w:rsid w:val="009D15C2"/>
    <w:rsid w:val="009F05D5"/>
    <w:rsid w:val="00A76171"/>
    <w:rsid w:val="00A83A74"/>
    <w:rsid w:val="00A8452C"/>
    <w:rsid w:val="00A84855"/>
    <w:rsid w:val="00A9225C"/>
    <w:rsid w:val="00B047C4"/>
    <w:rsid w:val="00B104EA"/>
    <w:rsid w:val="00B15311"/>
    <w:rsid w:val="00B845E7"/>
    <w:rsid w:val="00B97461"/>
    <w:rsid w:val="00BD1CA2"/>
    <w:rsid w:val="00BE7B83"/>
    <w:rsid w:val="00C212A7"/>
    <w:rsid w:val="00C502FD"/>
    <w:rsid w:val="00C70259"/>
    <w:rsid w:val="00CB494D"/>
    <w:rsid w:val="00CE51DE"/>
    <w:rsid w:val="00D20F8D"/>
    <w:rsid w:val="00D31A71"/>
    <w:rsid w:val="00D36A03"/>
    <w:rsid w:val="00D40257"/>
    <w:rsid w:val="00D43D36"/>
    <w:rsid w:val="00D75C5C"/>
    <w:rsid w:val="00D763E7"/>
    <w:rsid w:val="00D97143"/>
    <w:rsid w:val="00DA1C81"/>
    <w:rsid w:val="00DD54E0"/>
    <w:rsid w:val="00DE1D55"/>
    <w:rsid w:val="00DF0A6D"/>
    <w:rsid w:val="00E05BBC"/>
    <w:rsid w:val="00E27350"/>
    <w:rsid w:val="00E43A1D"/>
    <w:rsid w:val="00E45613"/>
    <w:rsid w:val="00E4640E"/>
    <w:rsid w:val="00EA2623"/>
    <w:rsid w:val="00EE408F"/>
    <w:rsid w:val="00F00519"/>
    <w:rsid w:val="00F37BB8"/>
    <w:rsid w:val="00F8781C"/>
    <w:rsid w:val="00F97C93"/>
    <w:rsid w:val="00FA05D2"/>
    <w:rsid w:val="00FA264E"/>
    <w:rsid w:val="00FB61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3F2DE0E2-3DCB-4A60-922F-9B255977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Text1"/>
    <w:qFormat/>
    <w:pPr>
      <w:keepNext/>
      <w:widowControl/>
      <w:numPr>
        <w:numId w:val="157"/>
      </w:numPr>
      <w:spacing w:before="360" w:after="120" w:line="240" w:lineRule="auto"/>
      <w:jc w:val="both"/>
      <w:outlineLvl w:val="0"/>
    </w:pPr>
    <w:rPr>
      <w:b/>
      <w:smallCaps/>
    </w:rPr>
  </w:style>
  <w:style w:type="paragraph" w:styleId="Rubrik2">
    <w:name w:val="heading 2"/>
    <w:basedOn w:val="Normal"/>
    <w:next w:val="Text2"/>
    <w:qFormat/>
    <w:pPr>
      <w:keepNext/>
      <w:widowControl/>
      <w:numPr>
        <w:ilvl w:val="1"/>
        <w:numId w:val="158"/>
      </w:numPr>
      <w:spacing w:before="120" w:after="120" w:line="240" w:lineRule="auto"/>
      <w:jc w:val="both"/>
      <w:outlineLvl w:val="1"/>
    </w:pPr>
    <w:rPr>
      <w:b/>
    </w:rPr>
  </w:style>
  <w:style w:type="paragraph" w:styleId="Rubrik3">
    <w:name w:val="heading 3"/>
    <w:basedOn w:val="Normal"/>
    <w:next w:val="Text3"/>
    <w:qFormat/>
    <w:pPr>
      <w:keepNext/>
      <w:widowControl/>
      <w:numPr>
        <w:ilvl w:val="2"/>
        <w:numId w:val="159"/>
      </w:numPr>
      <w:spacing w:before="120" w:after="120" w:line="240" w:lineRule="auto"/>
      <w:jc w:val="both"/>
      <w:outlineLvl w:val="2"/>
    </w:pPr>
    <w:rPr>
      <w:i/>
    </w:rPr>
  </w:style>
  <w:style w:type="paragraph" w:styleId="Rubrik4">
    <w:name w:val="heading 4"/>
    <w:basedOn w:val="Normal"/>
    <w:next w:val="Text4"/>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fot">
    <w:name w:val="footer"/>
    <w:basedOn w:val="Normal"/>
    <w:pPr>
      <w:tabs>
        <w:tab w:val="center" w:pos="4820"/>
        <w:tab w:val="center" w:pos="7371"/>
        <w:tab w:val="right" w:pos="9639"/>
      </w:tabs>
      <w:spacing w:line="240" w:lineRule="auto"/>
    </w:pPr>
  </w:style>
  <w:style w:type="paragraph" w:customStyle="1" w:styleId="Text1">
    <w:name w:val="Text 1"/>
    <w:basedOn w:val="Normal"/>
    <w:pPr>
      <w:widowControl/>
      <w:spacing w:before="120" w:after="120" w:line="240" w:lineRule="auto"/>
      <w:ind w:left="851"/>
      <w:jc w:val="both"/>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Text2">
    <w:name w:val="Text 2"/>
    <w:basedOn w:val="Normal"/>
    <w:pPr>
      <w:widowControl/>
      <w:spacing w:before="120" w:after="120" w:line="240" w:lineRule="auto"/>
      <w:ind w:left="851"/>
      <w:jc w:val="both"/>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customStyle="1" w:styleId="Text3">
    <w:name w:val="Text 3"/>
    <w:basedOn w:val="Normal"/>
    <w:pPr>
      <w:widowControl/>
      <w:spacing w:before="120" w:after="120" w:line="240" w:lineRule="auto"/>
      <w:ind w:left="851"/>
      <w:jc w:val="both"/>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character" w:styleId="Hyperlnk">
    <w:name w:val="Hyperlink"/>
    <w:basedOn w:val="Standardstycketeckensnitt"/>
    <w:rPr>
      <w:color w:val="0000FF"/>
      <w:u w:val="single"/>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paragraph" w:customStyle="1" w:styleId="Text4">
    <w:name w:val="Text 4"/>
    <w:basedOn w:val="Normal"/>
    <w:pPr>
      <w:widowControl/>
      <w:spacing w:before="120" w:after="120" w:line="240" w:lineRule="auto"/>
      <w:ind w:left="851"/>
      <w:jc w:val="both"/>
    </w:pPr>
  </w:style>
  <w:style w:type="paragraph" w:customStyle="1" w:styleId="Point0">
    <w:name w:val="Point 0"/>
    <w:basedOn w:val="Normal"/>
    <w:pPr>
      <w:widowControl/>
      <w:spacing w:before="120" w:after="120" w:line="240" w:lineRule="auto"/>
      <w:ind w:left="851" w:hanging="851"/>
      <w:jc w:val="both"/>
    </w:pPr>
  </w:style>
  <w:style w:type="paragraph" w:customStyle="1" w:styleId="Point1">
    <w:name w:val="Point 1"/>
    <w:basedOn w:val="Normal"/>
    <w:pPr>
      <w:widowControl/>
      <w:spacing w:before="120" w:after="120" w:line="240" w:lineRule="auto"/>
      <w:ind w:left="1418" w:hanging="567"/>
      <w:jc w:val="both"/>
    </w:pPr>
  </w:style>
  <w:style w:type="paragraph" w:customStyle="1" w:styleId="Point2">
    <w:name w:val="Point 2"/>
    <w:basedOn w:val="Normal"/>
    <w:pPr>
      <w:widowControl/>
      <w:spacing w:before="120" w:after="120" w:line="240" w:lineRule="auto"/>
      <w:ind w:left="1985" w:hanging="567"/>
      <w:jc w:val="both"/>
    </w:pPr>
  </w:style>
  <w:style w:type="paragraph" w:customStyle="1" w:styleId="Point3">
    <w:name w:val="Point 3"/>
    <w:basedOn w:val="Normal"/>
    <w:pPr>
      <w:widowControl/>
      <w:spacing w:before="120" w:after="120" w:line="240" w:lineRule="auto"/>
      <w:ind w:left="2552" w:hanging="567"/>
      <w:jc w:val="both"/>
    </w:pPr>
  </w:style>
  <w:style w:type="paragraph" w:customStyle="1" w:styleId="Point4">
    <w:name w:val="Point 4"/>
    <w:basedOn w:val="Normal"/>
    <w:pPr>
      <w:widowControl/>
      <w:spacing w:before="120" w:after="120" w:line="240" w:lineRule="auto"/>
      <w:ind w:left="3119" w:hanging="567"/>
      <w:jc w:val="both"/>
    </w:pPr>
  </w:style>
  <w:style w:type="paragraph" w:customStyle="1" w:styleId="ManualHeading1">
    <w:name w:val="Manual Heading 1"/>
    <w:basedOn w:val="Rubrik1"/>
    <w:next w:val="Text1"/>
  </w:style>
  <w:style w:type="paragraph" w:customStyle="1" w:styleId="ManualHeading2">
    <w:name w:val="Manual Heading 2"/>
    <w:basedOn w:val="Rubrik2"/>
    <w:next w:val="Text2"/>
  </w:style>
  <w:style w:type="paragraph" w:customStyle="1" w:styleId="ManualHeading3">
    <w:name w:val="Manual Heading 3"/>
    <w:basedOn w:val="Rubrik3"/>
    <w:next w:val="Text3"/>
  </w:style>
  <w:style w:type="paragraph" w:customStyle="1" w:styleId="ManualHeading4">
    <w:name w:val="Manual Heading 4"/>
    <w:basedOn w:val="Rubrik4"/>
    <w:next w:val="Text4"/>
  </w:style>
  <w:style w:type="paragraph" w:customStyle="1" w:styleId="Considrant">
    <w:name w:val="Considérant"/>
    <w:basedOn w:val="Normal"/>
    <w:pPr>
      <w:widowControl/>
      <w:numPr>
        <w:numId w:val="161"/>
      </w:numPr>
      <w:spacing w:before="120" w:after="120" w:line="240" w:lineRule="auto"/>
      <w:jc w:val="both"/>
    </w:pPr>
  </w:style>
  <w:style w:type="paragraph" w:customStyle="1" w:styleId="ManualConsidrant">
    <w:name w:val="Manual Considérant"/>
    <w:basedOn w:val="Normal"/>
    <w:pPr>
      <w:widowControl/>
      <w:spacing w:before="120" w:after="120" w:line="240" w:lineRule="auto"/>
      <w:ind w:left="709" w:hanging="709"/>
      <w:jc w:val="both"/>
    </w:pPr>
  </w:style>
  <w:style w:type="character" w:customStyle="1" w:styleId="DontTranslate">
    <w:name w:val="DontTranslate"/>
    <w:basedOn w:val="Standardstycketeckensnitt"/>
    <w:rsid w:val="003D12D6"/>
    <w:rPr>
      <w:color w:val="FF0000"/>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ngtext">
    <w:name w:val="Balloon Text"/>
    <w:basedOn w:val="Normal"/>
    <w:semiHidden/>
    <w:rsid w:val="0014406C"/>
    <w:rPr>
      <w:rFonts w:ascii="Tahoma" w:hAnsi="Tahoma" w:cs="Tahoma"/>
      <w:sz w:val="16"/>
      <w:szCs w:val="16"/>
    </w:rPr>
  </w:style>
  <w:style w:type="paragraph" w:styleId="Dokumentversikt">
    <w:name w:val="Document Map"/>
    <w:basedOn w:val="Normal"/>
    <w:semiHidden/>
    <w:rsid w:val="00C212A7"/>
    <w:pPr>
      <w:shd w:val="clear" w:color="auto" w:fill="000080"/>
    </w:pPr>
    <w:rPr>
      <w:rFonts w:ascii="Tahoma" w:hAnsi="Tahoma" w:cs="Tahoma"/>
    </w:rPr>
  </w:style>
  <w:style w:type="paragraph" w:customStyle="1" w:styleId="RKnormal">
    <w:name w:val="RKnormal"/>
    <w:basedOn w:val="Normal"/>
    <w:rsid w:val="00A76171"/>
    <w:pPr>
      <w:widowControl/>
      <w:tabs>
        <w:tab w:val="left" w:pos="2835"/>
      </w:tabs>
      <w:overflowPunct w:val="0"/>
      <w:autoSpaceDE w:val="0"/>
      <w:autoSpaceDN w:val="0"/>
      <w:adjustRightInd w:val="0"/>
      <w:spacing w:line="240" w:lineRule="atLeast"/>
      <w:textAlignment w:val="baseline"/>
    </w:pPr>
    <w:rPr>
      <w:rFonts w:ascii="OrigGarmnd BT" w:hAnsi="OrigGarmnd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340</Words>
  <Characters>1797</Characters>
  <Application>Microsoft Office Word</Application>
  <DocSecurity>4</DocSecurity>
  <Lines>69</Lines>
  <Paragraphs>32</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2006-05-12T13:37:00Z</cp:lastPrinted>
  <dcterms:created xsi:type="dcterms:W3CDTF">2025-12-16T23:10:00Z</dcterms:created>
  <dcterms:modified xsi:type="dcterms:W3CDTF">2025-12-16T23:10:00Z</dcterms:modified>
</cp:coreProperties>
</file>