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472" w:rsidRDefault="00C60472">
      <w:pPr>
        <w:pStyle w:val="Rubrik1"/>
      </w:pPr>
      <w:r>
        <w:rPr>
          <w:vanish/>
        </w:rPr>
        <w:t>&lt;1</w:t>
      </w:r>
      <w:bookmarkStart w:id="0" w:name="_Toc338640422"/>
      <w:r>
        <w:t>Till konstitutionsutskottet</w:t>
      </w:r>
      <w:bookmarkEnd w:id="0"/>
    </w:p>
    <w:p w:rsidR="00C60472" w:rsidRDefault="00C60472">
      <w:r>
        <w:t>Konstitutionsutskottet har den 10 oktober 1995 berett övriga utskott  til</w:t>
      </w:r>
      <w:r>
        <w:t>l</w:t>
      </w:r>
      <w:r>
        <w:t>fälle att avge yttrande över proposition 1994/95:150 (kompletterings-propositionen) bilaga 7 avsnitt 3 om förvaltningsmyndigheternas ledning. Inga motioner föreligger i ärendet.</w:t>
      </w:r>
    </w:p>
    <w:p w:rsidR="00C60472" w:rsidRDefault="00C60472">
      <w:pPr>
        <w:pStyle w:val="Rubrik1"/>
      </w:pPr>
      <w:r>
        <w:t>Propositionen</w:t>
      </w:r>
    </w:p>
    <w:p w:rsidR="00C60472" w:rsidRDefault="00C60472">
      <w:r>
        <w:t>I bilaga 7 till propositionen (s. 114 ff.) redovisar regeringen utgångspun</w:t>
      </w:r>
      <w:r>
        <w:t>k</w:t>
      </w:r>
      <w:r>
        <w:t>ter och allmänna överväganden om förvaltningsmyndigheternas ledning. Enligt förslaget skall verksamhetens art och regeringens behov av att styra myndigheten på visst sätt vara utgångspunkten vid val av ledningsform. Som ledningsform för centrala förvaltningsmyndigheter skall regeringen välja enrådighetsverk eller styrelse. Såväl enrådighets- som styrelsemode</w:t>
      </w:r>
      <w:r>
        <w:t>l</w:t>
      </w:r>
      <w:r>
        <w:t>len bör vid behov anpassas till de särskilda förutsättningar som råder för den enskilda myndigheten. En styrelse kan ha ett helt eller ett med my</w:t>
      </w:r>
      <w:r>
        <w:t>n</w:t>
      </w:r>
      <w:r>
        <w:t>dighetschefen delat ansvar för verksamheten inför regeringen. Riktlinjerna för val av ledningsform skall i princip tillämpas även på länsmyndigheter under en central chefsmyndighet.</w:t>
      </w:r>
    </w:p>
    <w:p w:rsidR="00C60472" w:rsidRDefault="00C60472">
      <w:pPr>
        <w:pStyle w:val="Normaltindrag"/>
      </w:pPr>
      <w:r>
        <w:t>I avsnitt 3.3 lämnar regeringen en redovisning departementsvis av vilka myndigheter som regeringen avser att ge ny ledningsform under år 1995 genom ändringar i myndighetens instruktion.</w:t>
      </w:r>
    </w:p>
    <w:p w:rsidR="00C60472" w:rsidRDefault="00C60472">
      <w:pPr>
        <w:pStyle w:val="Normaltindrag"/>
      </w:pPr>
      <w:r>
        <w:t>Förslaget innebär, såvitt avser myndigheter under Jordbruksdeparteme</w:t>
      </w:r>
      <w:r>
        <w:t>n</w:t>
      </w:r>
      <w:r>
        <w:t>tet och Miljödepartementet, följande:</w:t>
      </w:r>
    </w:p>
    <w:p w:rsidR="00C60472" w:rsidRDefault="00C60472">
      <w:pPr>
        <w:pStyle w:val="Rubrik3"/>
      </w:pPr>
      <w:r>
        <w:t>Jordbruksdepartementet</w:t>
      </w:r>
    </w:p>
    <w:p w:rsidR="00C60472" w:rsidRDefault="00C60472">
      <w:r>
        <w:t>Statens jordbruksverk</w:t>
      </w:r>
      <w:r>
        <w:tab/>
      </w:r>
      <w:r>
        <w:tab/>
        <w:t>Enrådighetsverk med insynsråd</w:t>
      </w:r>
    </w:p>
    <w:p w:rsidR="00C60472" w:rsidRDefault="00C60472">
      <w:pPr>
        <w:spacing w:before="0"/>
      </w:pPr>
      <w:r>
        <w:t>Statens utsädeskontroll</w:t>
      </w:r>
      <w:r>
        <w:tab/>
      </w:r>
      <w:r>
        <w:tab/>
        <w:t>Enrådighetsverk</w:t>
      </w:r>
    </w:p>
    <w:p w:rsidR="00C60472" w:rsidRDefault="00C60472">
      <w:pPr>
        <w:spacing w:before="0"/>
      </w:pPr>
      <w:r>
        <w:t>Statens maskinprovningar</w:t>
      </w:r>
      <w:r>
        <w:tab/>
      </w:r>
      <w:r>
        <w:tab/>
        <w:t>Enrådighetsverk</w:t>
      </w:r>
    </w:p>
    <w:p w:rsidR="00C60472" w:rsidRDefault="00C60472">
      <w:pPr>
        <w:spacing w:before="0"/>
      </w:pPr>
      <w:r>
        <w:t>Statens veterinärmedicinska anstalt</w:t>
      </w:r>
      <w:r>
        <w:tab/>
        <w:t>Enrådighetsverk med insynsråd</w:t>
      </w:r>
    </w:p>
    <w:p w:rsidR="00C60472" w:rsidRDefault="00C60472">
      <w:pPr>
        <w:spacing w:before="0"/>
      </w:pPr>
      <w:r>
        <w:t>Statens livsmedelsverk</w:t>
      </w:r>
      <w:r>
        <w:tab/>
      </w:r>
      <w:r>
        <w:tab/>
        <w:t>Enrådighetsverk med insynsråd</w:t>
      </w:r>
    </w:p>
    <w:p w:rsidR="00C60472" w:rsidRDefault="00C60472">
      <w:pPr>
        <w:spacing w:before="0"/>
      </w:pPr>
      <w:r>
        <w:t>Fiskeriverket</w:t>
      </w:r>
      <w:r>
        <w:tab/>
      </w:r>
      <w:r>
        <w:tab/>
      </w:r>
      <w:r>
        <w:tab/>
        <w:t>Enrådighetsverk med insynsråd</w:t>
      </w:r>
    </w:p>
    <w:p w:rsidR="00C60472" w:rsidRDefault="00C60472">
      <w:pPr>
        <w:pStyle w:val="Normaltindrag"/>
      </w:pPr>
    </w:p>
    <w:p w:rsidR="00C60472" w:rsidRDefault="00C60472">
      <w:pPr>
        <w:pStyle w:val="Rubrik3"/>
      </w:pPr>
      <w:r>
        <w:lastRenderedPageBreak/>
        <w:t>Miljödepartementet</w:t>
      </w:r>
    </w:p>
    <w:p w:rsidR="00C60472" w:rsidRDefault="00C60472">
      <w:r>
        <w:t>Kemikalieinspektionen</w:t>
      </w:r>
      <w:r>
        <w:tab/>
      </w:r>
      <w:r>
        <w:tab/>
        <w:t>Enrådighetsverk</w:t>
      </w:r>
    </w:p>
    <w:p w:rsidR="00C60472" w:rsidRDefault="00C60472">
      <w:pPr>
        <w:pStyle w:val="Normaltindrag"/>
      </w:pPr>
    </w:p>
    <w:p w:rsidR="00C60472" w:rsidRDefault="00C60472">
      <w:r>
        <w:t>Nuvarande styrelsemodell bibehålls för Statens naturvårdsverk, Statens strå</w:t>
      </w:r>
      <w:r>
        <w:t>l</w:t>
      </w:r>
      <w:r>
        <w:t>skyddsinstitut och Statens kärnkraftinspektion.</w:t>
      </w:r>
    </w:p>
    <w:p w:rsidR="00C60472" w:rsidRDefault="00C60472">
      <w:pPr>
        <w:pStyle w:val="Rubrik1"/>
      </w:pPr>
      <w:r>
        <w:t>Utskottets överväganden</w:t>
      </w:r>
    </w:p>
    <w:p w:rsidR="00C60472" w:rsidRDefault="00C60472">
      <w:pPr>
        <w:pStyle w:val="Normaltindrag"/>
      </w:pPr>
    </w:p>
    <w:p w:rsidR="00C60472" w:rsidRDefault="00C60472">
      <w:r>
        <w:t>Utskottet delar regeringens överväganden när det gäller de allmänna pri</w:t>
      </w:r>
      <w:r>
        <w:t>n</w:t>
      </w:r>
      <w:r>
        <w:t>ciperna för förvaltningsmyndigheternas ledning. Som anförs i propositi</w:t>
      </w:r>
      <w:r>
        <w:t>o</w:t>
      </w:r>
      <w:r>
        <w:t>nen bör utgångspunkten vid val av ledningsform vara att regeringen utgår från myndighetens verksamhet och mål sådana de är fastlagda av riksdagen och regeringen och därefter väljer en ledningsform med den grad av sty</w:t>
      </w:r>
      <w:r>
        <w:t>r</w:t>
      </w:r>
      <w:r>
        <w:t>ning som bäst bedöms gagna verksamheten och de uppställda målen. Ledningsformen enrådighetsverk bör övervägas där det finns behov av en mer direkt och tydlig styrning av myndigheten och där politiska beslut måste genomföras utan fördröjning. Detta bör särskilt beaktas mot ba</w:t>
      </w:r>
      <w:r>
        <w:t>k</w:t>
      </w:r>
      <w:r>
        <w:t>grund av de ökade krav på styrning och samordning som medlemskapet i EU ställer på regeringen. Utskottet delar regeringens bedömning att mode</w:t>
      </w:r>
      <w:r>
        <w:t>l</w:t>
      </w:r>
      <w:r>
        <w:t>len med enrådighetsverk bör kompletteras med ett av regeringen tillsatt insynsråd med demokratisk insyn som främsta uppgift i de fall ett sådant råd bedöms vara av allmänt intresse. Ledningsformen styrelse med fullt ansvar för verksamheten bör främst övervägas för myndigheter som arbetar under affärsliknande förhållanden eller har en verksamhet som innebär stort finansiellt och självständigt ansvar. Ett bibehållande av nuvarande styrelsemodell bör övervägas för myndigheter där en viss bredd och mån</w:t>
      </w:r>
      <w:r>
        <w:t>g</w:t>
      </w:r>
      <w:r>
        <w:t>fald är önskvärd i verksamheten och det därför inte finns skäl för regerin</w:t>
      </w:r>
      <w:r>
        <w:t>g</w:t>
      </w:r>
      <w:r>
        <w:t>en att nä</w:t>
      </w:r>
      <w:r>
        <w:t>r</w:t>
      </w:r>
      <w:r>
        <w:t xml:space="preserve">mare styra den. </w:t>
      </w:r>
    </w:p>
    <w:p w:rsidR="00C60472" w:rsidRDefault="00C60472">
      <w:pPr>
        <w:pStyle w:val="Normaltindrag"/>
        <w:rPr>
          <w:vanish/>
        </w:rPr>
      </w:pPr>
      <w:r>
        <w:t>Utskottet drar samma slutsatser som regeringen i fråga om valet av lämplig styrelseform för Statens jordbruksverk, Statens utsädeskontroll, Statens maskinprovningar, Statens veterinärmedicinska anstalt,  Fisker</w:t>
      </w:r>
      <w:r>
        <w:t>i</w:t>
      </w:r>
      <w:r>
        <w:t>verket och Kemikalieinspektionen.  Utskottet vill särskilt framhålla att flera av de uppräknade myndigheterna bedriver ett omfattande och inte</w:t>
      </w:r>
      <w:r>
        <w:t>n</w:t>
      </w:r>
      <w:r>
        <w:t>sivt arbete i frågor som har samband med medlemskapet i EU. De ökade kraven på samordning och styrning i dessa frågor utgör starka motiv för  att välja den ledningsform som anges i propositionen. Behovet av samhä</w:t>
      </w:r>
      <w:r>
        <w:t>l</w:t>
      </w:r>
      <w:r>
        <w:t>lelig insyn får anses tillgodosett genom förslaget att de större myndigh</w:t>
      </w:r>
      <w:r>
        <w:t>e</w:t>
      </w:r>
      <w:r>
        <w:t xml:space="preserve">terna förses med ett insynsråd på det sätt som anges i propositionen.  Från de synpunkter utskottet har att företräda vill utskottet således föreslå att riksdagen godkänner regeringens riktlinjer för förvaltningsmyndigheternas ledning.   </w:t>
      </w:r>
    </w:p>
    <w:p w:rsidR="00C60472" w:rsidRDefault="00C60472">
      <w:pPr>
        <w:pStyle w:val="Normaltindrag"/>
      </w:pPr>
    </w:p>
    <w:p w:rsidR="00C60472" w:rsidRDefault="00C60472">
      <w:pPr>
        <w:pStyle w:val="Normaltindrag"/>
      </w:pPr>
      <w:r>
        <w:br w:type="page"/>
      </w:r>
    </w:p>
    <w:p w:rsidR="00C60472" w:rsidRDefault="00C60472">
      <w:r>
        <w:rPr>
          <w:vanish/>
        </w:rPr>
        <w:t>&lt;A</w:t>
      </w:r>
      <w:r>
        <w:t>Stockholm den 26 oktober 1995</w:t>
      </w:r>
    </w:p>
    <w:p w:rsidR="00C60472" w:rsidRDefault="00C60472">
      <w:r>
        <w:t>På jordbruksutskottets vägnar</w:t>
      </w:r>
    </w:p>
    <w:p w:rsidR="00C60472" w:rsidRDefault="00C60472">
      <w:pPr>
        <w:pStyle w:val="Normaltindrag"/>
      </w:pPr>
    </w:p>
    <w:p w:rsidR="00C60472" w:rsidRDefault="00C60472">
      <w:pPr>
        <w:pStyle w:val="Normaltindrag"/>
      </w:pPr>
    </w:p>
    <w:p w:rsidR="00C60472" w:rsidRDefault="00C60472">
      <w:pPr>
        <w:pStyle w:val="Ordfnamn"/>
      </w:pPr>
      <w:bookmarkStart w:id="1" w:name="Ordförande"/>
      <w:bookmarkEnd w:id="1"/>
      <w:r>
        <w:t>Lennart Daléus</w:t>
      </w:r>
    </w:p>
    <w:p w:rsidR="00C60472" w:rsidRDefault="00C60472">
      <w:pPr>
        <w:spacing w:before="123"/>
      </w:pPr>
    </w:p>
    <w:p w:rsidR="00C60472" w:rsidRDefault="00C60472">
      <w:pPr>
        <w:pStyle w:val="Normaltindrag"/>
      </w:pPr>
    </w:p>
    <w:p w:rsidR="00C60472" w:rsidRDefault="00C60472">
      <w:pPr>
        <w:pStyle w:val="Citat"/>
      </w:pPr>
      <w:bookmarkStart w:id="2" w:name="Deltagare"/>
      <w:bookmarkStart w:id="3" w:name="_Toc338640423"/>
      <w:bookmarkEnd w:id="2"/>
      <w:r>
        <w:t>I beslutet har deltagit: Lennart Daléus (c), Sinikka Bohlin (s), Kaj Larsson (s), Leif Marklund (s), Ingvar Eriksson (m), Alf Eriksson (s), Ingemar Josefsson (s), Carl G Nilsson (m), Eva Eriksson (fp), Ann-Kristine Johan</w:t>
      </w:r>
      <w:r>
        <w:t>s</w:t>
      </w:r>
      <w:r>
        <w:t>son (s), Maggi Mikaelsson (v), Åsa Stenberg (s), Eva Björne (m), Gudrun Lindvall (mp), Siw Wit</w:t>
      </w:r>
      <w:r>
        <w:t>t</w:t>
      </w:r>
      <w:r>
        <w:t>gren-Ahl (s), Ola Sundell (m) och Marie Wilén (c).</w:t>
      </w:r>
    </w:p>
    <w:p w:rsidR="00C60472" w:rsidRDefault="00C60472">
      <w:pPr>
        <w:pStyle w:val="Citat"/>
      </w:pPr>
    </w:p>
    <w:p w:rsidR="00C60472" w:rsidRDefault="00C60472">
      <w:pPr>
        <w:pStyle w:val="Rubrik1"/>
      </w:pPr>
      <w:r>
        <w:t>Avvikande mening</w:t>
      </w:r>
      <w:bookmarkEnd w:id="3"/>
    </w:p>
    <w:p w:rsidR="00C60472" w:rsidRDefault="00C60472">
      <w:r>
        <w:t>Lennart Daléus (c), Maggi Mikaelsson (v), Gudrun Lindvall (mp) och Marie Wilén (c) anser att den del av utskottets yttrande som börjar med ”Utskottet drar” och slutar med  ”förvaltningsmyndigheternas ledning” bort ha följande lydelse:</w:t>
      </w:r>
    </w:p>
    <w:p w:rsidR="00C60472" w:rsidRDefault="00C60472">
      <w:pPr>
        <w:pStyle w:val="Normaltindrag"/>
      </w:pPr>
      <w:r>
        <w:t>När det gäller valet av ledningsform för de myndigheter som redovisas under Jordbruksdepartementet och Miljödepartementet får utskottet anföra följande. Den modell som innebär att statliga myndigheter leds av en myndighetschef tillsammans med en lekmannastyrelse garanterar både den samhälleliga insynen och det medborgerliga inflytandet.  Den verksamhet som bedrivs vid Statens jordbruksverk, Fiskeriverket och Kemikaliei</w:t>
      </w:r>
      <w:r>
        <w:t>n</w:t>
      </w:r>
      <w:r>
        <w:t>spektionen omfattar viktiga och övergripande frågor om bl.a. resursa</w:t>
      </w:r>
      <w:r>
        <w:t>n</w:t>
      </w:r>
      <w:r>
        <w:t>vändning och skydd för hälsa och miljö. Dessa frågor är av stort politiskt intresse och allmänintresse, och starka skäl talar för att regeringen väljer en ledningsform som garanterar samhällelig insyn och medborgerligt infl</w:t>
      </w:r>
      <w:r>
        <w:t>y</w:t>
      </w:r>
      <w:r>
        <w:t>tande i verksamheten. Enligt utskottets mening bör de angivna  myndigh</w:t>
      </w:r>
      <w:r>
        <w:t>e</w:t>
      </w:r>
      <w:r>
        <w:t>terna, med hänsyn till arten och omfattningen av sin verksamhet, även i fortsättningen ledas av en myndighetschef  tillsammans med en lekma</w:t>
      </w:r>
      <w:r>
        <w:t>n</w:t>
      </w:r>
      <w:r>
        <w:t>nastyrelse. Detta bör riksdagen som sin mening ge reg</w:t>
      </w:r>
      <w:r>
        <w:t>e</w:t>
      </w:r>
      <w:r>
        <w:t xml:space="preserve">ringen till känna.  </w:t>
      </w:r>
    </w:p>
    <w:p w:rsidR="00C60472" w:rsidRDefault="00C60472"/>
    <w:p w:rsidR="00C60472" w:rsidRDefault="00C60472">
      <w:pPr>
        <w:pStyle w:val="Innehll"/>
      </w:pPr>
      <w:bookmarkStart w:id="4" w:name="Nästa_Reservation"/>
      <w:bookmarkEnd w:id="4"/>
    </w:p>
    <w:p w:rsidR="00C60472" w:rsidRDefault="00C60472">
      <w:pPr>
        <w:pStyle w:val="Innehll"/>
      </w:pPr>
      <w:r>
        <w:t xml:space="preserve"> </w:t>
      </w:r>
    </w:p>
    <w:p w:rsidR="00C60472" w:rsidRDefault="00C60472">
      <w:pPr>
        <w:pStyle w:val="Innehll"/>
      </w:pPr>
      <w:r>
        <w:rPr>
          <w:sz w:val="16"/>
        </w:rPr>
        <w:t>Gotab, Stockholm 1995</w:t>
      </w:r>
    </w:p>
    <w:sectPr w:rsidR="00C60472">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472" w:rsidRDefault="00C60472">
      <w:pPr>
        <w:spacing w:before="0" w:line="240" w:lineRule="auto"/>
      </w:pPr>
      <w:r>
        <w:separator/>
      </w:r>
    </w:p>
  </w:endnote>
  <w:endnote w:type="continuationSeparator" w:id="0">
    <w:p w:rsidR="00C60472" w:rsidRDefault="00C604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472" w:rsidRDefault="00C6047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472" w:rsidRDefault="00C60472">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472" w:rsidRDefault="00C60472">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472" w:rsidRDefault="00C60472">
      <w:pPr>
        <w:spacing w:before="0" w:line="240" w:lineRule="auto"/>
      </w:pPr>
      <w:r>
        <w:separator/>
      </w:r>
    </w:p>
  </w:footnote>
  <w:footnote w:type="continuationSeparator" w:id="0">
    <w:p w:rsidR="00C60472" w:rsidRDefault="00C604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472" w:rsidRDefault="00C60472">
    <w:pPr>
      <w:pStyle w:val="SidhuvudFText"/>
      <w:framePr w:w="2300" w:h="1642" w:hRule="exact" w:wrap="notBeside" w:vAnchor="margin" w:hAnchor="page" w:xAlign="in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1995/96:JoU1y</w:t>
    </w:r>
    <w:r>
      <w:fldChar w:fldCharType="end"/>
    </w:r>
  </w:p>
  <w:p w:rsidR="00C60472" w:rsidRDefault="00C60472">
    <w:pPr>
      <w:pStyle w:val="SidhuvudFText"/>
      <w:framePr w:w="2300" w:h="1642" w:hRule="exact" w:wrap="notBeside" w:vAnchor="margin" w:hAnchor="page" w:xAlign="in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60472" w:rsidRDefault="00C60472">
    <w:pPr>
      <w:pStyle w:val="SidhuvudV"/>
      <w:framePr w:w="2300" w:h="1642" w:hRule="exact" w:wrap="notBeside"/>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472" w:rsidRDefault="00C60472">
    <w:pPr>
      <w:pStyle w:val="SidhuvudFText"/>
      <w:framePr w:w="2444" w:h="1642" w:hRule="exact" w:wrap="notBeside" w:vAnchor="margin" w:hAnchor="page" w:xAlign="out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1995/96:JoU1y</w:t>
    </w:r>
    <w:r>
      <w:fldChar w:fldCharType="end"/>
    </w:r>
  </w:p>
  <w:p w:rsidR="00C60472" w:rsidRDefault="00C60472">
    <w:pPr>
      <w:pStyle w:val="SidhuvudFText"/>
      <w:framePr w:w="2444" w:h="1642" w:hRule="exact" w:wrap="notBeside" w:vAnchor="margin" w:hAnchor="page" w:xAlign="out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60472" w:rsidRDefault="00C60472">
    <w:pPr>
      <w:pStyle w:val="SidhuvudH"/>
      <w:framePr w:w="2444" w:h="1642" w:hRule="exact" w:wrap="notBeside"/>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472" w:rsidRDefault="00C60472">
    <w:pPr>
      <w:framePr w:w="1701" w:hSpace="284" w:wrap="notBeside" w:vAnchor="page" w:hAnchor="page" w:xAlign="outside" w:y="3573"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00" r:id="rId2"/>
      </w:object>
    </w:r>
  </w:p>
  <w:p w:rsidR="00C60472" w:rsidRDefault="00C60472">
    <w:pPr>
      <w:pStyle w:val="SidhuvudFVapen"/>
      <w:framePr w:w="841" w:wrap="notBeside" w:x="6917" w:y="5473"/>
      <w:spacing w:line="230" w:lineRule="auto"/>
    </w:pPr>
    <w:bookmarkStart w:id="5" w:name="BnrVapen"/>
    <w:r>
      <w:t>1995/96</w:t>
    </w:r>
  </w:p>
  <w:p w:rsidR="00C60472" w:rsidRDefault="00C60472">
    <w:pPr>
      <w:pStyle w:val="SidhuvudFVapen"/>
      <w:framePr w:w="841" w:wrap="notBeside" w:x="6917" w:y="5473"/>
      <w:spacing w:line="230" w:lineRule="auto"/>
    </w:pPr>
    <w:r>
      <w:t xml:space="preserve">JoU1y </w:t>
    </w:r>
    <w:bookmarkEnd w:id="5"/>
    <w:r w:rsidR="00C7250A">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21413959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925D9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C60472" w:rsidRDefault="00C60472">
    <w:pPr>
      <w:pStyle w:val="SidhuvudFText"/>
      <w:framePr w:wrap="notBeside" w:hAnchor="page" w:x="869" w:y="4033"/>
      <w:spacing w:line="400" w:lineRule="exact"/>
      <w:ind w:right="629"/>
      <w:rPr>
        <w:sz w:val="36"/>
      </w:rPr>
    </w:pPr>
    <w:bookmarkStart w:id="6" w:name="DokumentTyp"/>
    <w:r>
      <w:rPr>
        <w:sz w:val="36"/>
      </w:rPr>
      <w:t xml:space="preserve">Jordbruksutskottets yttrande </w:t>
    </w:r>
    <w:bookmarkEnd w:id="6"/>
    <w:r>
      <w:rPr>
        <w:sz w:val="36"/>
      </w:rPr>
      <w:t xml:space="preserve"> </w:t>
    </w:r>
  </w:p>
  <w:p w:rsidR="00C60472" w:rsidRDefault="00C60472">
    <w:pPr>
      <w:pStyle w:val="SidhuvudFText"/>
      <w:framePr w:wrap="notBeside" w:hAnchor="page" w:x="869" w:y="4033"/>
      <w:spacing w:line="400" w:lineRule="exact"/>
      <w:ind w:right="629"/>
      <w:rPr>
        <w:sz w:val="36"/>
      </w:rPr>
    </w:pPr>
    <w:bookmarkStart w:id="7" w:name="Betänkandenummer"/>
    <w:r>
      <w:rPr>
        <w:sz w:val="36"/>
      </w:rPr>
      <w:t xml:space="preserve">1995/96:JoU1y </w:t>
    </w:r>
    <w:bookmarkEnd w:id="7"/>
    <w:r>
      <w:rPr>
        <w:sz w:val="36"/>
      </w:rPr>
      <w:t xml:space="preserve">       </w:t>
    </w:r>
    <w:bookmarkStart w:id="8" w:name="Utkast"/>
    <w:r>
      <w:rPr>
        <w:sz w:val="36"/>
      </w:rPr>
      <w:t xml:space="preserve"> </w:t>
    </w:r>
  </w:p>
  <w:p w:rsidR="00C60472" w:rsidRDefault="00C60472">
    <w:pPr>
      <w:pStyle w:val="SidhuvudFText"/>
      <w:framePr w:wrap="notBeside" w:hAnchor="page" w:x="869" w:y="4033"/>
      <w:spacing w:before="40" w:after="900" w:line="280" w:lineRule="exact"/>
      <w:ind w:right="629"/>
      <w:rPr>
        <w:sz w:val="26"/>
      </w:rPr>
    </w:pPr>
    <w:bookmarkStart w:id="9" w:name="Rubrik"/>
    <w:bookmarkEnd w:id="8"/>
    <w:r>
      <w:rPr>
        <w:sz w:val="26"/>
      </w:rPr>
      <w:t xml:space="preserve">Förvaltningsmyndigheternas ledning </w:t>
    </w:r>
    <w:bookmarkEnd w:id="9"/>
    <w:r>
      <w:rPr>
        <w:sz w:val="26"/>
      </w:rPr>
      <w:t xml:space="preserve"> </w:t>
    </w:r>
  </w:p>
  <w:p w:rsidR="00C60472" w:rsidRDefault="00C60472">
    <w:pPr>
      <w:pStyle w:val="SidhuvudFText"/>
      <w:framePr w:wrap="notBeside" w:hAnchor="page" w:x="869" w:y="4033"/>
      <w:spacing w:line="184" w:lineRule="exact"/>
    </w:pPr>
    <w:bookmarkStart w:id="10" w:name="RedSidhuvud"/>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1y"/>
    <w:docVar w:name="HelaNamnet" w:val="1995/96:JoU1y"/>
    <w:docVar w:name="NR" w:val="1y"/>
    <w:docVar w:name="RUBRIK" w:val="Förvaltningsmyndigheternas ledning"/>
    <w:docVar w:name="SkapVERSION" w:val="V 4.6, 951016"/>
    <w:docVar w:name="USK" w:val="JoU"/>
    <w:docVar w:name="USKKORT" w:val="JoU"/>
    <w:docVar w:name="USKNAMN" w:val="Jordbruksutskottets"/>
    <w:docVar w:name="ÅR" w:val="1995/96"/>
    <w:docVar w:name="ÅR1" w:val="1994"/>
  </w:docVars>
  <w:rsids>
    <w:rsidRoot w:val="00A14160"/>
    <w:rsid w:val="00A14160"/>
    <w:rsid w:val="00C60472"/>
    <w:rsid w:val="00C725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A568AA-8BB2-43F5-9500-872458E4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766</Words>
  <Characters>5116</Characters>
  <Application>Microsoft Office Word</Application>
  <DocSecurity>4</DocSecurity>
  <Lines>111</Lines>
  <Paragraphs>31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1y</dc:title>
  <dc:subject>Jordbruksutskottets betänkande nr 1y</dc:subject>
  <dc:creator>Riksdagen</dc:creator>
  <cp:keywords>Riksdagen</cp:keywords>
  <cp:lastModifiedBy>Lars Brink</cp:lastModifiedBy>
  <cp:revision>2</cp:revision>
  <cp:lastPrinted>1995-11-02T12:06:00Z</cp:lastPrinted>
  <dcterms:created xsi:type="dcterms:W3CDTF">2025-12-15T18:33:00Z</dcterms:created>
  <dcterms:modified xsi:type="dcterms:W3CDTF">2025-12-15T18:33:00Z</dcterms:modified>
</cp:coreProperties>
</file>