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2025/26:FPM82 Rådsrekommendation om ett ramverk för vetenskapsdiplomati inom Europeiska unionen </w:t>
            </w:r>
            <w:r>
              <w:rPr>
                <w:i/>
                <w:iCs/>
                <w:rtl w:val="0"/>
              </w:rPr>
              <w:t>COM(2026) 97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2026:7 Trafikavtal – statens insatser för förbättrad tillgänglighet mellan regioner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2025/26:221 Slopat matkrav för serveringstillstånd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2025/26:227 Bättre möjligheter att utreda brott av unga lagöverträdare och några andra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2025/26:159 Nytt mål för effektiv energianvändning och genomförande av det omarbetade direktivet om byggnaders energiprestanda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2025/26:3946 av Malcolm Momodou Jallow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2025/26:3950 av Joakim Järrebring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2025/26:3955 av Alireza Akhondi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2025/26:3965 av Amanda Palmstierna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102 Förslag till Europaparlamentets och rådets direktiv om bekämpande av olaglig handel med skjutvapen och andra skjutvapenrelaterade brott och om ändring av Europaparlamentets och rådets direktiv (EU) 2024/1260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maj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Civilminister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2025/26:392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reformerat utjämningssystem för att stärka välfärden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2025/26:387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Jakt och fiske på statlig mark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2025/26:397 av Tomas Kronståhl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Hanteringen av jakttidsprocessen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2026-03-27</SAFIR_Sammantradesdatum_Doc>
    <SAFIR_SammantradeID xmlns="C07A1A6C-0B19-41D9-BDF8-F523BA3921EB">5aa19528-5125-426d-8b11-64ed3517d250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CE92282-1FCA-402D-8D0F-18998B9D3AC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