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907A5F">
        <w:tc>
          <w:tcPr>
            <w:tcW w:w="2268" w:type="dxa"/>
          </w:tcPr>
          <w:p w:rsidR="00907A5F" w:rsidRDefault="00907A5F">
            <w:pPr>
              <w:framePr w:w="4400" w:h="1644" w:wrap="notBeside" w:vAnchor="page" w:hAnchor="page" w:x="6573" w:y="721"/>
              <w:rPr>
                <w:rFonts w:ascii="TradeGothic" w:hAnsi="TradeGothic"/>
                <w:i/>
                <w:sz w:val="18"/>
              </w:rPr>
            </w:pPr>
          </w:p>
        </w:tc>
        <w:tc>
          <w:tcPr>
            <w:tcW w:w="2347" w:type="dxa"/>
            <w:gridSpan w:val="2"/>
          </w:tcPr>
          <w:p w:rsidR="00907A5F" w:rsidRDefault="00907A5F">
            <w:pPr>
              <w:framePr w:w="4400" w:h="1644" w:wrap="notBeside" w:vAnchor="page" w:hAnchor="page" w:x="6573" w:y="721"/>
              <w:rPr>
                <w:rFonts w:ascii="TradeGothic" w:hAnsi="TradeGothic"/>
                <w:i/>
                <w:sz w:val="18"/>
              </w:rPr>
            </w:pPr>
          </w:p>
        </w:tc>
      </w:tr>
      <w:tr w:rsidR="00907A5F">
        <w:tc>
          <w:tcPr>
            <w:tcW w:w="2268" w:type="dxa"/>
          </w:tcPr>
          <w:p w:rsidR="00907A5F" w:rsidRDefault="00907A5F">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907A5F" w:rsidRDefault="00907A5F">
            <w:pPr>
              <w:framePr w:w="4400" w:h="1644" w:wrap="notBeside" w:vAnchor="page" w:hAnchor="page" w:x="6573" w:y="721"/>
              <w:rPr>
                <w:rFonts w:ascii="TradeGothic" w:hAnsi="TradeGothic"/>
                <w:b/>
                <w:sz w:val="22"/>
              </w:rPr>
            </w:pPr>
          </w:p>
        </w:tc>
      </w:tr>
      <w:tr w:rsidR="00907A5F">
        <w:trPr>
          <w:trHeight w:val="343"/>
        </w:trPr>
        <w:tc>
          <w:tcPr>
            <w:tcW w:w="3402" w:type="dxa"/>
            <w:gridSpan w:val="2"/>
          </w:tcPr>
          <w:p w:rsidR="00907A5F" w:rsidRDefault="00907A5F">
            <w:pPr>
              <w:framePr w:w="4400" w:h="1644" w:wrap="notBeside" w:vAnchor="page" w:hAnchor="page" w:x="6573" w:y="721"/>
            </w:pPr>
          </w:p>
        </w:tc>
        <w:tc>
          <w:tcPr>
            <w:tcW w:w="1213" w:type="dxa"/>
          </w:tcPr>
          <w:p w:rsidR="00907A5F" w:rsidRDefault="00907A5F">
            <w:pPr>
              <w:framePr w:w="4400" w:h="1644" w:wrap="notBeside" w:vAnchor="page" w:hAnchor="page" w:x="6573" w:y="721"/>
            </w:pPr>
          </w:p>
        </w:tc>
      </w:tr>
      <w:tr w:rsidR="00907A5F">
        <w:tc>
          <w:tcPr>
            <w:tcW w:w="2268" w:type="dxa"/>
          </w:tcPr>
          <w:p w:rsidR="00907A5F" w:rsidRDefault="00907A5F">
            <w:pPr>
              <w:framePr w:w="4400" w:h="1644" w:wrap="notBeside" w:vAnchor="page" w:hAnchor="page" w:x="6573" w:y="721"/>
            </w:pPr>
            <w:fldSimple w:instr=" CREATEDATE  \@ &quot;yyyy-MM-dd&quot;  \* MERGEFORMAT ">
              <w:r>
                <w:rPr>
                  <w:noProof/>
                </w:rPr>
                <w:t>2013-03-27</w:t>
              </w:r>
            </w:fldSimple>
          </w:p>
        </w:tc>
        <w:tc>
          <w:tcPr>
            <w:tcW w:w="2347" w:type="dxa"/>
            <w:gridSpan w:val="2"/>
          </w:tcPr>
          <w:p w:rsidR="00907A5F" w:rsidRDefault="00907A5F">
            <w:pPr>
              <w:framePr w:w="4400" w:h="1644" w:wrap="notBeside" w:vAnchor="page" w:hAnchor="page" w:x="6573" w:y="721"/>
            </w:pPr>
          </w:p>
        </w:tc>
      </w:tr>
      <w:tr w:rsidR="00907A5F">
        <w:tc>
          <w:tcPr>
            <w:tcW w:w="2268" w:type="dxa"/>
          </w:tcPr>
          <w:p w:rsidR="00907A5F" w:rsidRDefault="00907A5F">
            <w:pPr>
              <w:framePr w:w="4400" w:h="1644" w:wrap="notBeside" w:vAnchor="page" w:hAnchor="page" w:x="6573" w:y="721"/>
            </w:pPr>
          </w:p>
        </w:tc>
        <w:tc>
          <w:tcPr>
            <w:tcW w:w="2347" w:type="dxa"/>
            <w:gridSpan w:val="2"/>
          </w:tcPr>
          <w:p w:rsidR="00907A5F" w:rsidRDefault="00907A5F">
            <w:pPr>
              <w:framePr w:w="4400" w:h="1644" w:wrap="notBeside" w:vAnchor="page" w:hAnchor="page" w:x="6573" w:y="721"/>
            </w:pPr>
          </w:p>
        </w:tc>
      </w:tr>
    </w:tbl>
    <w:tbl>
      <w:tblPr>
        <w:tblW w:w="0" w:type="auto"/>
        <w:tblLayout w:type="fixed"/>
        <w:tblLook w:val="0000"/>
      </w:tblPr>
      <w:tblGrid>
        <w:gridCol w:w="4911"/>
      </w:tblGrid>
      <w:tr w:rsidR="00907A5F">
        <w:trPr>
          <w:trHeight w:val="2400"/>
        </w:trPr>
        <w:tc>
          <w:tcPr>
            <w:tcW w:w="4911" w:type="dxa"/>
          </w:tcPr>
          <w:p w:rsidR="00907A5F" w:rsidRDefault="00907A5F">
            <w:pPr>
              <w:pStyle w:val="Avsndare"/>
              <w:framePr w:h="2483" w:wrap="notBeside" w:x="1504"/>
              <w:rPr>
                <w:b/>
                <w:i w:val="0"/>
                <w:sz w:val="22"/>
              </w:rPr>
            </w:pPr>
            <w:r>
              <w:rPr>
                <w:b/>
                <w:i w:val="0"/>
                <w:sz w:val="22"/>
              </w:rPr>
              <w:t>Statsrådsberedningen</w:t>
            </w:r>
          </w:p>
          <w:p w:rsidR="00907A5F" w:rsidRDefault="00907A5F">
            <w:pPr>
              <w:pStyle w:val="Avsndare"/>
              <w:framePr w:h="2483" w:wrap="notBeside" w:x="1504"/>
            </w:pPr>
          </w:p>
          <w:p w:rsidR="00907A5F" w:rsidRDefault="00907A5F">
            <w:pPr>
              <w:pStyle w:val="Avsndare"/>
              <w:framePr w:h="2483" w:wrap="notBeside" w:x="1504"/>
            </w:pPr>
            <w:r>
              <w:t>EU-kansliet</w:t>
            </w:r>
          </w:p>
          <w:p w:rsidR="00907A5F" w:rsidRDefault="00907A5F">
            <w:pPr>
              <w:pStyle w:val="Avsndare"/>
              <w:framePr w:h="2483" w:wrap="notBeside" w:x="1504"/>
            </w:pPr>
          </w:p>
          <w:p w:rsidR="00907A5F" w:rsidRDefault="00907A5F">
            <w:pPr>
              <w:pStyle w:val="Avsndare"/>
              <w:framePr w:h="2483" w:wrap="notBeside" w:x="1504"/>
            </w:pPr>
          </w:p>
          <w:p w:rsidR="00907A5F" w:rsidRDefault="00907A5F">
            <w:pPr>
              <w:pStyle w:val="Avsndare"/>
              <w:framePr w:h="2483" w:wrap="notBeside" w:x="1504"/>
            </w:pPr>
          </w:p>
          <w:p w:rsidR="00907A5F" w:rsidRDefault="00907A5F">
            <w:pPr>
              <w:pStyle w:val="Avsndare"/>
              <w:framePr w:h="2483" w:wrap="notBeside" w:x="1504"/>
              <w:rPr>
                <w:b/>
                <w:i w:val="0"/>
                <w:sz w:val="22"/>
              </w:rPr>
            </w:pPr>
          </w:p>
        </w:tc>
      </w:tr>
    </w:tbl>
    <w:p w:rsidR="00907A5F" w:rsidRDefault="00907A5F">
      <w:pPr>
        <w:framePr w:w="4400" w:h="2523" w:wrap="notBeside" w:vAnchor="page" w:hAnchor="page" w:x="6453" w:y="2445"/>
        <w:ind w:left="142"/>
      </w:pPr>
    </w:p>
    <w:p w:rsidR="00907A5F" w:rsidRDefault="00907A5F" w:rsidP="00381F55">
      <w:pPr>
        <w:pStyle w:val="Heading1"/>
      </w:pPr>
      <w:bookmarkStart w:id="0" w:name="_Toc67391946"/>
      <w:bookmarkStart w:id="1" w:name="_Toc70473239"/>
      <w:bookmarkStart w:id="2" w:name="_Toc352139149"/>
      <w:r>
        <w:t>Troliga A-punkter inför kommande rådsmöten som förväntas godkännas vid Coreper I och Coreper II</w:t>
      </w:r>
      <w:bookmarkEnd w:id="0"/>
      <w:bookmarkEnd w:id="1"/>
      <w:r>
        <w:t xml:space="preserve"> vecka 13.</w:t>
      </w:r>
      <w:bookmarkEnd w:id="2"/>
    </w:p>
    <w:p w:rsidR="00907A5F" w:rsidRDefault="00907A5F" w:rsidP="00381F55">
      <w:pPr>
        <w:pStyle w:val="BodyText"/>
      </w:pPr>
    </w:p>
    <w:p w:rsidR="00907A5F" w:rsidRDefault="00907A5F" w:rsidP="00381F55">
      <w:pPr>
        <w:pStyle w:val="BodyText"/>
      </w:pPr>
      <w:r>
        <w:t>Överlämnas för skriftligt samråd till torsdagen den 28 mars 2013, kl 14.00.</w:t>
      </w:r>
    </w:p>
    <w:p w:rsidR="00907A5F" w:rsidRDefault="00907A5F">
      <w:pPr>
        <w:spacing w:line="240" w:lineRule="auto"/>
        <w:rPr>
          <w:rFonts w:ascii="Garamond" w:hAnsi="Garamond"/>
        </w:rPr>
      </w:pPr>
      <w:r>
        <w:br w:type="page"/>
      </w:r>
    </w:p>
    <w:p w:rsidR="00907A5F" w:rsidRPr="00381F55" w:rsidRDefault="00907A5F" w:rsidP="00381F55">
      <w:pPr>
        <w:pStyle w:val="BodyText"/>
      </w:pPr>
    </w:p>
    <w:p w:rsidR="00907A5F" w:rsidRDefault="00907A5F">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rsidR="00907A5F" w:rsidRDefault="00907A5F">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2139149" w:history="1">
        <w:r w:rsidRPr="00673F9E">
          <w:rPr>
            <w:rStyle w:val="Hyperlink"/>
            <w:noProof/>
          </w:rPr>
          <w:t>Troliga A-punkter inför kommande rådsmöten som förväntas godkännas vid Coreper I och Coreper II vecka 13.</w:t>
        </w:r>
        <w:r>
          <w:rPr>
            <w:noProof/>
            <w:webHidden/>
          </w:rPr>
          <w:tab/>
        </w:r>
        <w:r>
          <w:rPr>
            <w:noProof/>
            <w:webHidden/>
          </w:rPr>
          <w:fldChar w:fldCharType="begin"/>
        </w:r>
        <w:r>
          <w:rPr>
            <w:noProof/>
            <w:webHidden/>
          </w:rPr>
          <w:instrText xml:space="preserve"> PAGEREF _Toc352139149 \h </w:instrText>
        </w:r>
        <w:r>
          <w:rPr>
            <w:noProof/>
            <w:webHidden/>
          </w:rPr>
        </w:r>
        <w:r>
          <w:rPr>
            <w:noProof/>
            <w:webHidden/>
          </w:rPr>
          <w:fldChar w:fldCharType="separate"/>
        </w:r>
        <w:r>
          <w:rPr>
            <w:noProof/>
            <w:webHidden/>
          </w:rPr>
          <w:t>1</w:t>
        </w:r>
        <w:r>
          <w:rPr>
            <w:noProof/>
            <w:webHidden/>
          </w:rPr>
          <w:fldChar w:fldCharType="end"/>
        </w:r>
      </w:hyperlink>
    </w:p>
    <w:p w:rsidR="00907A5F" w:rsidRDefault="00907A5F">
      <w:pPr>
        <w:pStyle w:val="TOC1"/>
        <w:tabs>
          <w:tab w:val="right" w:leader="dot" w:pos="7644"/>
        </w:tabs>
        <w:rPr>
          <w:rFonts w:ascii="Calibri" w:hAnsi="Calibri"/>
          <w:b w:val="0"/>
          <w:bCs w:val="0"/>
          <w:caps w:val="0"/>
          <w:noProof/>
          <w:sz w:val="22"/>
          <w:szCs w:val="22"/>
          <w:lang w:eastAsia="sv-SE"/>
        </w:rPr>
      </w:pPr>
      <w:hyperlink w:anchor="_Toc352139150" w:history="1">
        <w:r w:rsidRPr="00673F9E">
          <w:rPr>
            <w:rStyle w:val="Hyperlink"/>
            <w:noProof/>
          </w:rPr>
          <w:t>Frågor som lösts i förberedande instanser</w:t>
        </w:r>
        <w:r>
          <w:rPr>
            <w:noProof/>
            <w:webHidden/>
          </w:rPr>
          <w:tab/>
        </w:r>
        <w:r>
          <w:rPr>
            <w:noProof/>
            <w:webHidden/>
          </w:rPr>
          <w:fldChar w:fldCharType="begin"/>
        </w:r>
        <w:r>
          <w:rPr>
            <w:noProof/>
            <w:webHidden/>
          </w:rPr>
          <w:instrText xml:space="preserve"> PAGEREF _Toc352139150 \h </w:instrText>
        </w:r>
        <w:r>
          <w:rPr>
            <w:noProof/>
            <w:webHidden/>
          </w:rPr>
        </w:r>
        <w:r>
          <w:rPr>
            <w:noProof/>
            <w:webHidden/>
          </w:rPr>
          <w:fldChar w:fldCharType="separate"/>
        </w:r>
        <w:r>
          <w:rPr>
            <w:noProof/>
            <w:webHidden/>
          </w:rPr>
          <w:t>4</w:t>
        </w:r>
        <w:r>
          <w:rPr>
            <w:noProof/>
            <w:webHidden/>
          </w:rPr>
          <w:fldChar w:fldCharType="end"/>
        </w:r>
      </w:hyperlink>
    </w:p>
    <w:p w:rsidR="00907A5F" w:rsidRDefault="00907A5F">
      <w:pPr>
        <w:pStyle w:val="TOC1"/>
        <w:tabs>
          <w:tab w:val="right" w:leader="dot" w:pos="7644"/>
        </w:tabs>
        <w:rPr>
          <w:rFonts w:ascii="Calibri" w:hAnsi="Calibri"/>
          <w:b w:val="0"/>
          <w:bCs w:val="0"/>
          <w:caps w:val="0"/>
          <w:noProof/>
          <w:sz w:val="22"/>
          <w:szCs w:val="22"/>
          <w:lang w:eastAsia="sv-SE"/>
        </w:rPr>
      </w:pPr>
      <w:hyperlink w:anchor="_Toc352139151" w:history="1">
        <w:r w:rsidRPr="00673F9E">
          <w:rPr>
            <w:rStyle w:val="Hyperlink"/>
            <w:noProof/>
          </w:rPr>
          <w:t>Troliga A-punkter inför kommande rådsmöten som förväntas godkännas vid Coreper I 2013-03-27.</w:t>
        </w:r>
        <w:r>
          <w:rPr>
            <w:noProof/>
            <w:webHidden/>
          </w:rPr>
          <w:tab/>
        </w:r>
        <w:r>
          <w:rPr>
            <w:noProof/>
            <w:webHidden/>
          </w:rPr>
          <w:fldChar w:fldCharType="begin"/>
        </w:r>
        <w:r>
          <w:rPr>
            <w:noProof/>
            <w:webHidden/>
          </w:rPr>
          <w:instrText xml:space="preserve"> PAGEREF _Toc352139151 \h </w:instrText>
        </w:r>
        <w:r>
          <w:rPr>
            <w:noProof/>
            <w:webHidden/>
          </w:rPr>
        </w:r>
        <w:r>
          <w:rPr>
            <w:noProof/>
            <w:webHidden/>
          </w:rPr>
          <w:fldChar w:fldCharType="separate"/>
        </w:r>
        <w:r>
          <w:rPr>
            <w:noProof/>
            <w:webHidden/>
          </w:rPr>
          <w:t>4</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2" w:history="1">
        <w:r w:rsidRPr="00673F9E">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_Toc352139152 \h </w:instrText>
        </w:r>
        <w:r>
          <w:rPr>
            <w:noProof/>
            <w:webHidden/>
          </w:rPr>
        </w:r>
        <w:r>
          <w:rPr>
            <w:noProof/>
            <w:webHidden/>
          </w:rPr>
          <w:fldChar w:fldCharType="separate"/>
        </w:r>
        <w:r>
          <w:rPr>
            <w:noProof/>
            <w:webHidden/>
          </w:rPr>
          <w:t>4</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3" w:history="1">
        <w:r w:rsidRPr="00673F9E">
          <w:rPr>
            <w:rStyle w:val="Hyperlink"/>
            <w:noProof/>
          </w:rPr>
          <w:t>2. Commission Regulation (EU) No .../.. of XXX amending Annexes I, II and III to Regulation (EC) No 1333/2008 of the European Parliament and of the Council as regards the use of Iron oxides and hydroxides (E 172), Hydroxypropyl methyl cellulose (E 464) and Polysorbates (E 432 - 436) for marking of certain fruits = Decision not to oppose adoption</w:t>
        </w:r>
        <w:r>
          <w:rPr>
            <w:noProof/>
            <w:webHidden/>
          </w:rPr>
          <w:tab/>
        </w:r>
        <w:r>
          <w:rPr>
            <w:noProof/>
            <w:webHidden/>
          </w:rPr>
          <w:fldChar w:fldCharType="begin"/>
        </w:r>
        <w:r>
          <w:rPr>
            <w:noProof/>
            <w:webHidden/>
          </w:rPr>
          <w:instrText xml:space="preserve"> PAGEREF _Toc352139153 \h </w:instrText>
        </w:r>
        <w:r>
          <w:rPr>
            <w:noProof/>
            <w:webHidden/>
          </w:rPr>
        </w:r>
        <w:r>
          <w:rPr>
            <w:noProof/>
            <w:webHidden/>
          </w:rPr>
          <w:fldChar w:fldCharType="separate"/>
        </w:r>
        <w:r>
          <w:rPr>
            <w:noProof/>
            <w:webHidden/>
          </w:rPr>
          <w:t>5</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4" w:history="1">
        <w:r w:rsidRPr="00673F9E">
          <w:rPr>
            <w:rStyle w:val="Hyperlink"/>
            <w:noProof/>
          </w:rPr>
          <w:t>3. Commission Regulation (EU) No .../.. of XXX amending Annex II to Regulation (EC) No 1333/2008 of the European Parliament and of the Council as regards the use of several additives in certain alcoholic beverages = Decision not to oppose adoption</w:t>
        </w:r>
        <w:r>
          <w:rPr>
            <w:noProof/>
            <w:webHidden/>
          </w:rPr>
          <w:tab/>
        </w:r>
        <w:r>
          <w:rPr>
            <w:noProof/>
            <w:webHidden/>
          </w:rPr>
          <w:fldChar w:fldCharType="begin"/>
        </w:r>
        <w:r>
          <w:rPr>
            <w:noProof/>
            <w:webHidden/>
          </w:rPr>
          <w:instrText xml:space="preserve"> PAGEREF _Toc352139154 \h </w:instrText>
        </w:r>
        <w:r>
          <w:rPr>
            <w:noProof/>
            <w:webHidden/>
          </w:rPr>
        </w:r>
        <w:r>
          <w:rPr>
            <w:noProof/>
            <w:webHidden/>
          </w:rPr>
          <w:fldChar w:fldCharType="separate"/>
        </w:r>
        <w:r>
          <w:rPr>
            <w:noProof/>
            <w:webHidden/>
          </w:rPr>
          <w:t>5</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5" w:history="1">
        <w:r w:rsidRPr="00673F9E">
          <w:rPr>
            <w:rStyle w:val="Hyperlink"/>
            <w:noProof/>
          </w:rPr>
          <w:t>4. Commission Regulation (EU) No .../.. of XXX amending Regulation (EU) No 432/2012 establishing a list of permitted health claims made on foods other than those referring to the reduction of disease risk and to children's development and health = Decision not to oppose adoption</w:t>
        </w:r>
        <w:r>
          <w:rPr>
            <w:noProof/>
            <w:webHidden/>
          </w:rPr>
          <w:tab/>
        </w:r>
        <w:r>
          <w:rPr>
            <w:noProof/>
            <w:webHidden/>
          </w:rPr>
          <w:fldChar w:fldCharType="begin"/>
        </w:r>
        <w:r>
          <w:rPr>
            <w:noProof/>
            <w:webHidden/>
          </w:rPr>
          <w:instrText xml:space="preserve"> PAGEREF _Toc352139155 \h </w:instrText>
        </w:r>
        <w:r>
          <w:rPr>
            <w:noProof/>
            <w:webHidden/>
          </w:rPr>
        </w:r>
        <w:r>
          <w:rPr>
            <w:noProof/>
            <w:webHidden/>
          </w:rPr>
          <w:fldChar w:fldCharType="separate"/>
        </w:r>
        <w:r>
          <w:rPr>
            <w:noProof/>
            <w:webHidden/>
          </w:rPr>
          <w:t>6</w:t>
        </w:r>
        <w:r>
          <w:rPr>
            <w:noProof/>
            <w:webHidden/>
          </w:rPr>
          <w:fldChar w:fldCharType="end"/>
        </w:r>
      </w:hyperlink>
    </w:p>
    <w:p w:rsidR="00907A5F" w:rsidRDefault="00907A5F">
      <w:pPr>
        <w:pStyle w:val="TOC1"/>
        <w:tabs>
          <w:tab w:val="right" w:leader="dot" w:pos="7644"/>
        </w:tabs>
        <w:rPr>
          <w:rFonts w:ascii="Calibri" w:hAnsi="Calibri"/>
          <w:b w:val="0"/>
          <w:bCs w:val="0"/>
          <w:caps w:val="0"/>
          <w:noProof/>
          <w:sz w:val="22"/>
          <w:szCs w:val="22"/>
          <w:lang w:eastAsia="sv-SE"/>
        </w:rPr>
      </w:pPr>
      <w:hyperlink w:anchor="_Toc352139156" w:history="1">
        <w:r w:rsidRPr="00673F9E">
          <w:rPr>
            <w:rStyle w:val="Hyperlink"/>
            <w:noProof/>
          </w:rPr>
          <w:t>Troliga A-punkter inför kommande rådsmöten som förväntas godkännas vid Coreper II 2013-03-27.</w:t>
        </w:r>
        <w:r>
          <w:rPr>
            <w:noProof/>
            <w:webHidden/>
          </w:rPr>
          <w:tab/>
        </w:r>
        <w:r>
          <w:rPr>
            <w:noProof/>
            <w:webHidden/>
          </w:rPr>
          <w:fldChar w:fldCharType="begin"/>
        </w:r>
        <w:r>
          <w:rPr>
            <w:noProof/>
            <w:webHidden/>
          </w:rPr>
          <w:instrText xml:space="preserve"> PAGEREF _Toc352139156 \h </w:instrText>
        </w:r>
        <w:r>
          <w:rPr>
            <w:noProof/>
            <w:webHidden/>
          </w:rPr>
        </w:r>
        <w:r>
          <w:rPr>
            <w:noProof/>
            <w:webHidden/>
          </w:rPr>
          <w:fldChar w:fldCharType="separate"/>
        </w:r>
        <w:r>
          <w:rPr>
            <w:noProof/>
            <w:webHidden/>
          </w:rPr>
          <w:t>7</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7" w:history="1">
        <w:r w:rsidRPr="00673F9E">
          <w:rPr>
            <w:rStyle w:val="Hyperlink"/>
            <w:noProof/>
          </w:rPr>
          <w:t>5. Case before the General Court= Case T-80/13 Syrian Lebanese Commercial Bank S.A.L. v. Council of the EU</w:t>
        </w:r>
        <w:r>
          <w:rPr>
            <w:noProof/>
            <w:webHidden/>
          </w:rPr>
          <w:tab/>
        </w:r>
        <w:r>
          <w:rPr>
            <w:noProof/>
            <w:webHidden/>
          </w:rPr>
          <w:fldChar w:fldCharType="begin"/>
        </w:r>
        <w:r>
          <w:rPr>
            <w:noProof/>
            <w:webHidden/>
          </w:rPr>
          <w:instrText xml:space="preserve"> PAGEREF _Toc352139157 \h </w:instrText>
        </w:r>
        <w:r>
          <w:rPr>
            <w:noProof/>
            <w:webHidden/>
          </w:rPr>
        </w:r>
        <w:r>
          <w:rPr>
            <w:noProof/>
            <w:webHidden/>
          </w:rPr>
          <w:fldChar w:fldCharType="separate"/>
        </w:r>
        <w:r>
          <w:rPr>
            <w:noProof/>
            <w:webHidden/>
          </w:rPr>
          <w:t>7</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8" w:history="1">
        <w:r w:rsidRPr="00673F9E">
          <w:rPr>
            <w:rStyle w:val="Hyperlink"/>
            <w:noProof/>
          </w:rPr>
          <w:t>6. Cases before the General Court = Cases T-496/10 and T-494/10, Bank Mellat and Bank Saderat Iran v. Council</w:t>
        </w:r>
        <w:r>
          <w:rPr>
            <w:noProof/>
            <w:webHidden/>
          </w:rPr>
          <w:tab/>
        </w:r>
        <w:r>
          <w:rPr>
            <w:noProof/>
            <w:webHidden/>
          </w:rPr>
          <w:fldChar w:fldCharType="begin"/>
        </w:r>
        <w:r>
          <w:rPr>
            <w:noProof/>
            <w:webHidden/>
          </w:rPr>
          <w:instrText xml:space="preserve"> PAGEREF _Toc352139158 \h </w:instrText>
        </w:r>
        <w:r>
          <w:rPr>
            <w:noProof/>
            <w:webHidden/>
          </w:rPr>
        </w:r>
        <w:r>
          <w:rPr>
            <w:noProof/>
            <w:webHidden/>
          </w:rPr>
          <w:fldChar w:fldCharType="separate"/>
        </w:r>
        <w:r>
          <w:rPr>
            <w:noProof/>
            <w:webHidden/>
          </w:rPr>
          <w:t>7</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59" w:history="1">
        <w:r w:rsidRPr="00673F9E">
          <w:rPr>
            <w:rStyle w:val="Hyperlink"/>
            <w:noProof/>
          </w:rPr>
          <w:t>7. Case before the General Court = Case C-81/13 United Kingdom against the Council of the European Union and the European Parliament</w:t>
        </w:r>
        <w:r>
          <w:rPr>
            <w:noProof/>
            <w:webHidden/>
          </w:rPr>
          <w:tab/>
        </w:r>
        <w:r>
          <w:rPr>
            <w:noProof/>
            <w:webHidden/>
          </w:rPr>
          <w:fldChar w:fldCharType="begin"/>
        </w:r>
        <w:r>
          <w:rPr>
            <w:noProof/>
            <w:webHidden/>
          </w:rPr>
          <w:instrText xml:space="preserve"> PAGEREF _Toc352139159 \h </w:instrText>
        </w:r>
        <w:r>
          <w:rPr>
            <w:noProof/>
            <w:webHidden/>
          </w:rPr>
        </w:r>
        <w:r>
          <w:rPr>
            <w:noProof/>
            <w:webHidden/>
          </w:rPr>
          <w:fldChar w:fldCharType="separate"/>
        </w:r>
        <w:r>
          <w:rPr>
            <w:noProof/>
            <w:webHidden/>
          </w:rPr>
          <w:t>7</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0" w:history="1">
        <w:r w:rsidRPr="00673F9E">
          <w:rPr>
            <w:rStyle w:val="Hyperlink"/>
            <w:noProof/>
          </w:rPr>
          <w:t>8. Case T-331/11 (Besselink v. Council of the European Union) before the General Court = Production of a Council document before the General Court</w:t>
        </w:r>
        <w:r>
          <w:rPr>
            <w:noProof/>
            <w:webHidden/>
          </w:rPr>
          <w:tab/>
        </w:r>
        <w:r>
          <w:rPr>
            <w:noProof/>
            <w:webHidden/>
          </w:rPr>
          <w:fldChar w:fldCharType="begin"/>
        </w:r>
        <w:r>
          <w:rPr>
            <w:noProof/>
            <w:webHidden/>
          </w:rPr>
          <w:instrText xml:space="preserve"> PAGEREF _Toc352139160 \h </w:instrText>
        </w:r>
        <w:r>
          <w:rPr>
            <w:noProof/>
            <w:webHidden/>
          </w:rPr>
        </w:r>
        <w:r>
          <w:rPr>
            <w:noProof/>
            <w:webHidden/>
          </w:rPr>
          <w:fldChar w:fldCharType="separate"/>
        </w:r>
        <w:r>
          <w:rPr>
            <w:noProof/>
            <w:webHidden/>
          </w:rPr>
          <w:t>8</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1" w:history="1">
        <w:r w:rsidRPr="00673F9E">
          <w:rPr>
            <w:rStyle w:val="Hyperlink"/>
            <w:noProof/>
          </w:rPr>
          <w:t>9. Committee of the Regions = Council Decision appointing a Spanish member of the Committee of the Regions</w:t>
        </w:r>
        <w:r>
          <w:rPr>
            <w:noProof/>
            <w:webHidden/>
          </w:rPr>
          <w:tab/>
        </w:r>
        <w:r>
          <w:rPr>
            <w:noProof/>
            <w:webHidden/>
          </w:rPr>
          <w:fldChar w:fldCharType="begin"/>
        </w:r>
        <w:r>
          <w:rPr>
            <w:noProof/>
            <w:webHidden/>
          </w:rPr>
          <w:instrText xml:space="preserve"> PAGEREF _Toc352139161 \h </w:instrText>
        </w:r>
        <w:r>
          <w:rPr>
            <w:noProof/>
            <w:webHidden/>
          </w:rPr>
        </w:r>
        <w:r>
          <w:rPr>
            <w:noProof/>
            <w:webHidden/>
          </w:rPr>
          <w:fldChar w:fldCharType="separate"/>
        </w:r>
        <w:r>
          <w:rPr>
            <w:noProof/>
            <w:webHidden/>
          </w:rPr>
          <w:t>8</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2" w:history="1">
        <w:r w:rsidRPr="00673F9E">
          <w:rPr>
            <w:rStyle w:val="Hyperlink"/>
            <w:noProof/>
          </w:rPr>
          <w:t>10. Modernising systems for handling and delivering European Council and Council documents = Orientations to guide future work on COCOON (Council Collaboration Online)</w:t>
        </w:r>
        <w:r>
          <w:rPr>
            <w:noProof/>
            <w:webHidden/>
          </w:rPr>
          <w:tab/>
        </w:r>
        <w:r>
          <w:rPr>
            <w:noProof/>
            <w:webHidden/>
          </w:rPr>
          <w:fldChar w:fldCharType="begin"/>
        </w:r>
        <w:r>
          <w:rPr>
            <w:noProof/>
            <w:webHidden/>
          </w:rPr>
          <w:instrText xml:space="preserve"> PAGEREF _Toc352139162 \h </w:instrText>
        </w:r>
        <w:r>
          <w:rPr>
            <w:noProof/>
            <w:webHidden/>
          </w:rPr>
        </w:r>
        <w:r>
          <w:rPr>
            <w:noProof/>
            <w:webHidden/>
          </w:rPr>
          <w:fldChar w:fldCharType="separate"/>
        </w:r>
        <w:r>
          <w:rPr>
            <w:noProof/>
            <w:webHidden/>
          </w:rPr>
          <w:t>8</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3" w:history="1">
        <w:r w:rsidRPr="00673F9E">
          <w:rPr>
            <w:rStyle w:val="Hyperlink"/>
            <w:noProof/>
          </w:rPr>
          <w:t>11. Council Implementing Decision authorising Latvia to introduce a special measure derogating from point (a) of Article 26(1) and Articles 168 and 168a of Directive 12006/112/EC on the common system of value added tax = Adoption</w:t>
        </w:r>
        <w:r>
          <w:rPr>
            <w:noProof/>
            <w:webHidden/>
          </w:rPr>
          <w:tab/>
        </w:r>
        <w:r>
          <w:rPr>
            <w:noProof/>
            <w:webHidden/>
          </w:rPr>
          <w:fldChar w:fldCharType="begin"/>
        </w:r>
        <w:r>
          <w:rPr>
            <w:noProof/>
            <w:webHidden/>
          </w:rPr>
          <w:instrText xml:space="preserve"> PAGEREF _Toc352139163 \h </w:instrText>
        </w:r>
        <w:r>
          <w:rPr>
            <w:noProof/>
            <w:webHidden/>
          </w:rPr>
        </w:r>
        <w:r>
          <w:rPr>
            <w:noProof/>
            <w:webHidden/>
          </w:rPr>
          <w:fldChar w:fldCharType="separate"/>
        </w:r>
        <w:r>
          <w:rPr>
            <w:noProof/>
            <w:webHidden/>
          </w:rPr>
          <w:t>9</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4" w:history="1">
        <w:r w:rsidRPr="00673F9E">
          <w:rPr>
            <w:rStyle w:val="Hyperlink"/>
            <w:noProof/>
          </w:rPr>
          <w:t>12. Revised capital requirements rules (CRD IV) [First Reading] a) Proposal for a Regulation of the European Parliament and of the Council on prudential requirements for credit institutions and investment firms b) Proposal for a Directive of the European Parliament and of the Council on the access to the activity of credit institutions and the prudential supervision of credit institutions and investment firms and amending Directive 2002/87/EC of the European Parliament and of the Council on the supplementary supervision of credit institutions, insurance undertakings and investment firms in a financial conglomerate = Approval of the final compromise text</w:t>
        </w:r>
        <w:r>
          <w:rPr>
            <w:noProof/>
            <w:webHidden/>
          </w:rPr>
          <w:tab/>
        </w:r>
        <w:r>
          <w:rPr>
            <w:noProof/>
            <w:webHidden/>
          </w:rPr>
          <w:fldChar w:fldCharType="begin"/>
        </w:r>
        <w:r>
          <w:rPr>
            <w:noProof/>
            <w:webHidden/>
          </w:rPr>
          <w:instrText xml:space="preserve"> PAGEREF _Toc352139164 \h </w:instrText>
        </w:r>
        <w:r>
          <w:rPr>
            <w:noProof/>
            <w:webHidden/>
          </w:rPr>
        </w:r>
        <w:r>
          <w:rPr>
            <w:noProof/>
            <w:webHidden/>
          </w:rPr>
          <w:fldChar w:fldCharType="separate"/>
        </w:r>
        <w:r>
          <w:rPr>
            <w:noProof/>
            <w:webHidden/>
          </w:rPr>
          <w:t>10</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5" w:history="1">
        <w:r w:rsidRPr="00673F9E">
          <w:rPr>
            <w:rStyle w:val="Hyperlink"/>
            <w:noProof/>
          </w:rPr>
          <w:t>13. Enlargement = Accession negotiations with Montenegro- Outcome of screening on Chapter 20 : Enterprise and industrial policy</w:t>
        </w:r>
        <w:r>
          <w:rPr>
            <w:noProof/>
            <w:webHidden/>
          </w:rPr>
          <w:tab/>
        </w:r>
        <w:r>
          <w:rPr>
            <w:noProof/>
            <w:webHidden/>
          </w:rPr>
          <w:fldChar w:fldCharType="begin"/>
        </w:r>
        <w:r>
          <w:rPr>
            <w:noProof/>
            <w:webHidden/>
          </w:rPr>
          <w:instrText xml:space="preserve"> PAGEREF _Toc352139165 \h </w:instrText>
        </w:r>
        <w:r>
          <w:rPr>
            <w:noProof/>
            <w:webHidden/>
          </w:rPr>
        </w:r>
        <w:r>
          <w:rPr>
            <w:noProof/>
            <w:webHidden/>
          </w:rPr>
          <w:fldChar w:fldCharType="separate"/>
        </w:r>
        <w:r>
          <w:rPr>
            <w:noProof/>
            <w:webHidden/>
          </w:rPr>
          <w:t>12</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6" w:history="1">
        <w:r w:rsidRPr="00673F9E">
          <w:rPr>
            <w:rStyle w:val="Hyperlink"/>
            <w:noProof/>
          </w:rPr>
          <w:t>14. Proposal for a Regulation of the European Parliament and of the Council amending Annex I to Council Regulation (EC) n° 1528/2007 as regards the exclusion of a number of countries from the list of regions or states which have concluded negotiations [Second Reading] = Approval of the final compromise text</w:t>
        </w:r>
        <w:r>
          <w:rPr>
            <w:noProof/>
            <w:webHidden/>
          </w:rPr>
          <w:tab/>
        </w:r>
        <w:r>
          <w:rPr>
            <w:noProof/>
            <w:webHidden/>
          </w:rPr>
          <w:fldChar w:fldCharType="begin"/>
        </w:r>
        <w:r>
          <w:rPr>
            <w:noProof/>
            <w:webHidden/>
          </w:rPr>
          <w:instrText xml:space="preserve"> PAGEREF _Toc352139166 \h </w:instrText>
        </w:r>
        <w:r>
          <w:rPr>
            <w:noProof/>
            <w:webHidden/>
          </w:rPr>
        </w:r>
        <w:r>
          <w:rPr>
            <w:noProof/>
            <w:webHidden/>
          </w:rPr>
          <w:fldChar w:fldCharType="separate"/>
        </w:r>
        <w:r>
          <w:rPr>
            <w:noProof/>
            <w:webHidden/>
          </w:rPr>
          <w:t>12</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7" w:history="1">
        <w:r w:rsidRPr="00673F9E">
          <w:rPr>
            <w:rStyle w:val="Hyperlink"/>
            <w:noProof/>
          </w:rPr>
          <w:t>15. Proposal for a Regulation of the European Parliament and of the Council repealing Council Regulation (EC) n) 552/97 temporarily withdrawing access to generalised tariff preferences from Myanmar/Burma [First Reading] = Approval of the final compromise text</w:t>
        </w:r>
        <w:r>
          <w:rPr>
            <w:noProof/>
            <w:webHidden/>
          </w:rPr>
          <w:tab/>
        </w:r>
        <w:r>
          <w:rPr>
            <w:noProof/>
            <w:webHidden/>
          </w:rPr>
          <w:fldChar w:fldCharType="begin"/>
        </w:r>
        <w:r>
          <w:rPr>
            <w:noProof/>
            <w:webHidden/>
          </w:rPr>
          <w:instrText xml:space="preserve"> PAGEREF _Toc352139167 \h </w:instrText>
        </w:r>
        <w:r>
          <w:rPr>
            <w:noProof/>
            <w:webHidden/>
          </w:rPr>
        </w:r>
        <w:r>
          <w:rPr>
            <w:noProof/>
            <w:webHidden/>
          </w:rPr>
          <w:fldChar w:fldCharType="separate"/>
        </w:r>
        <w:r>
          <w:rPr>
            <w:noProof/>
            <w:webHidden/>
          </w:rPr>
          <w:t>14</w:t>
        </w:r>
        <w:r>
          <w:rPr>
            <w:noProof/>
            <w:webHidden/>
          </w:rPr>
          <w:fldChar w:fldCharType="end"/>
        </w:r>
      </w:hyperlink>
    </w:p>
    <w:p w:rsidR="00907A5F" w:rsidRDefault="00907A5F">
      <w:pPr>
        <w:pStyle w:val="TOC2"/>
        <w:tabs>
          <w:tab w:val="right" w:leader="dot" w:pos="7644"/>
        </w:tabs>
        <w:rPr>
          <w:rFonts w:ascii="Calibri" w:hAnsi="Calibri"/>
          <w:b w:val="0"/>
          <w:bCs w:val="0"/>
          <w:noProof/>
          <w:sz w:val="22"/>
          <w:szCs w:val="22"/>
          <w:lang w:eastAsia="sv-SE"/>
        </w:rPr>
      </w:pPr>
      <w:hyperlink w:anchor="_Toc352139168" w:history="1">
        <w:r w:rsidRPr="00673F9E">
          <w:rPr>
            <w:rStyle w:val="Hyperlink"/>
            <w:noProof/>
          </w:rPr>
          <w:t>16. Draft Joint Declaration on a Common Agenda on Migration and Mobility between India and the European Union and its Member States</w:t>
        </w:r>
        <w:r>
          <w:rPr>
            <w:noProof/>
            <w:webHidden/>
          </w:rPr>
          <w:tab/>
        </w:r>
        <w:r>
          <w:rPr>
            <w:noProof/>
            <w:webHidden/>
          </w:rPr>
          <w:fldChar w:fldCharType="begin"/>
        </w:r>
        <w:r>
          <w:rPr>
            <w:noProof/>
            <w:webHidden/>
          </w:rPr>
          <w:instrText xml:space="preserve"> PAGEREF _Toc352139168 \h </w:instrText>
        </w:r>
        <w:r>
          <w:rPr>
            <w:noProof/>
            <w:webHidden/>
          </w:rPr>
        </w:r>
        <w:r>
          <w:rPr>
            <w:noProof/>
            <w:webHidden/>
          </w:rPr>
          <w:fldChar w:fldCharType="separate"/>
        </w:r>
        <w:r>
          <w:rPr>
            <w:noProof/>
            <w:webHidden/>
          </w:rPr>
          <w:t>15</w:t>
        </w:r>
        <w:r>
          <w:rPr>
            <w:noProof/>
            <w:webHidden/>
          </w:rPr>
          <w:fldChar w:fldCharType="end"/>
        </w:r>
      </w:hyperlink>
    </w:p>
    <w:p w:rsidR="00907A5F" w:rsidRDefault="00907A5F">
      <w:pPr>
        <w:pStyle w:val="RKnormal"/>
        <w:ind w:left="0"/>
        <w:rPr>
          <w:b/>
          <w:bCs/>
        </w:rPr>
      </w:pPr>
      <w:r>
        <w:rPr>
          <w:b/>
          <w:bCs/>
        </w:rPr>
        <w:fldChar w:fldCharType="end"/>
      </w:r>
    </w:p>
    <w:p w:rsidR="00907A5F" w:rsidRDefault="00907A5F">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2139150"/>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07A5F" w:rsidRDefault="00907A5F">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907A5F" w:rsidRDefault="00907A5F">
      <w:pPr>
        <w:pStyle w:val="Heading1"/>
        <w:spacing w:before="0" w:after="0"/>
      </w:pPr>
      <w:r>
        <w:t xml:space="preserve"> </w:t>
      </w:r>
      <w:bookmarkStart w:id="55" w:name="Punkt"/>
      <w:bookmarkEnd w:id="55"/>
    </w:p>
    <w:p w:rsidR="00907A5F" w:rsidRDefault="00907A5F" w:rsidP="00381F55">
      <w:pPr>
        <w:pStyle w:val="Heading1"/>
      </w:pPr>
      <w:bookmarkStart w:id="56" w:name="_Toc352139151"/>
      <w:r>
        <w:t>Troliga A-punkter inför kommande rådsmöten som förväntas godkännas vid Coreper I 2013-03-27.</w:t>
      </w:r>
      <w:bookmarkEnd w:id="56"/>
      <w:r>
        <w:t xml:space="preserve"> </w:t>
      </w:r>
    </w:p>
    <w:p w:rsidR="00907A5F" w:rsidRDefault="00907A5F" w:rsidP="003E1E27">
      <w:pPr>
        <w:pStyle w:val="Heading2"/>
      </w:pPr>
      <w:bookmarkStart w:id="57" w:name="_Toc352139152"/>
      <w:r>
        <w:t>1. Replies to written questions put to the Council by Members of the European Parliament</w:t>
      </w:r>
      <w:bookmarkEnd w:id="57"/>
    </w:p>
    <w:p w:rsidR="00907A5F" w:rsidRPr="003E1E27" w:rsidRDefault="00907A5F" w:rsidP="00381F55">
      <w:r>
        <w:t>(a) n° E-000784/2013 put by Raül Romeva i Rueda "Youth unemployment in Spain in 2012" (b) n° E-000785/2013 put by Raül Romeva i Rueda "Unemployment in Spain" (c) n° E-000847/2013 put by Inês Cristina Zuber and João Ferreira "End to the 'Common Position' on Cuba" (d) n° P-000997/2013 put by Werner Schulz "Eurojust"(e) n° E-001149/2013 put by Ádám Kósa "The subject matter of point 57 of the INI Report in relation to the reduction of prejudice among children"</w:t>
      </w:r>
    </w:p>
    <w:p w:rsidR="00907A5F" w:rsidRDefault="00907A5F">
      <w:pPr>
        <w:pStyle w:val="RKnormal"/>
        <w:tabs>
          <w:tab w:val="clear" w:pos="1843"/>
          <w:tab w:val="left" w:pos="0"/>
        </w:tabs>
        <w:ind w:left="0"/>
      </w:pPr>
    </w:p>
    <w:p w:rsidR="00907A5F" w:rsidRPr="003E1E27" w:rsidRDefault="00907A5F" w:rsidP="003E1E27">
      <w:r>
        <w:t>7072/13, 7056/13, 7047/13, 7406/13, 7016/13</w:t>
      </w:r>
    </w:p>
    <w:p w:rsidR="00907A5F" w:rsidRDefault="00907A5F">
      <w:pPr>
        <w:pStyle w:val="RKnormal"/>
        <w:tabs>
          <w:tab w:val="clear" w:pos="1843"/>
          <w:tab w:val="left" w:pos="0"/>
        </w:tabs>
        <w:ind w:left="0"/>
      </w:pPr>
    </w:p>
    <w:p w:rsidR="00907A5F" w:rsidRPr="003E1E27" w:rsidRDefault="00907A5F" w:rsidP="003E1E27">
      <w:r>
        <w:t>Ansvarigt departement: Statsrådsberedningen</w:t>
      </w:r>
    </w:p>
    <w:p w:rsidR="00907A5F" w:rsidRDefault="00907A5F">
      <w:pPr>
        <w:pStyle w:val="RKnormal"/>
        <w:tabs>
          <w:tab w:val="clear" w:pos="1843"/>
          <w:tab w:val="left" w:pos="0"/>
        </w:tabs>
        <w:ind w:left="0"/>
      </w:pPr>
    </w:p>
    <w:p w:rsidR="00907A5F" w:rsidRPr="003E1E27" w:rsidRDefault="00907A5F" w:rsidP="003E1E27">
      <w:r>
        <w:t>Ansvarigt statsråd: Birgitta Ohlsson</w:t>
      </w:r>
    </w:p>
    <w:p w:rsidR="00907A5F" w:rsidRDefault="00907A5F">
      <w:pPr>
        <w:pStyle w:val="RKnormal"/>
        <w:tabs>
          <w:tab w:val="clear" w:pos="1843"/>
          <w:tab w:val="left" w:pos="0"/>
        </w:tabs>
        <w:ind w:left="0"/>
      </w:pPr>
    </w:p>
    <w:p w:rsidR="00907A5F" w:rsidRPr="003E1E27" w:rsidRDefault="00907A5F" w:rsidP="003E1E27">
      <w:r>
        <w:t>Förväntas godkännas av Coreper I den 27 mars 2013</w:t>
      </w:r>
    </w:p>
    <w:p w:rsidR="00907A5F" w:rsidRDefault="00907A5F">
      <w:pPr>
        <w:pStyle w:val="RKnormal"/>
        <w:tabs>
          <w:tab w:val="clear" w:pos="1843"/>
          <w:tab w:val="left" w:pos="0"/>
        </w:tabs>
        <w:ind w:left="0"/>
      </w:pPr>
    </w:p>
    <w:p w:rsidR="00907A5F" w:rsidRDefault="00907A5F" w:rsidP="00381F55">
      <w:r>
        <w:t xml:space="preserve">Föranleder ingen annotering. </w:t>
      </w:r>
    </w:p>
    <w:p w:rsidR="00907A5F" w:rsidRDefault="00907A5F" w:rsidP="00381F55">
      <w:pPr>
        <w:pStyle w:val="RKnormal"/>
        <w:rPr>
          <w:rFonts w:ascii="Arial" w:hAnsi="Arial" w:cs="Arial"/>
          <w:kern w:val="28"/>
        </w:rPr>
      </w:pPr>
      <w:r>
        <w:br w:type="page"/>
      </w:r>
    </w:p>
    <w:p w:rsidR="00907A5F" w:rsidRPr="003E1E27" w:rsidRDefault="00907A5F" w:rsidP="003E1E27">
      <w:pPr>
        <w:pStyle w:val="Heading2"/>
      </w:pPr>
      <w:bookmarkStart w:id="58" w:name="_Toc352139153"/>
      <w:r>
        <w:t>2. Commission Regulation (EU) No .../.. of XXX amending Annexes I, II and III to Regulation (EC) No 1333/2008 of the European Parliament and of the Council as regards the use of Iron oxides and hydroxides (E 172), Hydroxypropyl methyl cellulose (E 464) and Polysorbates (E 432 - 436) for marking of certain fruits = Decision not to oppose adoption</w:t>
      </w:r>
      <w:bookmarkEnd w:id="58"/>
    </w:p>
    <w:p w:rsidR="00907A5F" w:rsidRPr="003E1E27" w:rsidRDefault="00907A5F" w:rsidP="003E1E27">
      <w:r>
        <w:t>6821/13, 7654/13</w:t>
      </w:r>
    </w:p>
    <w:p w:rsidR="00907A5F" w:rsidRDefault="00907A5F">
      <w:pPr>
        <w:pStyle w:val="RKnormal"/>
        <w:tabs>
          <w:tab w:val="clear" w:pos="1843"/>
          <w:tab w:val="left" w:pos="0"/>
        </w:tabs>
        <w:ind w:left="0"/>
      </w:pPr>
    </w:p>
    <w:p w:rsidR="00907A5F" w:rsidRPr="003E1E27" w:rsidRDefault="00907A5F" w:rsidP="003E1E27">
      <w:r>
        <w:t>Ansvarigt departement: Landsbygdsdepartementet</w:t>
      </w:r>
    </w:p>
    <w:p w:rsidR="00907A5F" w:rsidRDefault="00907A5F">
      <w:pPr>
        <w:pStyle w:val="RKnormal"/>
        <w:tabs>
          <w:tab w:val="clear" w:pos="1843"/>
          <w:tab w:val="left" w:pos="0"/>
        </w:tabs>
        <w:ind w:left="0"/>
      </w:pPr>
    </w:p>
    <w:p w:rsidR="00907A5F" w:rsidRPr="003E1E27" w:rsidRDefault="00907A5F" w:rsidP="003E1E27">
      <w:r>
        <w:t>Ansvarigt statsråd: Eskil Erlandsson</w:t>
      </w:r>
    </w:p>
    <w:p w:rsidR="00907A5F" w:rsidRDefault="00907A5F">
      <w:pPr>
        <w:pStyle w:val="RKnormal"/>
        <w:tabs>
          <w:tab w:val="clear" w:pos="1843"/>
          <w:tab w:val="left" w:pos="0"/>
        </w:tabs>
        <w:ind w:left="0"/>
      </w:pPr>
    </w:p>
    <w:p w:rsidR="00907A5F" w:rsidRDefault="00907A5F" w:rsidP="003E1E27">
      <w:r>
        <w:t>Förväntas godkännas av Coreper I den 27 mars 2013</w:t>
      </w:r>
    </w:p>
    <w:p w:rsidR="00907A5F" w:rsidRDefault="00907A5F" w:rsidP="003E1E27"/>
    <w:p w:rsidR="00907A5F" w:rsidRDefault="00907A5F" w:rsidP="003E1E27">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907A5F" w:rsidRPr="003E1E27" w:rsidRDefault="00907A5F" w:rsidP="003E1E27">
      <w:pPr>
        <w:pStyle w:val="Heading2"/>
      </w:pPr>
      <w:bookmarkStart w:id="59" w:name="_Toc352139154"/>
      <w:r>
        <w:t>3. Commission Regulation (EU) No .../.. of XXX amending Annex II to Regulation (EC) No 1333/2008 of the European Parliament and of the Council as regards the use of several additives in certain alcoholic beverages = Decision not to oppose adoption</w:t>
      </w:r>
      <w:bookmarkEnd w:id="59"/>
    </w:p>
    <w:p w:rsidR="00907A5F" w:rsidRPr="003E1E27" w:rsidRDefault="00907A5F" w:rsidP="003E1E27">
      <w:r>
        <w:t>6820/13, 7651/13</w:t>
      </w:r>
    </w:p>
    <w:p w:rsidR="00907A5F" w:rsidRDefault="00907A5F" w:rsidP="003E1E27"/>
    <w:p w:rsidR="00907A5F" w:rsidRPr="003E1E27" w:rsidRDefault="00907A5F" w:rsidP="003E1E27">
      <w:r>
        <w:t>Ansvarigt departement: Landsbygdsdepartementet</w:t>
      </w:r>
    </w:p>
    <w:p w:rsidR="00907A5F" w:rsidRDefault="00907A5F" w:rsidP="003E1E27"/>
    <w:p w:rsidR="00907A5F" w:rsidRPr="003E1E27" w:rsidRDefault="00907A5F" w:rsidP="003E1E27">
      <w:r>
        <w:t>Ansvarigt statsråd: Eskil Erlandsson</w:t>
      </w:r>
    </w:p>
    <w:p w:rsidR="00907A5F" w:rsidRDefault="00907A5F" w:rsidP="003E1E27"/>
    <w:p w:rsidR="00907A5F" w:rsidRPr="003E1E27" w:rsidRDefault="00907A5F" w:rsidP="003E1E27">
      <w:r>
        <w:t>Förväntas godkännas av Coreper I den 27 mars 2013</w:t>
      </w:r>
    </w:p>
    <w:p w:rsidR="00907A5F" w:rsidRDefault="00907A5F" w:rsidP="003E1E27"/>
    <w:p w:rsidR="00907A5F" w:rsidRDefault="00907A5F" w:rsidP="003E1E27">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907A5F" w:rsidRPr="003E1E27" w:rsidRDefault="00907A5F" w:rsidP="003E1E27">
      <w:pPr>
        <w:pStyle w:val="Heading2"/>
      </w:pPr>
      <w:bookmarkStart w:id="60" w:name="_Toc352139155"/>
      <w:r>
        <w:t>4. Commission Regulation (EU) No .../.. of XXX amending Regulation (EU) No 432/2012 establishing a list of permitted health claims made on foods other than those referring to the reduction of disease risk and to children's development and health = Decision not to oppose adoption</w:t>
      </w:r>
      <w:bookmarkEnd w:id="60"/>
    </w:p>
    <w:p w:rsidR="00907A5F" w:rsidRPr="003E1E27" w:rsidRDefault="00907A5F" w:rsidP="003E1E27">
      <w:r>
        <w:t>6875/13, 7652/13</w:t>
      </w:r>
    </w:p>
    <w:p w:rsidR="00907A5F" w:rsidRDefault="00907A5F" w:rsidP="003E1E27"/>
    <w:p w:rsidR="00907A5F" w:rsidRPr="003E1E27" w:rsidRDefault="00907A5F" w:rsidP="003E1E27">
      <w:r>
        <w:t>Ansvarigt departement: Landsbygdsdepartementet</w:t>
      </w:r>
    </w:p>
    <w:p w:rsidR="00907A5F" w:rsidRDefault="00907A5F" w:rsidP="003E1E27"/>
    <w:p w:rsidR="00907A5F" w:rsidRPr="003E1E27" w:rsidRDefault="00907A5F" w:rsidP="003E1E27">
      <w:r>
        <w:t>Ansvarigt statsråd: Eskil Erlandsson</w:t>
      </w:r>
    </w:p>
    <w:p w:rsidR="00907A5F" w:rsidRDefault="00907A5F" w:rsidP="003E1E27"/>
    <w:p w:rsidR="00907A5F" w:rsidRPr="003E1E27" w:rsidRDefault="00907A5F" w:rsidP="003E1E27">
      <w:r>
        <w:t>Förväntas godkännas av Coreper I den 27 mars 2013</w:t>
      </w:r>
    </w:p>
    <w:p w:rsidR="00907A5F" w:rsidRDefault="00907A5F" w:rsidP="003E1E27"/>
    <w:p w:rsidR="00907A5F" w:rsidRDefault="00907A5F" w:rsidP="003E1E27">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907A5F" w:rsidRDefault="00907A5F" w:rsidP="003E1E27"/>
    <w:p w:rsidR="00907A5F" w:rsidRDefault="00907A5F">
      <w:pPr>
        <w:spacing w:line="240" w:lineRule="auto"/>
        <w:rPr>
          <w:rFonts w:ascii="TradeGothic" w:hAnsi="TradeGothic"/>
          <w:b/>
          <w:kern w:val="28"/>
          <w:sz w:val="28"/>
        </w:rPr>
      </w:pPr>
      <w:r>
        <w:br w:type="page"/>
      </w:r>
    </w:p>
    <w:p w:rsidR="00907A5F" w:rsidRDefault="00907A5F" w:rsidP="00381F55">
      <w:pPr>
        <w:pStyle w:val="Heading1"/>
      </w:pPr>
      <w:bookmarkStart w:id="61" w:name="_Toc352139156"/>
      <w:r>
        <w:t>Troliga A-punkter inför kommande rådsmöten som förväntas godkännas vid Coreper II 2013-03-27.</w:t>
      </w:r>
      <w:bookmarkEnd w:id="61"/>
      <w:r>
        <w:t xml:space="preserve"> </w:t>
      </w:r>
    </w:p>
    <w:p w:rsidR="00907A5F" w:rsidRPr="003E1E27" w:rsidRDefault="00907A5F" w:rsidP="003E1E27">
      <w:pPr>
        <w:pStyle w:val="Heading2"/>
      </w:pPr>
      <w:bookmarkStart w:id="62" w:name="_Toc352139157"/>
      <w:r>
        <w:t>5. Case before the General Court= Case T-80/13 Syrian Lebanese Commercial Bank S.A.L. v. Council of the EU</w:t>
      </w:r>
      <w:bookmarkEnd w:id="62"/>
    </w:p>
    <w:p w:rsidR="00907A5F" w:rsidRPr="003E1E27" w:rsidRDefault="00907A5F" w:rsidP="003E1E27">
      <w:r>
        <w:t>7483/13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Birgitta Ohlsson</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Informationspunkt - föranleder inte någon annotering. </w:t>
      </w:r>
    </w:p>
    <w:p w:rsidR="00907A5F" w:rsidRPr="003E1E27" w:rsidRDefault="00907A5F" w:rsidP="003E1E27">
      <w:pPr>
        <w:pStyle w:val="Heading2"/>
      </w:pPr>
      <w:bookmarkStart w:id="63" w:name="_Toc352139158"/>
      <w:r>
        <w:t>6. Cases before the General Court = Cases T-496/10 and T-494/10, Bank Mellat and Bank Saderat Iran v. Council</w:t>
      </w:r>
      <w:bookmarkEnd w:id="63"/>
    </w:p>
    <w:p w:rsidR="00907A5F" w:rsidRPr="003E1E27" w:rsidRDefault="00907A5F" w:rsidP="003E1E27">
      <w:r>
        <w:t>7501/13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Birgitta Ohlsson</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Informationspunkt - föranleder inte någon annotering. </w:t>
      </w:r>
    </w:p>
    <w:p w:rsidR="00907A5F" w:rsidRPr="003E1E27" w:rsidRDefault="00907A5F" w:rsidP="003E1E27">
      <w:pPr>
        <w:pStyle w:val="Heading2"/>
      </w:pPr>
      <w:bookmarkStart w:id="64" w:name="_Toc352139159"/>
      <w:r>
        <w:t>7. Case before the General Court = Case C-81/13 United Kingdom against the Council of the European Union and the European Parliament</w:t>
      </w:r>
      <w:bookmarkEnd w:id="64"/>
    </w:p>
    <w:p w:rsidR="00907A5F" w:rsidRPr="003E1E27" w:rsidRDefault="00907A5F" w:rsidP="003E1E27">
      <w:r>
        <w:t>7800/13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Birgitta Ohlsson</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Pr="003E1E27" w:rsidRDefault="00907A5F" w:rsidP="003E1E27">
      <w:r>
        <w:t>Informationspunkt - föranleder ingen annotering.</w:t>
      </w:r>
    </w:p>
    <w:p w:rsidR="00907A5F" w:rsidRDefault="00907A5F" w:rsidP="003E1E27">
      <w:r>
        <w:t xml:space="preserve"> </w:t>
      </w:r>
    </w:p>
    <w:p w:rsidR="00907A5F" w:rsidRPr="003E1E27" w:rsidRDefault="00907A5F" w:rsidP="003E1E27">
      <w:pPr>
        <w:pStyle w:val="Heading2"/>
      </w:pPr>
      <w:bookmarkStart w:id="65" w:name="_Toc352139160"/>
      <w:r>
        <w:t>8. Case T-331/11 (Besselink v. Council of the European Union) before the General Court = Production of a Council document before the General Court</w:t>
      </w:r>
      <w:bookmarkEnd w:id="65"/>
    </w:p>
    <w:p w:rsidR="00907A5F" w:rsidRPr="003E1E27" w:rsidRDefault="00907A5F" w:rsidP="003E1E27">
      <w:r>
        <w:t>7817/13</w:t>
      </w:r>
    </w:p>
    <w:p w:rsidR="00907A5F" w:rsidRDefault="00907A5F" w:rsidP="003E1E27"/>
    <w:p w:rsidR="00907A5F" w:rsidRPr="003E1E27" w:rsidRDefault="00907A5F" w:rsidP="003E1E27">
      <w:r>
        <w:t>Ansvarigt departement: Justitiedepartementet</w:t>
      </w:r>
    </w:p>
    <w:p w:rsidR="00907A5F" w:rsidRDefault="00907A5F" w:rsidP="003E1E27"/>
    <w:p w:rsidR="00907A5F" w:rsidRPr="003E1E27" w:rsidRDefault="00907A5F" w:rsidP="003E1E27">
      <w:r>
        <w:t>Ansvarigt statsråd: Beatrice Ask</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Föranleder ingen annotering. </w:t>
      </w:r>
    </w:p>
    <w:p w:rsidR="00907A5F" w:rsidRPr="003E1E27" w:rsidRDefault="00907A5F" w:rsidP="003E1E27">
      <w:pPr>
        <w:pStyle w:val="Heading2"/>
      </w:pPr>
      <w:bookmarkStart w:id="66" w:name="_Toc352139161"/>
      <w:r>
        <w:t>9. Committee of the Regions = Council Decision appointing a Spanish member of the Committee of the Regions</w:t>
      </w:r>
      <w:bookmarkEnd w:id="66"/>
    </w:p>
    <w:p w:rsidR="00907A5F" w:rsidRPr="003E1E27" w:rsidRDefault="00907A5F" w:rsidP="003E1E27">
      <w:r>
        <w:t>7761/13, 7760/13</w:t>
      </w:r>
    </w:p>
    <w:p w:rsidR="00907A5F" w:rsidRDefault="00907A5F" w:rsidP="003E1E27"/>
    <w:p w:rsidR="00907A5F" w:rsidRPr="003E1E27" w:rsidRDefault="00907A5F" w:rsidP="003E1E27">
      <w:r>
        <w:t>Ansvarigt departement: Finansdepartementet</w:t>
      </w:r>
    </w:p>
    <w:p w:rsidR="00907A5F" w:rsidRDefault="00907A5F" w:rsidP="003E1E27"/>
    <w:p w:rsidR="00907A5F" w:rsidRPr="003E1E27" w:rsidRDefault="00907A5F" w:rsidP="003E1E27">
      <w:r>
        <w:t>Ansvarigt statsråd: Peter Norman</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Föranleder ingen annotering. </w:t>
      </w:r>
    </w:p>
    <w:p w:rsidR="00907A5F" w:rsidRPr="003E1E27" w:rsidRDefault="00907A5F" w:rsidP="003E1E27">
      <w:pPr>
        <w:pStyle w:val="Heading2"/>
      </w:pPr>
      <w:bookmarkStart w:id="67" w:name="_Toc352139162"/>
      <w:r>
        <w:t>10. Modernising systems for handling and delivering European Council and Council documents = Orientations to guide future work on COCOON (Council Collaboration Online)</w:t>
      </w:r>
      <w:bookmarkEnd w:id="67"/>
    </w:p>
    <w:p w:rsidR="00907A5F" w:rsidRPr="003E1E27" w:rsidRDefault="00907A5F" w:rsidP="003E1E27">
      <w:r>
        <w:t>6704/13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Carl Bildt</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COCOON (=Council Collaboration online) är den it-plattform i vilken Council Extranet kommer att ingå framöver. COCOON är inriktat på att vara ett enkelt och användarvänligt webbbaserat verktyg för MS olika delegater. Tillgängligheten till dokument samt begränsningen till att varje användare endast får tillgång till det den behöver gör systemet mer flexibelt och lättarbetat jämfört med dagens Council Extranet. Utvecklingen syftar till att möjliggöra tillträde till COCOON via mobila enheter och notifieringar om dokument m.m. via e-post. </w:t>
      </w:r>
    </w:p>
    <w:p w:rsidR="00907A5F" w:rsidRDefault="00907A5F" w:rsidP="003E1E27">
      <w:r>
        <w:t xml:space="preserve"> </w:t>
      </w:r>
    </w:p>
    <w:p w:rsidR="00907A5F" w:rsidRDefault="00907A5F" w:rsidP="003E1E27">
      <w:r>
        <w:t xml:space="preserve">Den här vidareutvecklingen av IT-plattformen COCOON med dokumenthanteringssystemet Council Extranet har stämts av med användare från olika MS. Den har fått positivt gensvar bl.a. också i den utvärdering som rådet genomförde under januari-februari. </w:t>
      </w:r>
    </w:p>
    <w:p w:rsidR="00907A5F" w:rsidRDefault="00907A5F" w:rsidP="003E1E27">
      <w:r>
        <w:t xml:space="preserve"> </w:t>
      </w:r>
    </w:p>
    <w:p w:rsidR="00907A5F" w:rsidRDefault="00907A5F" w:rsidP="003E1E27">
      <w:r>
        <w:t xml:space="preserve">Sverige har till idag inte förändrat sin behörighetsstruktur till COCOON. Arbete pågår i RK med att övergå till en mer decentraliserad organisation och arbetssätt så att tjänstemän både i RK och myndigheter får tillgång till COCOON. </w:t>
      </w:r>
    </w:p>
    <w:p w:rsidR="00907A5F" w:rsidRDefault="00907A5F" w:rsidP="003E1E27"/>
    <w:p w:rsidR="00907A5F" w:rsidRDefault="00907A5F" w:rsidP="003E1E27">
      <w:r>
        <w:t xml:space="preserve">I ljuset av ovanstående uppmanas Coreper godta vidareutvecklingen av COCOON med beaktande av att implementeringen av dessa förändringar innebär att behörighetsstrukturen till EXTRANET via Internet kan etableras snarast möjligt i de MS där så ännu inte gjorts.  </w:t>
      </w:r>
    </w:p>
    <w:p w:rsidR="00907A5F" w:rsidRPr="003E1E27" w:rsidRDefault="00907A5F" w:rsidP="003E1E27">
      <w:pPr>
        <w:pStyle w:val="Heading2"/>
      </w:pPr>
      <w:bookmarkStart w:id="68" w:name="_Toc352139163"/>
      <w:r>
        <w:t>11. Council Implementing Decision authorising Latvia to introduce a special measure derogating from point (a) of Article 26(1) and Articles 168 and 168a of Directive 12006/112/EC on the common system of value added tax = Adoption</w:t>
      </w:r>
      <w:bookmarkEnd w:id="68"/>
    </w:p>
    <w:p w:rsidR="00907A5F" w:rsidRPr="003E1E27" w:rsidRDefault="00907A5F" w:rsidP="003E1E27">
      <w:r>
        <w:t>7344/13, 7184/13</w:t>
      </w:r>
    </w:p>
    <w:p w:rsidR="00907A5F" w:rsidRDefault="00907A5F" w:rsidP="003E1E27"/>
    <w:p w:rsidR="00907A5F" w:rsidRPr="003E1E27" w:rsidRDefault="00907A5F" w:rsidP="003E1E27">
      <w:r>
        <w:t>Ansvarigt departement: Finansdepartementet</w:t>
      </w:r>
    </w:p>
    <w:p w:rsidR="00907A5F" w:rsidRDefault="00907A5F" w:rsidP="003E1E27"/>
    <w:p w:rsidR="00907A5F" w:rsidRPr="003E1E27" w:rsidRDefault="00907A5F" w:rsidP="003E1E27">
      <w:r>
        <w:t>Ansvarigt statsråd: Anders Borg</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Hur regeringen ställer sig till den blivande A-punkten:</w:t>
      </w:r>
    </w:p>
    <w:p w:rsidR="00907A5F" w:rsidRDefault="00907A5F" w:rsidP="003E1E27">
      <w:r>
        <w:t>SE har inga invändningar emot beslutet.</w:t>
      </w:r>
    </w:p>
    <w:p w:rsidR="00907A5F" w:rsidRDefault="00907A5F" w:rsidP="003E1E27"/>
    <w:p w:rsidR="00907A5F" w:rsidRDefault="00907A5F" w:rsidP="003E1E27">
      <w:r>
        <w:t>Bakgrund:</w:t>
      </w:r>
    </w:p>
    <w:p w:rsidR="00907A5F" w:rsidRDefault="00907A5F" w:rsidP="003E1E27">
      <w:r>
        <w:t xml:space="preserve">Lettland har hos kommissionen ansökt om att få avvika från de bestämmelser i direktiv 2006/112/EG som reglerar rätten att få dra av ingående mervärdesskatt i samband med personbilar. I artiklarna 168 och 168 a i direktiv 2006/112/EG fastställs en beskattningsbar persons rätt att dra av mervärdesskatt som tas ut för levererade varor eller för tjänster som tillhandahållits den beskattningsbara personen. Artikel 26.1 a i ovanstående direktiv innehåller krav på att beskattningsbara personer ska redovisa mervärdesskatt när en rörelses tillgångar används för icke-yrkesmässigt bruk. </w:t>
      </w:r>
    </w:p>
    <w:p w:rsidR="00907A5F" w:rsidRDefault="00907A5F" w:rsidP="003E1E27"/>
    <w:p w:rsidR="00907A5F" w:rsidRDefault="00907A5F" w:rsidP="003E1E27">
      <w:r>
        <w:t xml:space="preserve">Beslutet innebär att Lettland bemyndigas att begränsa avdragsrätten till 80 % av den mervärdesskatt som påförts utgifter för vissa personbilar som inte uteslutande används för yrkesmässigt bruk. I de fall avdragsrätten är begränsad behöver den beskattningsbara personen inte redovisa mervärdesskatt för privat bruk av bilen. </w:t>
      </w:r>
    </w:p>
    <w:p w:rsidR="00907A5F" w:rsidRDefault="00907A5F" w:rsidP="003E1E27"/>
    <w:p w:rsidR="00907A5F" w:rsidRDefault="00907A5F" w:rsidP="003E1E27">
      <w:r>
        <w:t>Beslutet är i kraft till den dag då unionsregler som fastställer vilka utgifter för motordrivna vägfordon som inte medför rätt till fullt avdrag för mervärdesskatt börjar tillämpas, dock senast till och med den 31 december 2015.</w:t>
      </w:r>
    </w:p>
    <w:p w:rsidR="00907A5F" w:rsidRDefault="00907A5F" w:rsidP="003E1E27"/>
    <w:p w:rsidR="00907A5F" w:rsidRDefault="00907A5F" w:rsidP="003E1E27">
      <w:r>
        <w:t>Syftet med förslaget till beslut är för att förenkla uppbörden av mervärdesskatt på personbilar som delvis används för icke-yrkesmässiga ändamål. Vidare motverkas skatteflykt genom felaktig redovisning.</w:t>
      </w:r>
    </w:p>
    <w:p w:rsidR="00907A5F" w:rsidRDefault="00907A5F" w:rsidP="003E1E27"/>
    <w:p w:rsidR="00907A5F" w:rsidRDefault="00907A5F" w:rsidP="003E1E27">
      <w:r>
        <w:t>Förslaget påverkar inte unionens budget.</w:t>
      </w:r>
    </w:p>
    <w:p w:rsidR="00907A5F" w:rsidRDefault="00907A5F" w:rsidP="003E1E27"/>
    <w:p w:rsidR="00907A5F" w:rsidRDefault="00907A5F" w:rsidP="003E1E27">
      <w:r>
        <w:t xml:space="preserve">Beslutet riktar sig till Republiken Lettland. </w:t>
      </w:r>
    </w:p>
    <w:p w:rsidR="00907A5F" w:rsidRPr="003E1E27" w:rsidRDefault="00907A5F" w:rsidP="003E1E27">
      <w:pPr>
        <w:pStyle w:val="Heading2"/>
      </w:pPr>
      <w:bookmarkStart w:id="69" w:name="_Toc352139164"/>
      <w:r>
        <w:t>12. Revised capital requirements rules (CRD IV) [First Reading] a) Proposal for a Regulation of the European Parliament and of the Council on prudential requirements for credit institutions and investment firms b) Proposal for a Directive of the European Parliament and of the Council on the access to the activity of credit institutions and the prudential supervision of credit institutions and investment firms and amending Directive 2002/87/EC of the European Parliament and of the Council on the supplementary supervision of credit institutions, insurance undertakings and investment firms in a financial conglomerate = Approval of the final compromise text</w:t>
      </w:r>
      <w:bookmarkEnd w:id="69"/>
    </w:p>
    <w:p w:rsidR="00907A5F" w:rsidRPr="003E1E27" w:rsidRDefault="00907A5F" w:rsidP="003E1E27">
      <w:r>
        <w:t>7748/13, 7746/13, 7747/13</w:t>
      </w:r>
    </w:p>
    <w:p w:rsidR="00907A5F" w:rsidRDefault="00907A5F" w:rsidP="003E1E27"/>
    <w:p w:rsidR="00907A5F" w:rsidRPr="003E1E27" w:rsidRDefault="00907A5F" w:rsidP="003E1E27">
      <w:r>
        <w:t>Ansvarigt departement: Finansdepartementet</w:t>
      </w:r>
    </w:p>
    <w:p w:rsidR="00907A5F" w:rsidRDefault="00907A5F" w:rsidP="003E1E27"/>
    <w:p w:rsidR="00907A5F" w:rsidRPr="003E1E27" w:rsidRDefault="00907A5F" w:rsidP="003E1E27">
      <w:r>
        <w:t>Ansvarigt statsråd: Peter Norman</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pPr>
        <w:spacing w:line="240" w:lineRule="auto"/>
      </w:pPr>
      <w:r>
        <w:br w:type="page"/>
      </w:r>
    </w:p>
    <w:p w:rsidR="00907A5F" w:rsidRDefault="00907A5F" w:rsidP="003E1E27">
      <w:r>
        <w:t xml:space="preserve">Avsikt med behandlingen i rådet: </w:t>
      </w:r>
    </w:p>
    <w:p w:rsidR="00907A5F" w:rsidRDefault="00907A5F" w:rsidP="003E1E27">
      <w:r>
        <w:t>Rådet föreslås anta dels ett direktiv, dels en förordning om nya kapitaltäckningsregler (CRD/CRR).</w:t>
      </w:r>
    </w:p>
    <w:p w:rsidR="00907A5F" w:rsidRDefault="00907A5F" w:rsidP="003E1E27"/>
    <w:p w:rsidR="00907A5F" w:rsidRDefault="00907A5F" w:rsidP="003E1E27">
      <w:r>
        <w:t xml:space="preserve">Hur regeringen ställer sig till den blivande A-punkten: </w:t>
      </w:r>
    </w:p>
    <w:p w:rsidR="00907A5F" w:rsidRDefault="00907A5F" w:rsidP="003E1E27">
      <w:r>
        <w:t xml:space="preserve">Regeringen välkomnar den kompromiss som ORDF har arbeta fram tillsammans med MS och EP, och regeringen avser att rösta ja till att rådet antar CRD/CRR. </w:t>
      </w:r>
    </w:p>
    <w:p w:rsidR="00907A5F" w:rsidRDefault="00907A5F" w:rsidP="003E1E27"/>
    <w:p w:rsidR="00907A5F" w:rsidRDefault="00907A5F" w:rsidP="003E1E27">
      <w:r>
        <w:t xml:space="preserve">Bakgrund: </w:t>
      </w:r>
    </w:p>
    <w:p w:rsidR="00907A5F" w:rsidRDefault="00907A5F" w:rsidP="003E1E27">
      <w:r>
        <w:t xml:space="preserve">Förslagen syftar till att införa den globala överenskommelsen Basel 3 och att harmonisera gällande kapitaltäckningsregler (se faktapromemoria 2010/11:FPM148). </w:t>
      </w:r>
    </w:p>
    <w:p w:rsidR="00907A5F" w:rsidRDefault="00907A5F" w:rsidP="003E1E27"/>
    <w:p w:rsidR="00907A5F" w:rsidRDefault="00907A5F" w:rsidP="003E1E27">
      <w:r>
        <w:t xml:space="preserve">Förslagen består av två delar: ett direktiv och en förordning. De berör EU-reglerna för bland annat kreditinstituts och värdepappersbolags (instituts) kapitaltäckning, skuldsättningsgrad och likviditet. Dessutom innehåller förslaget delar som är inriktade mot bolagsstyrningsfrågor och sanktioner. Förordningen och direktivet ska ersätta de två gällande direktiven 2006/48/EG om rätten att starta och driva verksamhet i kreditinstitut och 2006/49/EG om kapitalkrav för värdepappersbolag och kreditinstitut. </w:t>
      </w:r>
    </w:p>
    <w:p w:rsidR="00907A5F" w:rsidRDefault="00907A5F" w:rsidP="003E1E27"/>
    <w:p w:rsidR="00907A5F" w:rsidRDefault="00907A5F" w:rsidP="003E1E27">
      <w:r>
        <w:t xml:space="preserve">Regeringen anser att CRD/CRR (såsom texten ser ut 26 mars 2013) är en stor framgång för Sverige, och att flexibiliteten är en välbalanserad kompromiss mellan å ena sidan medlemsstaternas vilja att kunna sätta striktare regler för att värna nationell finansiell stabilitet, och å andra sidan hänsyn till den inre marknaden med så likformiga regler i inom hela EU som möjligt. </w:t>
      </w:r>
    </w:p>
    <w:p w:rsidR="00907A5F" w:rsidRDefault="00907A5F" w:rsidP="003E1E27"/>
    <w:p w:rsidR="00907A5F" w:rsidRDefault="00907A5F" w:rsidP="003E1E27">
      <w:r>
        <w:t>De för Sverige viktiga punkterna från rådets allmänna inriktning är i kvar den uppgörelse som MS genom ORDF och EP nu har kommit överens om. Förslaget innebär att Sverige kan genomföra lejonparten av det kapitalpåslag på de fyra storbankerna som man tillsammans med riksdagen, finansinspektionen och riksbanken beslutade om i november 2011, utan att behöva kommissionens godkännande. Vidare har regeringen fått igenom att lån med pant i bostadsrätter likställs med lån med pant i egna hem, genom att bostadsrätt definieras som bostadsfastighet.</w:t>
      </w:r>
    </w:p>
    <w:p w:rsidR="00907A5F" w:rsidRPr="003E1E27" w:rsidRDefault="00907A5F" w:rsidP="003E1E27"/>
    <w:p w:rsidR="00907A5F" w:rsidRDefault="00907A5F" w:rsidP="003E1E27">
      <w:r>
        <w:t xml:space="preserve"> </w:t>
      </w:r>
    </w:p>
    <w:p w:rsidR="00907A5F" w:rsidRDefault="00907A5F">
      <w:pPr>
        <w:spacing w:line="240" w:lineRule="auto"/>
        <w:rPr>
          <w:rFonts w:ascii="Arial" w:hAnsi="Arial" w:cs="Arial"/>
          <w:b/>
          <w:i/>
          <w:iCs/>
          <w:kern w:val="28"/>
        </w:rPr>
      </w:pPr>
      <w:r>
        <w:br w:type="page"/>
      </w:r>
    </w:p>
    <w:p w:rsidR="00907A5F" w:rsidRPr="003E1E27" w:rsidRDefault="00907A5F" w:rsidP="003E1E27">
      <w:pPr>
        <w:pStyle w:val="Heading2"/>
      </w:pPr>
      <w:bookmarkStart w:id="70" w:name="_Toc352139165"/>
      <w:r>
        <w:t>13. Enlargement = Accession negotiations with Montenegro- Outcome of screening on Chapter 20 : Enterprise and industrial policy</w:t>
      </w:r>
      <w:bookmarkEnd w:id="70"/>
    </w:p>
    <w:p w:rsidR="00907A5F" w:rsidRPr="003E1E27" w:rsidRDefault="00907A5F" w:rsidP="003E1E27">
      <w:r>
        <w:t>7655/13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Carl Bildt</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Avsikt med behandlingen: </w:t>
      </w:r>
    </w:p>
    <w:p w:rsidR="00907A5F" w:rsidRDefault="00907A5F" w:rsidP="003E1E27">
      <w:r>
        <w:t>Coreper förslås att godkänna slutsatserna avseende KOM screening.</w:t>
      </w:r>
    </w:p>
    <w:p w:rsidR="00907A5F" w:rsidRDefault="00907A5F" w:rsidP="003E1E27"/>
    <w:p w:rsidR="00907A5F" w:rsidRDefault="00907A5F" w:rsidP="003E1E27">
      <w:r>
        <w:t xml:space="preserve">Hur regeringen ställer sig till den blivande A-punkten: </w:t>
      </w:r>
    </w:p>
    <w:p w:rsidR="00907A5F" w:rsidRDefault="00907A5F" w:rsidP="003E1E27">
      <w:r>
        <w:t>A-punkten ska antas.</w:t>
      </w:r>
    </w:p>
    <w:p w:rsidR="00907A5F" w:rsidRDefault="00907A5F" w:rsidP="003E1E27"/>
    <w:p w:rsidR="00907A5F" w:rsidRDefault="00907A5F" w:rsidP="003E1E27">
      <w:r>
        <w:t xml:space="preserve">Bakgrund: </w:t>
      </w:r>
    </w:p>
    <w:p w:rsidR="00907A5F" w:rsidRDefault="00907A5F" w:rsidP="003E1E27">
      <w:r>
        <w:t>I screening rapporten för kapitlet 20 går KOM igenom Montenegros förutsättningar att uppfylla de villkor som ställs avseende industri- och näringspolitiken. KOM konstaterar att ME har gjort stora framsteg i sitt arbete att anpassa sin näringspolitik och lagstiftning till de krav som ställs på området. Det återstår dock en del arbete på olika områden, till exempel avseende tillgång till kapital för SMF och stöd till innovation. Arbetet med att införliva direktivet om sena betalningar pågår och behöver slutföras före anslutning. ME behöver också fortsätta arbetet för att utveckla sina analys- och styrfunktioner för att fullt ut kunna efterleva kraven i 173 TFEU.</w:t>
      </w:r>
    </w:p>
    <w:p w:rsidR="00907A5F" w:rsidRDefault="00907A5F" w:rsidP="003E1E27"/>
    <w:p w:rsidR="00907A5F" w:rsidRDefault="00907A5F" w:rsidP="003E1E27">
      <w:r>
        <w:t>KOM anser dock att Montenegro är tillräckligt förberedda för att inleda anslutningsförhandlingar avseende kap. 20. Detta framgår också i slutsatserna och i ordförandeskapets brev till Montenegro.</w:t>
      </w:r>
    </w:p>
    <w:p w:rsidR="00907A5F" w:rsidRPr="003E1E27" w:rsidRDefault="00907A5F" w:rsidP="003E1E27">
      <w:pPr>
        <w:pStyle w:val="Heading2"/>
      </w:pPr>
      <w:bookmarkStart w:id="71" w:name="_Toc352139166"/>
      <w:r>
        <w:t>14. Proposal for a Regulation of the European Parliament and of the Council amending Annex I to Council Regulation (EC) n° 1528/2007 as regards the exclusion of a number of countries from the list of regions or states which have concluded negotiations [Second Reading] = Approval of the final compromise text</w:t>
      </w:r>
      <w:bookmarkEnd w:id="71"/>
    </w:p>
    <w:p w:rsidR="00907A5F" w:rsidRPr="003E1E27" w:rsidRDefault="00907A5F" w:rsidP="003E1E27">
      <w:r>
        <w:t>7439/13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Ewa Björling</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Avsikt med behandlingen i rådet: </w:t>
      </w:r>
    </w:p>
    <w:p w:rsidR="00907A5F" w:rsidRDefault="00907A5F" w:rsidP="003E1E27">
      <w:r>
        <w:t>Rådet föreslås anta kompromisstexten till förordning för marknadstillträdesförordningen som uppnåtts efter trilog med Europaparlamentet.</w:t>
      </w:r>
    </w:p>
    <w:p w:rsidR="00907A5F" w:rsidRDefault="00907A5F" w:rsidP="003E1E27"/>
    <w:p w:rsidR="00907A5F" w:rsidRDefault="00907A5F" w:rsidP="003E1E27">
      <w:r>
        <w:t xml:space="preserve">Regeringens syn på den blivande A-punkten: </w:t>
      </w:r>
    </w:p>
    <w:p w:rsidR="00907A5F" w:rsidRDefault="00907A5F" w:rsidP="003E1E27">
      <w:r>
        <w:t>Regeringen föreslås anta kompromiss har uppnåtts i trilog med Europaparlamentet.</w:t>
      </w:r>
    </w:p>
    <w:p w:rsidR="00907A5F" w:rsidRDefault="00907A5F" w:rsidP="003E1E27"/>
    <w:p w:rsidR="00907A5F" w:rsidRDefault="00907A5F" w:rsidP="003E1E27">
      <w:r>
        <w:t>Bakgrund</w:t>
      </w:r>
    </w:p>
    <w:p w:rsidR="00907A5F" w:rsidRDefault="00907A5F" w:rsidP="003E1E27">
      <w:r>
        <w:t xml:space="preserve">Förhandlingar om Ekonomiska partnerskapsavtal mellan EU och länder i Afrika, Västindien och Stillahavsregionen pågår sedan flera år. För att inte länderna skulle förlora sina tullnedsättningar när det tidigare avtalet mellan parterna upphörde den 31 december 2007 lämnade KOM ett förslag till tillfällig övergångslösning genom ett interimsavtal (Market Access Regulation). </w:t>
      </w:r>
    </w:p>
    <w:p w:rsidR="00907A5F" w:rsidRDefault="00907A5F" w:rsidP="003E1E27"/>
    <w:p w:rsidR="00907A5F" w:rsidRDefault="00907A5F" w:rsidP="003E1E27">
      <w:r>
        <w:t xml:space="preserve">Ett flertal interimsavtal var fortfarande år 2011 inte undertecknade och den fortsatta processen mot ett slutligt avtal påbörjat. Det innebär att några länder, som inte är minst utvecklade länder, har tull- och kvotafritt tillträde till EU-marknaden och fortsätter därmed att erhåller fördelaktiga och WTO-oförenliga preferenser utan att ha fullföljt processen mot slutliga avtal. Detta kan andra utvecklingsländer i bland annat i Asien och Latinamerika uppleva som diskriminerade. Därför bör parterna nå avslut i förhandlingarna. </w:t>
      </w:r>
    </w:p>
    <w:p w:rsidR="00907A5F" w:rsidRDefault="00907A5F" w:rsidP="003E1E27"/>
    <w:p w:rsidR="00907A5F" w:rsidRDefault="00907A5F" w:rsidP="003E1E27">
      <w:r>
        <w:t xml:space="preserve">Ett förslag om ändring i interimsförordningen, Market Access Regulation (1528/2007), presenterades av KOM i oktober 2011. EU:s medlemsstater har lämnat stöd till detta förslag att ange en tidsgräns för förordningen för den tillfälliga övergångslösningen för de länder som inte fullföljt processen. Tidsgränsen är föreslagen till den 1 januari 2014. </w:t>
      </w:r>
    </w:p>
    <w:p w:rsidR="00907A5F" w:rsidRDefault="00907A5F" w:rsidP="003E1E27"/>
    <w:p w:rsidR="00907A5F" w:rsidRDefault="00907A5F" w:rsidP="003E1E27">
      <w:r>
        <w:t>EP antog 2012 en rapport om detta förslag med tidpunkt för förändring av länderkretsen angiven till den 1 januari 2016. Parterna inledde processen med andra läsningen av förslaget och kunde nå en kompromiss med tidsgränsen angiven till den 1 oktober 2014. Denna kompromiss ska nu beslutas av rådet.</w:t>
      </w:r>
    </w:p>
    <w:p w:rsidR="00907A5F" w:rsidRDefault="00907A5F" w:rsidP="003E1E27"/>
    <w:p w:rsidR="00907A5F" w:rsidRDefault="00907A5F">
      <w:pPr>
        <w:spacing w:line="240" w:lineRule="auto"/>
      </w:pPr>
      <w:r>
        <w:br w:type="page"/>
      </w:r>
    </w:p>
    <w:p w:rsidR="00907A5F" w:rsidRDefault="00907A5F" w:rsidP="003E1E27">
      <w:r>
        <w:t xml:space="preserve">Avsikt med behandlingen i rådet: </w:t>
      </w:r>
    </w:p>
    <w:p w:rsidR="00907A5F" w:rsidRDefault="00907A5F" w:rsidP="003E1E27">
      <w:r>
        <w:t>Rådet föreslås anta kompromisstexten till förordning för marknadstillträdesförordningen som uppnåtts efter trilog med Europaparlamentet.</w:t>
      </w:r>
    </w:p>
    <w:p w:rsidR="00907A5F" w:rsidRDefault="00907A5F" w:rsidP="003E1E27"/>
    <w:p w:rsidR="00907A5F" w:rsidRDefault="00907A5F" w:rsidP="003E1E27">
      <w:r>
        <w:t xml:space="preserve">Regeringens syn på den blivande A-punkten: </w:t>
      </w:r>
    </w:p>
    <w:p w:rsidR="00907A5F" w:rsidRDefault="00907A5F" w:rsidP="003E1E27">
      <w:r>
        <w:t>Regeringen föreslås anta kompromiss har uppnåtts i trilog med Europaparlamentet.</w:t>
      </w:r>
    </w:p>
    <w:p w:rsidR="00907A5F" w:rsidRDefault="00907A5F" w:rsidP="003E1E27"/>
    <w:p w:rsidR="00907A5F" w:rsidRDefault="00907A5F" w:rsidP="003E1E27">
      <w:r>
        <w:t>Bakgrund:</w:t>
      </w:r>
    </w:p>
    <w:p w:rsidR="00907A5F" w:rsidRDefault="00907A5F" w:rsidP="003E1E27">
      <w:r>
        <w:t xml:space="preserve">Förhandlingar om Ekonomiska partnerskapsavtal mellan EU och länder i Afrika, Västindien och Stillahavsregionen pågår sedan flera år. För att inte länderna skulle förlora sina tullnedsättningar när det tidigare avtalet mellan parterna upphörde den 31 december 2007 lämnade KOM ett förslag till tillfällig övergångslösning genom ett interimsavtal (Market Access Regulation). </w:t>
      </w:r>
    </w:p>
    <w:p w:rsidR="00907A5F" w:rsidRDefault="00907A5F" w:rsidP="003E1E27"/>
    <w:p w:rsidR="00907A5F" w:rsidRDefault="00907A5F" w:rsidP="003E1E27">
      <w:r>
        <w:t xml:space="preserve">Ett flertal interimsavtal var fortfarande år 2011 inte undertecknade och den fortsatta processen mot ett slutligt avtal påbörjat. Det innebär att några länder, som inte är minst utvecklade länder, har tull- och kvotafritt tillträde till EU-marknaden och fortsätter därmed att erhåller fördelaktiga och WTO-oförenliga preferenser utan att ha fullföljt processen mot slutliga avtal. Detta kan andra utvecklingsländer i bland annat i Asien och Latinamerika uppleva som diskriminerade. Därför bör parterna nå avslut i förhandlingarna. </w:t>
      </w:r>
    </w:p>
    <w:p w:rsidR="00907A5F" w:rsidRDefault="00907A5F" w:rsidP="003E1E27"/>
    <w:p w:rsidR="00907A5F" w:rsidRDefault="00907A5F" w:rsidP="003E1E27">
      <w:r>
        <w:t xml:space="preserve">Ett förslag om ändring i interimsförordningen, Market Access Regulation (1528/2007), presenterades av KOM i oktober 2011. EU:s medlemsstater har lämnat stöd till detta förslag att ange en tidsgräns för förordningen för den tillfälliga övergångslösningen för de länder som inte fullföljt processen. Tidsgränsen är föreslagen till den 1 januari 2014. </w:t>
      </w:r>
    </w:p>
    <w:p w:rsidR="00907A5F" w:rsidRDefault="00907A5F" w:rsidP="003E1E27"/>
    <w:p w:rsidR="00907A5F" w:rsidRDefault="00907A5F" w:rsidP="003E1E27">
      <w:r>
        <w:t xml:space="preserve">EP antog 2012 en rapport om detta förslag med tidpunkt för förändring av länderkretsen angiven till den 1 januari 2016. Parterna inledde processen med andra läsningen av förslaget och kunde nå en kompromiss med tidsgränsen angiven till den 1 oktober 2014. Denna kompromiss ska nu beslutas av rådet. </w:t>
      </w:r>
    </w:p>
    <w:p w:rsidR="00907A5F" w:rsidRDefault="00907A5F">
      <w:pPr>
        <w:spacing w:line="240" w:lineRule="auto"/>
        <w:rPr>
          <w:rFonts w:ascii="Arial" w:hAnsi="Arial" w:cs="Arial"/>
          <w:b/>
          <w:i/>
          <w:iCs/>
          <w:kern w:val="28"/>
        </w:rPr>
      </w:pPr>
      <w:bookmarkStart w:id="72" w:name="_Toc352139167"/>
      <w:r>
        <w:br w:type="page"/>
      </w:r>
    </w:p>
    <w:p w:rsidR="00907A5F" w:rsidRPr="003E1E27" w:rsidRDefault="00907A5F" w:rsidP="003E1E27">
      <w:pPr>
        <w:pStyle w:val="Heading2"/>
      </w:pPr>
      <w:r>
        <w:t>15. Proposal for a Regulation of the European Parliament and of the Council repealing Council Regulation (EC) n) 552/97 temporarily withdrawing access to generalised tariff preferences from Myanmar/Burma [First Reading] = Approval of the final compromise text</w:t>
      </w:r>
      <w:bookmarkEnd w:id="72"/>
    </w:p>
    <w:p w:rsidR="00907A5F" w:rsidRPr="003E1E27" w:rsidRDefault="00907A5F" w:rsidP="003E1E27">
      <w:r>
        <w:t>7766/13</w:t>
      </w:r>
    </w:p>
    <w:p w:rsidR="00907A5F" w:rsidRDefault="00907A5F" w:rsidP="003E1E27"/>
    <w:p w:rsidR="00907A5F" w:rsidRPr="003E1E27" w:rsidRDefault="00907A5F" w:rsidP="003E1E27">
      <w:r>
        <w:t>Ansvarigt departement: Utrikesdepartementet</w:t>
      </w:r>
    </w:p>
    <w:p w:rsidR="00907A5F" w:rsidRDefault="00907A5F" w:rsidP="003E1E27"/>
    <w:p w:rsidR="00907A5F" w:rsidRPr="003E1E27" w:rsidRDefault="00907A5F" w:rsidP="003E1E27">
      <w:r>
        <w:t>Ansvarigt statsråd: Ewa Björling</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Avsikt med behandlingen i rådet: </w:t>
      </w:r>
    </w:p>
    <w:p w:rsidR="00907A5F" w:rsidRDefault="00907A5F" w:rsidP="003E1E27">
      <w:r>
        <w:t>Rådet föreslås rösta ja till att upphäva förordningen.</w:t>
      </w:r>
    </w:p>
    <w:p w:rsidR="00907A5F" w:rsidRDefault="00907A5F" w:rsidP="003E1E27"/>
    <w:p w:rsidR="00907A5F" w:rsidRDefault="00907A5F" w:rsidP="003E1E27">
      <w:r>
        <w:t xml:space="preserve">Hur regeringen ställer sig till den blivande A-punkten: </w:t>
      </w:r>
    </w:p>
    <w:p w:rsidR="00907A5F" w:rsidRDefault="00907A5F" w:rsidP="003E1E27">
      <w:r>
        <w:t xml:space="preserve">Regeringen avser rösta ja till att rådet antar förordningen om upphävande av rådets förordning (EG) nr 552/97 om tillfälligt upphävande av allmänna tullförmåner för Myanmar/Burma . </w:t>
      </w:r>
    </w:p>
    <w:p w:rsidR="00907A5F" w:rsidRDefault="00907A5F" w:rsidP="003E1E27"/>
    <w:p w:rsidR="00907A5F" w:rsidRDefault="00907A5F" w:rsidP="003E1E27">
      <w:r>
        <w:t xml:space="preserve">Bakgrund: </w:t>
      </w:r>
    </w:p>
    <w:p w:rsidR="00907A5F" w:rsidRDefault="00907A5F" w:rsidP="003E1E27">
      <w:r>
        <w:t>Myanmars tillgång till förmånsordningarna upphävdes tillfälligt 1997 genom rådets förordning (EG) nr 552/97 till följd av rutinmässigt och omfattande tvångsarbete, vilket bekräftades av Internationella arbetsorganisationens (ILO) undersökningskommission i ett särskilt förfarande. År 2011 inledde Burmas nominellt civila regering ett program för öppenhet och reformer, vilket rådet erkände i sina slutsatser den 23 april 2012, i samband med att flertalet av EU:s sanktioner suspenderades. Det står bland annat i slutsatserna att Europeiska rådet ”stöder ett återinförande av det allmänna preferenssystemet för Myanmar/Burma så snart som möjligt när väl de nödvändiga villkoren är uppfyllda, efter en bedömning av Internationella arbetsorganisationen”. Den 13 juni 2012 hävde Internationella arbetskonferensen (ILC) de restriktioner som hindrat den burmesiska regeringen från att få tekniskt samarbete och stöd från ILO, och upphävde under en ettårsperiod ILO:s uppmaning till sina medlemmar att se över sina förbindelser med Burma för att säkerställa att tvångsarbetskraft inte tillämpades. Kommissionen lade den 17 september 2012 fram förslaget att den tidigare suspenderingen av Burma upphävs och tullförmånerna enligt den nuvarande GSP-förordningen återinförs. EP:s handelsutskott INTA antog förslaget vid omröstning den 21 mars.</w:t>
      </w:r>
    </w:p>
    <w:p w:rsidR="00907A5F" w:rsidRPr="003E1E27" w:rsidRDefault="00907A5F" w:rsidP="003E1E27">
      <w:pPr>
        <w:pStyle w:val="Heading2"/>
      </w:pPr>
      <w:bookmarkStart w:id="73" w:name="_Toc352139168"/>
      <w:r>
        <w:t>16. Draft Joint Declaration on a Common Agenda on Migration and Mobility between India and the European Union and its Member States</w:t>
      </w:r>
      <w:bookmarkEnd w:id="73"/>
    </w:p>
    <w:p w:rsidR="00907A5F" w:rsidRPr="003E1E27" w:rsidRDefault="00907A5F" w:rsidP="003E1E27">
      <w:r>
        <w:t>7600/13</w:t>
      </w:r>
    </w:p>
    <w:p w:rsidR="00907A5F" w:rsidRDefault="00907A5F" w:rsidP="003E1E27"/>
    <w:p w:rsidR="00907A5F" w:rsidRPr="003E1E27" w:rsidRDefault="00907A5F" w:rsidP="003E1E27">
      <w:r>
        <w:t>Ansvarigt departement: Justitiedepartementet</w:t>
      </w:r>
    </w:p>
    <w:p w:rsidR="00907A5F" w:rsidRDefault="00907A5F" w:rsidP="003E1E27"/>
    <w:p w:rsidR="00907A5F" w:rsidRPr="003E1E27" w:rsidRDefault="00907A5F" w:rsidP="003E1E27">
      <w:r>
        <w:t>Ansvarigt statsråd: Tobias Billström</w:t>
      </w:r>
    </w:p>
    <w:p w:rsidR="00907A5F" w:rsidRDefault="00907A5F" w:rsidP="003E1E27"/>
    <w:p w:rsidR="00907A5F" w:rsidRPr="003E1E27" w:rsidRDefault="00907A5F" w:rsidP="003E1E27">
      <w:r>
        <w:t>Förväntas godkännas av Coreper II den 27 mars 2013</w:t>
      </w:r>
    </w:p>
    <w:p w:rsidR="00907A5F" w:rsidRDefault="00907A5F" w:rsidP="003E1E27"/>
    <w:p w:rsidR="00907A5F" w:rsidRDefault="00907A5F" w:rsidP="003E1E27">
      <w:r>
        <w:t xml:space="preserve">Avsikt med behandlingen i rådet: </w:t>
      </w:r>
    </w:p>
    <w:p w:rsidR="00907A5F" w:rsidRDefault="00907A5F" w:rsidP="003E1E27">
      <w:r>
        <w:t>Rådet föreslås godkänna utkast till gemensam deklaration för etablerande av en gemensam agenda för migration och rörlighet (Common Agenda on Migration and Mobility) mellan EU och Indien.</w:t>
      </w:r>
    </w:p>
    <w:p w:rsidR="00907A5F" w:rsidRDefault="00907A5F" w:rsidP="003E1E27"/>
    <w:p w:rsidR="00907A5F" w:rsidRDefault="00907A5F" w:rsidP="003E1E27">
      <w:r>
        <w:t xml:space="preserve">Hur regeringen ställer sig till den blivande A-punkten: </w:t>
      </w:r>
    </w:p>
    <w:p w:rsidR="00907A5F" w:rsidRDefault="00907A5F" w:rsidP="003E1E27">
      <w:r>
        <w:t>Regeringen avser godkänna utkastet till gemensam deklaration för etablerande av den gemensamma agendan för migration och rörlighet. Regeringen välkomnar att migrationsdialogen med Indien fördjupas.</w:t>
      </w:r>
    </w:p>
    <w:p w:rsidR="00907A5F" w:rsidRDefault="00907A5F" w:rsidP="003E1E27"/>
    <w:p w:rsidR="00907A5F" w:rsidRDefault="00907A5F" w:rsidP="003E1E27">
      <w:r>
        <w:t xml:space="preserve">Bakgrund: </w:t>
      </w:r>
    </w:p>
    <w:p w:rsidR="00907A5F" w:rsidRDefault="00907A5F" w:rsidP="003E1E27">
      <w:r>
        <w:t xml:space="preserve">Sedan 2006 har migrationsdialogen mellan EU och Indien fördjupats. Vid det högnivåmöte som ägde rum den 2-3 juli 2012 i New Delhi kom parterna överens om att möjligheterna till att etablera en gemensam agenda för migration och rörlighet skulle undersökas. </w:t>
      </w:r>
    </w:p>
    <w:p w:rsidR="00907A5F" w:rsidRDefault="00907A5F" w:rsidP="003E1E27"/>
    <w:p w:rsidR="00907A5F" w:rsidRDefault="00907A5F" w:rsidP="003E1E27">
      <w:r>
        <w:t xml:space="preserve">Den gemensamma agendan för migration och rörlighet är ett nytt och strukturerat samarbetsinstrument inom ramverket EU:s övergripande strategi för migration och rörlighet. Indien är det första landet som EU etablerar denna samarbetsform med. </w:t>
      </w:r>
      <w:bookmarkStart w:id="74" w:name="_GoBack"/>
      <w:bookmarkEnd w:id="74"/>
    </w:p>
    <w:sectPr w:rsidR="00907A5F" w:rsidSect="005566E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A5F" w:rsidRDefault="00907A5F">
      <w:r>
        <w:separator/>
      </w:r>
    </w:p>
  </w:endnote>
  <w:endnote w:type="continuationSeparator" w:id="0">
    <w:p w:rsidR="00907A5F" w:rsidRDefault="00907A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F" w:rsidRDefault="00907A5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907A5F" w:rsidRDefault="00907A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F" w:rsidRDefault="00907A5F">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p>
  <w:p w:rsidR="00907A5F" w:rsidRDefault="00907A5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F" w:rsidRDefault="00907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A5F" w:rsidRDefault="00907A5F">
      <w:r>
        <w:separator/>
      </w:r>
    </w:p>
  </w:footnote>
  <w:footnote w:type="continuationSeparator" w:id="0">
    <w:p w:rsidR="00907A5F" w:rsidRDefault="00907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F" w:rsidRDefault="00907A5F">
    <w:pPr>
      <w:pStyle w:val="Header"/>
      <w:framePr w:wrap="around" w:vAnchor="text" w:hAnchor="margin" w:xAlign="right" w:y="1"/>
      <w:rPr>
        <w:rStyle w:val="PageNumber"/>
      </w:rPr>
    </w:pPr>
  </w:p>
  <w:p w:rsidR="00907A5F" w:rsidRDefault="00907A5F">
    <w:pPr>
      <w:pStyle w:val="Header"/>
      <w:ind w:right="360"/>
    </w:pPr>
  </w:p>
  <w:p w:rsidR="00907A5F" w:rsidRDefault="00907A5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F" w:rsidRDefault="00907A5F">
    <w:pPr>
      <w:framePr w:w="2948" w:h="1321" w:hRule="exact" w:wrap="notBeside" w:vAnchor="page" w:hAnchor="page" w:x="1362" w:y="653"/>
    </w:pPr>
    <w:r w:rsidRPr="002B59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907A5F" w:rsidRDefault="00907A5F">
    <w:pPr>
      <w:pStyle w:val="Header"/>
    </w:pPr>
  </w:p>
  <w:p w:rsidR="00907A5F" w:rsidRDefault="00907A5F">
    <w:pPr>
      <w:pStyle w:val="Header"/>
      <w:ind w:right="360"/>
    </w:pPr>
  </w:p>
  <w:p w:rsidR="00907A5F" w:rsidRDefault="00907A5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A5F" w:rsidRDefault="00907A5F">
    <w:pPr>
      <w:framePr w:w="2948" w:h="1321" w:hRule="exact" w:wrap="notBeside" w:vAnchor="page" w:hAnchor="page" w:x="1362" w:y="653"/>
    </w:pPr>
    <w:r w:rsidRPr="002B599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907A5F" w:rsidRDefault="00907A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65E8B3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E1E27"/>
    <w:rsid w:val="00084670"/>
    <w:rsid w:val="00101F0D"/>
    <w:rsid w:val="001B71EF"/>
    <w:rsid w:val="002B5991"/>
    <w:rsid w:val="00381F55"/>
    <w:rsid w:val="003E1E27"/>
    <w:rsid w:val="004E7188"/>
    <w:rsid w:val="005407FE"/>
    <w:rsid w:val="005566E9"/>
    <w:rsid w:val="005A23F9"/>
    <w:rsid w:val="005C212F"/>
    <w:rsid w:val="005F1820"/>
    <w:rsid w:val="00612F1A"/>
    <w:rsid w:val="00673F9E"/>
    <w:rsid w:val="006A7104"/>
    <w:rsid w:val="007E16D4"/>
    <w:rsid w:val="00847B54"/>
    <w:rsid w:val="00907A5F"/>
    <w:rsid w:val="00936272"/>
    <w:rsid w:val="0094660F"/>
    <w:rsid w:val="00A72123"/>
    <w:rsid w:val="00AF0928"/>
    <w:rsid w:val="00B07860"/>
    <w:rsid w:val="00B5336B"/>
    <w:rsid w:val="00BA6B91"/>
    <w:rsid w:val="00C80078"/>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E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5566E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5566E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5566E9"/>
    <w:pPr>
      <w:spacing w:after="120" w:line="240" w:lineRule="atLeast"/>
      <w:outlineLvl w:val="2"/>
    </w:pPr>
    <w:rPr>
      <w:b w:val="0"/>
    </w:rPr>
  </w:style>
  <w:style w:type="paragraph" w:styleId="Heading4">
    <w:name w:val="heading 4"/>
    <w:basedOn w:val="Heading3"/>
    <w:next w:val="RKnormal"/>
    <w:link w:val="Heading4Char"/>
    <w:uiPriority w:val="99"/>
    <w:qFormat/>
    <w:rsid w:val="005566E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5566E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4B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D34B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D34B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D34B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D34BD"/>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5566E9"/>
    <w:pPr>
      <w:tabs>
        <w:tab w:val="left" w:pos="1843"/>
        <w:tab w:val="left" w:pos="2835"/>
      </w:tabs>
      <w:spacing w:line="240" w:lineRule="atLeast"/>
      <w:ind w:left="1843"/>
    </w:pPr>
  </w:style>
  <w:style w:type="paragraph" w:customStyle="1" w:styleId="Avsndare">
    <w:name w:val="Avsändare"/>
    <w:basedOn w:val="Normal"/>
    <w:uiPriority w:val="99"/>
    <w:rsid w:val="005566E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566E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D34BD"/>
    <w:rPr>
      <w:rFonts w:ascii="OrigGarmnd BT" w:hAnsi="OrigGarmnd BT"/>
      <w:sz w:val="24"/>
      <w:szCs w:val="20"/>
      <w:lang w:eastAsia="en-US"/>
    </w:rPr>
  </w:style>
  <w:style w:type="paragraph" w:styleId="Header">
    <w:name w:val="header"/>
    <w:basedOn w:val="Normal"/>
    <w:link w:val="HeaderChar"/>
    <w:uiPriority w:val="99"/>
    <w:rsid w:val="005566E9"/>
    <w:pPr>
      <w:tabs>
        <w:tab w:val="center" w:pos="4153"/>
        <w:tab w:val="right" w:pos="8306"/>
      </w:tabs>
    </w:pPr>
  </w:style>
  <w:style w:type="character" w:customStyle="1" w:styleId="HeaderChar">
    <w:name w:val="Header Char"/>
    <w:basedOn w:val="DefaultParagraphFont"/>
    <w:link w:val="Header"/>
    <w:uiPriority w:val="99"/>
    <w:semiHidden/>
    <w:rsid w:val="00AD34BD"/>
    <w:rPr>
      <w:rFonts w:ascii="OrigGarmnd BT" w:hAnsi="OrigGarmnd BT"/>
      <w:sz w:val="24"/>
      <w:szCs w:val="20"/>
      <w:lang w:eastAsia="en-US"/>
    </w:rPr>
  </w:style>
  <w:style w:type="paragraph" w:customStyle="1" w:styleId="RKrubrik">
    <w:name w:val="RKrubrik"/>
    <w:basedOn w:val="RKnormal"/>
    <w:next w:val="RKnormal"/>
    <w:uiPriority w:val="99"/>
    <w:rsid w:val="005566E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566E9"/>
    <w:rPr>
      <w:rFonts w:cs="Times New Roman"/>
    </w:rPr>
  </w:style>
  <w:style w:type="paragraph" w:styleId="BodyText">
    <w:name w:val="Body Text"/>
    <w:basedOn w:val="Normal"/>
    <w:link w:val="BodyTextChar"/>
    <w:uiPriority w:val="99"/>
    <w:rsid w:val="005566E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AD34BD"/>
    <w:rPr>
      <w:rFonts w:ascii="OrigGarmnd BT" w:hAnsi="OrigGarmnd BT"/>
      <w:sz w:val="24"/>
      <w:szCs w:val="20"/>
      <w:lang w:eastAsia="en-US"/>
    </w:rPr>
  </w:style>
  <w:style w:type="paragraph" w:styleId="FootnoteText">
    <w:name w:val="footnote text"/>
    <w:basedOn w:val="Normal"/>
    <w:link w:val="FootnoteTextChar"/>
    <w:uiPriority w:val="99"/>
    <w:semiHidden/>
    <w:rsid w:val="005566E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AD34BD"/>
    <w:rPr>
      <w:rFonts w:ascii="OrigGarmnd BT" w:hAnsi="OrigGarmnd BT"/>
      <w:sz w:val="20"/>
      <w:szCs w:val="20"/>
      <w:lang w:eastAsia="en-US"/>
    </w:rPr>
  </w:style>
  <w:style w:type="paragraph" w:customStyle="1" w:styleId="UDrubrik">
    <w:name w:val="UDrubrik"/>
    <w:basedOn w:val="Normal"/>
    <w:next w:val="BodyText"/>
    <w:uiPriority w:val="99"/>
    <w:rsid w:val="005566E9"/>
    <w:pPr>
      <w:spacing w:line="320" w:lineRule="exact"/>
    </w:pPr>
    <w:rPr>
      <w:rFonts w:ascii="Arial" w:hAnsi="Arial"/>
      <w:b/>
      <w:sz w:val="22"/>
    </w:rPr>
  </w:style>
  <w:style w:type="paragraph" w:styleId="TOC1">
    <w:name w:val="toc 1"/>
    <w:basedOn w:val="Normal"/>
    <w:next w:val="Normal"/>
    <w:autoRedefine/>
    <w:uiPriority w:val="99"/>
    <w:rsid w:val="005566E9"/>
    <w:pPr>
      <w:spacing w:before="360"/>
    </w:pPr>
    <w:rPr>
      <w:rFonts w:ascii="Arial" w:hAnsi="Arial"/>
      <w:b/>
      <w:bCs/>
      <w:caps/>
      <w:szCs w:val="28"/>
    </w:rPr>
  </w:style>
  <w:style w:type="paragraph" w:styleId="TOC2">
    <w:name w:val="toc 2"/>
    <w:basedOn w:val="Normal"/>
    <w:next w:val="Normal"/>
    <w:autoRedefine/>
    <w:uiPriority w:val="99"/>
    <w:rsid w:val="005566E9"/>
    <w:pPr>
      <w:spacing w:before="240"/>
    </w:pPr>
    <w:rPr>
      <w:rFonts w:ascii="Times New Roman" w:hAnsi="Times New Roman"/>
      <w:b/>
      <w:bCs/>
      <w:szCs w:val="24"/>
    </w:rPr>
  </w:style>
  <w:style w:type="paragraph" w:styleId="TOC3">
    <w:name w:val="toc 3"/>
    <w:basedOn w:val="Normal"/>
    <w:next w:val="Normal"/>
    <w:autoRedefine/>
    <w:uiPriority w:val="99"/>
    <w:semiHidden/>
    <w:rsid w:val="005566E9"/>
    <w:pPr>
      <w:ind w:left="240"/>
    </w:pPr>
    <w:rPr>
      <w:rFonts w:ascii="Times New Roman" w:hAnsi="Times New Roman"/>
      <w:szCs w:val="24"/>
    </w:rPr>
  </w:style>
  <w:style w:type="paragraph" w:styleId="TOC4">
    <w:name w:val="toc 4"/>
    <w:basedOn w:val="Normal"/>
    <w:next w:val="Normal"/>
    <w:autoRedefine/>
    <w:uiPriority w:val="99"/>
    <w:semiHidden/>
    <w:rsid w:val="005566E9"/>
    <w:pPr>
      <w:ind w:left="480"/>
    </w:pPr>
    <w:rPr>
      <w:rFonts w:ascii="Times New Roman" w:hAnsi="Times New Roman"/>
      <w:szCs w:val="24"/>
    </w:rPr>
  </w:style>
  <w:style w:type="paragraph" w:styleId="TOC5">
    <w:name w:val="toc 5"/>
    <w:basedOn w:val="Normal"/>
    <w:next w:val="Normal"/>
    <w:autoRedefine/>
    <w:uiPriority w:val="99"/>
    <w:semiHidden/>
    <w:rsid w:val="005566E9"/>
    <w:pPr>
      <w:ind w:left="720"/>
    </w:pPr>
    <w:rPr>
      <w:rFonts w:ascii="Times New Roman" w:hAnsi="Times New Roman"/>
      <w:szCs w:val="24"/>
    </w:rPr>
  </w:style>
  <w:style w:type="paragraph" w:styleId="TOC6">
    <w:name w:val="toc 6"/>
    <w:basedOn w:val="Normal"/>
    <w:next w:val="Normal"/>
    <w:autoRedefine/>
    <w:uiPriority w:val="99"/>
    <w:semiHidden/>
    <w:rsid w:val="005566E9"/>
    <w:pPr>
      <w:ind w:left="960"/>
    </w:pPr>
    <w:rPr>
      <w:rFonts w:ascii="Times New Roman" w:hAnsi="Times New Roman"/>
      <w:szCs w:val="24"/>
    </w:rPr>
  </w:style>
  <w:style w:type="paragraph" w:styleId="TOC7">
    <w:name w:val="toc 7"/>
    <w:basedOn w:val="Normal"/>
    <w:next w:val="Normal"/>
    <w:autoRedefine/>
    <w:uiPriority w:val="99"/>
    <w:semiHidden/>
    <w:rsid w:val="005566E9"/>
    <w:pPr>
      <w:ind w:left="1200"/>
    </w:pPr>
    <w:rPr>
      <w:rFonts w:ascii="Times New Roman" w:hAnsi="Times New Roman"/>
      <w:szCs w:val="24"/>
    </w:rPr>
  </w:style>
  <w:style w:type="paragraph" w:styleId="TOC8">
    <w:name w:val="toc 8"/>
    <w:basedOn w:val="Normal"/>
    <w:next w:val="Normal"/>
    <w:autoRedefine/>
    <w:uiPriority w:val="99"/>
    <w:semiHidden/>
    <w:rsid w:val="005566E9"/>
    <w:pPr>
      <w:ind w:left="1440"/>
    </w:pPr>
    <w:rPr>
      <w:rFonts w:ascii="Times New Roman" w:hAnsi="Times New Roman"/>
      <w:szCs w:val="24"/>
    </w:rPr>
  </w:style>
  <w:style w:type="paragraph" w:styleId="TOC9">
    <w:name w:val="toc 9"/>
    <w:basedOn w:val="Normal"/>
    <w:next w:val="Normal"/>
    <w:autoRedefine/>
    <w:uiPriority w:val="99"/>
    <w:semiHidden/>
    <w:rsid w:val="005566E9"/>
    <w:pPr>
      <w:ind w:left="1680"/>
    </w:pPr>
    <w:rPr>
      <w:rFonts w:ascii="Times New Roman" w:hAnsi="Times New Roman"/>
      <w:szCs w:val="24"/>
    </w:rPr>
  </w:style>
  <w:style w:type="paragraph" w:customStyle="1" w:styleId="Text1">
    <w:name w:val="Text 1"/>
    <w:basedOn w:val="Normal"/>
    <w:uiPriority w:val="99"/>
    <w:rsid w:val="005566E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5566E9"/>
    <w:rPr>
      <w:rFonts w:cs="Times New Roman"/>
      <w:vertAlign w:val="superscript"/>
    </w:rPr>
  </w:style>
  <w:style w:type="paragraph" w:styleId="Index1">
    <w:name w:val="index 1"/>
    <w:basedOn w:val="Normal"/>
    <w:next w:val="Normal"/>
    <w:autoRedefine/>
    <w:uiPriority w:val="99"/>
    <w:semiHidden/>
    <w:rsid w:val="005566E9"/>
    <w:pPr>
      <w:ind w:left="240" w:hanging="240"/>
    </w:pPr>
    <w:rPr>
      <w:rFonts w:ascii="Times New Roman" w:hAnsi="Times New Roman"/>
      <w:szCs w:val="24"/>
    </w:rPr>
  </w:style>
  <w:style w:type="paragraph" w:styleId="Index2">
    <w:name w:val="index 2"/>
    <w:basedOn w:val="Normal"/>
    <w:next w:val="Normal"/>
    <w:autoRedefine/>
    <w:uiPriority w:val="99"/>
    <w:semiHidden/>
    <w:rsid w:val="005566E9"/>
    <w:pPr>
      <w:ind w:left="480" w:hanging="240"/>
    </w:pPr>
    <w:rPr>
      <w:rFonts w:ascii="Times New Roman" w:hAnsi="Times New Roman"/>
      <w:szCs w:val="24"/>
    </w:rPr>
  </w:style>
  <w:style w:type="paragraph" w:styleId="Index3">
    <w:name w:val="index 3"/>
    <w:basedOn w:val="Normal"/>
    <w:next w:val="Normal"/>
    <w:autoRedefine/>
    <w:uiPriority w:val="99"/>
    <w:semiHidden/>
    <w:rsid w:val="005566E9"/>
    <w:pPr>
      <w:ind w:left="720" w:hanging="240"/>
    </w:pPr>
    <w:rPr>
      <w:rFonts w:ascii="Times New Roman" w:hAnsi="Times New Roman"/>
      <w:szCs w:val="24"/>
    </w:rPr>
  </w:style>
  <w:style w:type="paragraph" w:styleId="Index4">
    <w:name w:val="index 4"/>
    <w:basedOn w:val="Normal"/>
    <w:next w:val="Normal"/>
    <w:autoRedefine/>
    <w:uiPriority w:val="99"/>
    <w:semiHidden/>
    <w:rsid w:val="005566E9"/>
    <w:pPr>
      <w:ind w:left="960" w:hanging="240"/>
    </w:pPr>
    <w:rPr>
      <w:rFonts w:ascii="Times New Roman" w:hAnsi="Times New Roman"/>
      <w:szCs w:val="24"/>
    </w:rPr>
  </w:style>
  <w:style w:type="paragraph" w:styleId="Index5">
    <w:name w:val="index 5"/>
    <w:basedOn w:val="Normal"/>
    <w:next w:val="Normal"/>
    <w:autoRedefine/>
    <w:uiPriority w:val="99"/>
    <w:semiHidden/>
    <w:rsid w:val="005566E9"/>
    <w:pPr>
      <w:ind w:left="1200" w:hanging="240"/>
    </w:pPr>
    <w:rPr>
      <w:rFonts w:ascii="Times New Roman" w:hAnsi="Times New Roman"/>
      <w:szCs w:val="24"/>
    </w:rPr>
  </w:style>
  <w:style w:type="paragraph" w:styleId="Index6">
    <w:name w:val="index 6"/>
    <w:basedOn w:val="Normal"/>
    <w:next w:val="Normal"/>
    <w:autoRedefine/>
    <w:uiPriority w:val="99"/>
    <w:semiHidden/>
    <w:rsid w:val="005566E9"/>
    <w:pPr>
      <w:ind w:left="1440" w:hanging="240"/>
    </w:pPr>
    <w:rPr>
      <w:rFonts w:ascii="Times New Roman" w:hAnsi="Times New Roman"/>
      <w:szCs w:val="24"/>
    </w:rPr>
  </w:style>
  <w:style w:type="paragraph" w:styleId="Index7">
    <w:name w:val="index 7"/>
    <w:basedOn w:val="Normal"/>
    <w:next w:val="Normal"/>
    <w:autoRedefine/>
    <w:uiPriority w:val="99"/>
    <w:semiHidden/>
    <w:rsid w:val="005566E9"/>
    <w:pPr>
      <w:ind w:left="1680" w:hanging="240"/>
    </w:pPr>
    <w:rPr>
      <w:rFonts w:ascii="Times New Roman" w:hAnsi="Times New Roman"/>
      <w:szCs w:val="24"/>
    </w:rPr>
  </w:style>
  <w:style w:type="paragraph" w:styleId="Index8">
    <w:name w:val="index 8"/>
    <w:basedOn w:val="Normal"/>
    <w:next w:val="Normal"/>
    <w:autoRedefine/>
    <w:uiPriority w:val="99"/>
    <w:semiHidden/>
    <w:rsid w:val="005566E9"/>
    <w:pPr>
      <w:ind w:left="1920" w:hanging="240"/>
    </w:pPr>
    <w:rPr>
      <w:rFonts w:ascii="Times New Roman" w:hAnsi="Times New Roman"/>
      <w:szCs w:val="24"/>
    </w:rPr>
  </w:style>
  <w:style w:type="paragraph" w:styleId="Index9">
    <w:name w:val="index 9"/>
    <w:basedOn w:val="Normal"/>
    <w:next w:val="Normal"/>
    <w:autoRedefine/>
    <w:uiPriority w:val="99"/>
    <w:semiHidden/>
    <w:rsid w:val="005566E9"/>
    <w:pPr>
      <w:ind w:left="2160" w:hanging="240"/>
    </w:pPr>
    <w:rPr>
      <w:rFonts w:ascii="Times New Roman" w:hAnsi="Times New Roman"/>
      <w:szCs w:val="24"/>
    </w:rPr>
  </w:style>
  <w:style w:type="paragraph" w:styleId="IndexHeading">
    <w:name w:val="index heading"/>
    <w:basedOn w:val="Normal"/>
    <w:next w:val="Index1"/>
    <w:uiPriority w:val="99"/>
    <w:semiHidden/>
    <w:rsid w:val="005566E9"/>
    <w:pPr>
      <w:spacing w:before="120" w:after="120"/>
    </w:pPr>
    <w:rPr>
      <w:rFonts w:ascii="Times New Roman" w:hAnsi="Times New Roman"/>
      <w:b/>
      <w:bCs/>
      <w:i/>
      <w:iCs/>
      <w:szCs w:val="24"/>
    </w:rPr>
  </w:style>
  <w:style w:type="paragraph" w:customStyle="1" w:styleId="EntEmet">
    <w:name w:val="EntEmet"/>
    <w:basedOn w:val="Normal"/>
    <w:uiPriority w:val="99"/>
    <w:rsid w:val="005566E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5566E9"/>
    <w:pPr>
      <w:spacing w:line="240" w:lineRule="auto"/>
    </w:pPr>
    <w:rPr>
      <w:rFonts w:ascii="Arial" w:hAnsi="Arial"/>
      <w:lang w:val="en-GB"/>
    </w:rPr>
  </w:style>
  <w:style w:type="paragraph" w:customStyle="1" w:styleId="Avsndare0">
    <w:name w:val="Avsndare"/>
    <w:basedOn w:val="Normal"/>
    <w:next w:val="Normal"/>
    <w:uiPriority w:val="99"/>
    <w:rsid w:val="005566E9"/>
    <w:pPr>
      <w:spacing w:line="240" w:lineRule="auto"/>
    </w:pPr>
    <w:rPr>
      <w:rFonts w:ascii="Arial" w:hAnsi="Arial"/>
      <w:i/>
      <w:lang w:val="en-GB"/>
    </w:rPr>
  </w:style>
  <w:style w:type="character" w:styleId="Hyperlink">
    <w:name w:val="Hyperlink"/>
    <w:basedOn w:val="DefaultParagraphFont"/>
    <w:uiPriority w:val="99"/>
    <w:rsid w:val="005566E9"/>
    <w:rPr>
      <w:rFonts w:cs="Times New Roman"/>
      <w:color w:val="0000FF"/>
      <w:u w:val="single"/>
    </w:rPr>
  </w:style>
  <w:style w:type="paragraph" w:styleId="DocumentMap">
    <w:name w:val="Document Map"/>
    <w:basedOn w:val="Normal"/>
    <w:link w:val="DocumentMapChar"/>
    <w:uiPriority w:val="99"/>
    <w:semiHidden/>
    <w:rsid w:val="005566E9"/>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D34BD"/>
    <w:rPr>
      <w:sz w:val="0"/>
      <w:szCs w:val="0"/>
      <w:lang w:eastAsia="en-US"/>
    </w:rPr>
  </w:style>
  <w:style w:type="character" w:styleId="FollowedHyperlink">
    <w:name w:val="FollowedHyperlink"/>
    <w:basedOn w:val="DefaultParagraphFont"/>
    <w:uiPriority w:val="99"/>
    <w:rsid w:val="005566E9"/>
    <w:rPr>
      <w:rFonts w:cs="Times New Roman"/>
      <w:color w:val="800080"/>
      <w:u w:val="single"/>
    </w:rPr>
  </w:style>
  <w:style w:type="paragraph" w:customStyle="1" w:styleId="Par-number1">
    <w:name w:val="Par-number 1)"/>
    <w:basedOn w:val="Normal"/>
    <w:next w:val="Normal"/>
    <w:uiPriority w:val="99"/>
    <w:rsid w:val="005566E9"/>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5566E9"/>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5566E9"/>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5566E9"/>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5566E9"/>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5566E9"/>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5566E9"/>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5566E9"/>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5566E9"/>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5566E9"/>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5566E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5566E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AD34BD"/>
    <w:rPr>
      <w:rFonts w:ascii="OrigGarmnd BT" w:hAnsi="OrigGarmnd BT"/>
      <w:sz w:val="20"/>
      <w:szCs w:val="20"/>
      <w:lang w:eastAsia="en-US"/>
    </w:rPr>
  </w:style>
  <w:style w:type="paragraph" w:customStyle="1" w:styleId="EntRefer">
    <w:name w:val="EntRefer"/>
    <w:basedOn w:val="Normal"/>
    <w:uiPriority w:val="99"/>
    <w:rsid w:val="005566E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5566E9"/>
    <w:pPr>
      <w:spacing w:line="240" w:lineRule="auto"/>
    </w:pPr>
    <w:rPr>
      <w:rFonts w:ascii="Times New Roman" w:hAnsi="Times New Roman"/>
      <w:lang w:val="en-GB" w:eastAsia="fr-BE"/>
    </w:rPr>
  </w:style>
  <w:style w:type="paragraph" w:customStyle="1" w:styleId="Tiret1">
    <w:name w:val="Tiret 1"/>
    <w:basedOn w:val="Normal"/>
    <w:uiPriority w:val="99"/>
    <w:rsid w:val="005566E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5566E9"/>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5566E9"/>
    <w:pPr>
      <w:overflowPunct w:val="0"/>
      <w:autoSpaceDE w:val="0"/>
      <w:autoSpaceDN w:val="0"/>
      <w:adjustRightInd w:val="0"/>
      <w:ind w:left="1843"/>
      <w:textAlignment w:val="baseline"/>
    </w:pPr>
  </w:style>
  <w:style w:type="paragraph" w:customStyle="1" w:styleId="Brdtext0">
    <w:name w:val="Brˆdtext"/>
    <w:basedOn w:val="Normal"/>
    <w:uiPriority w:val="99"/>
    <w:rsid w:val="005566E9"/>
    <w:pPr>
      <w:spacing w:line="320" w:lineRule="exact"/>
    </w:pPr>
    <w:rPr>
      <w:rFonts w:ascii="Times New Roman" w:hAnsi="Times New Roman"/>
    </w:rPr>
  </w:style>
  <w:style w:type="character" w:customStyle="1" w:styleId="term">
    <w:name w:val="term"/>
    <w:basedOn w:val="DefaultParagraphFont"/>
    <w:uiPriority w:val="99"/>
    <w:rsid w:val="005566E9"/>
    <w:rPr>
      <w:rFonts w:cs="Times New Roman"/>
    </w:rPr>
  </w:style>
  <w:style w:type="paragraph" w:customStyle="1" w:styleId="Brdtexthuvud">
    <w:name w:val="Brödtext huvud"/>
    <w:basedOn w:val="Normal"/>
    <w:uiPriority w:val="99"/>
    <w:rsid w:val="005566E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3E1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E1E2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3828</Words>
  <Characters>22935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2013-03-27T09:56:00Z</cp:lastPrinted>
  <dcterms:created xsi:type="dcterms:W3CDTF">2013-03-27T10:28:00Z</dcterms:created>
  <dcterms:modified xsi:type="dcterms:W3CDTF">2013-03-27T10:28:00Z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29c74e83-4bb0-406c-becb-a29194b4ab44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JE6N4JFJXNNF-9-54984</vt:lpwstr>
  </property>
  <property fmtid="{D5CDD505-2E9C-101B-9397-08002B2CF9AE}" pid="18" name="_dlc_DocIdUrl">
    <vt:lpwstr>http://rkdhs-sb/enhet/EUKansli/_layouts/DocIdRedir.aspx?ID=JE6N4JFJXNNF-9-54984, JE6N4JFJXNNF-9-54984</vt:lpwstr>
  </property>
</Properties>
</file>