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8199B">
        <w:trPr>
          <w:gridAfter w:val="2"/>
          <w:wAfter w:w="1758" w:type="dxa"/>
          <w:cantSplit/>
          <w:trHeight w:val="1320"/>
        </w:trPr>
        <w:tc>
          <w:tcPr>
            <w:tcW w:w="5897" w:type="dxa"/>
          </w:tcPr>
          <w:p w:rsidR="007F1663" w:rsidRPr="0078199B" w:rsidRDefault="007F1663">
            <w:pPr>
              <w:pStyle w:val="HuvudRubrik"/>
            </w:pPr>
            <w:r w:rsidRPr="0078199B">
              <w:t>Regeringskansliet</w:t>
            </w:r>
          </w:p>
          <w:p w:rsidR="007F1663" w:rsidRPr="0078199B" w:rsidRDefault="007F1663">
            <w:pPr>
              <w:pStyle w:val="HuvudRubrik"/>
            </w:pPr>
            <w:r w:rsidRPr="0078199B">
              <w:t>Faktapromemoria  2011/12:FPM80</w:t>
            </w:r>
          </w:p>
        </w:tc>
      </w:tr>
      <w:tr w:rsidR="00000000" w:rsidRPr="0078199B">
        <w:trPr>
          <w:gridAfter w:val="2"/>
          <w:wAfter w:w="1758" w:type="dxa"/>
          <w:cantSplit/>
          <w:trHeight w:val="240"/>
        </w:trPr>
        <w:tc>
          <w:tcPr>
            <w:tcW w:w="5897" w:type="dxa"/>
          </w:tcPr>
          <w:p w:rsidR="007F1663" w:rsidRPr="0078199B" w:rsidRDefault="007F1663">
            <w:pPr>
              <w:pStyle w:val="HuvudRubrik"/>
              <w:rPr>
                <w:sz w:val="28"/>
              </w:rPr>
            </w:pPr>
            <w:r w:rsidRPr="0078199B">
              <w:t>Europeiska sociala entreprenörskapsfonder</w:t>
            </w:r>
          </w:p>
        </w:tc>
      </w:tr>
      <w:tr w:rsidR="00000000" w:rsidRPr="0078199B">
        <w:trPr>
          <w:cantSplit/>
          <w:trHeight w:val="285"/>
        </w:trPr>
        <w:tc>
          <w:tcPr>
            <w:tcW w:w="7655" w:type="dxa"/>
            <w:gridSpan w:val="3"/>
          </w:tcPr>
          <w:p w:rsidR="007F1663" w:rsidRPr="0078199B" w:rsidRDefault="007F1663">
            <w:pPr>
              <w:pStyle w:val="Departement"/>
              <w:rPr>
                <w:sz w:val="28"/>
              </w:rPr>
            </w:pPr>
            <w:r w:rsidRPr="0078199B">
              <w:t>Näringsdepartementet</w:t>
            </w:r>
          </w:p>
        </w:tc>
      </w:tr>
      <w:tr w:rsidR="00000000" w:rsidRPr="0078199B">
        <w:trPr>
          <w:cantSplit/>
          <w:trHeight w:val="240"/>
        </w:trPr>
        <w:tc>
          <w:tcPr>
            <w:tcW w:w="7655" w:type="dxa"/>
            <w:gridSpan w:val="3"/>
          </w:tcPr>
          <w:p w:rsidR="007F1663" w:rsidRPr="0078199B" w:rsidRDefault="007F1663">
            <w:pPr>
              <w:pStyle w:val="Dokumentdatum"/>
            </w:pPr>
            <w:r w:rsidRPr="0078199B">
              <w:t>2012-01-11</w:t>
            </w:r>
          </w:p>
        </w:tc>
      </w:tr>
      <w:tr w:rsidR="00000000" w:rsidRPr="0078199B">
        <w:trPr>
          <w:cantSplit/>
          <w:trHeight w:val="726"/>
        </w:trPr>
        <w:tc>
          <w:tcPr>
            <w:tcW w:w="7655" w:type="dxa"/>
            <w:gridSpan w:val="3"/>
            <w:vAlign w:val="bottom"/>
          </w:tcPr>
          <w:p w:rsidR="007F1663" w:rsidRPr="0078199B" w:rsidRDefault="007F1663">
            <w:pPr>
              <w:pStyle w:val="Dokumentbeteckning"/>
            </w:pPr>
            <w:r w:rsidRPr="0078199B">
              <w:t>Dokumentbeteckning</w:t>
            </w:r>
          </w:p>
        </w:tc>
      </w:tr>
      <w:tr w:rsidR="00000000" w:rsidRPr="0078199B">
        <w:trPr>
          <w:gridAfter w:val="1"/>
          <w:wAfter w:w="1560" w:type="dxa"/>
          <w:trHeight w:val="120"/>
        </w:trPr>
        <w:tc>
          <w:tcPr>
            <w:tcW w:w="6095" w:type="dxa"/>
            <w:gridSpan w:val="2"/>
          </w:tcPr>
          <w:p w:rsidR="007F1663" w:rsidRPr="0078199B" w:rsidRDefault="007F1663">
            <w:bookmarkStart w:id="0" w:name="KomNr"/>
            <w:bookmarkEnd w:id="0"/>
            <w:r w:rsidRPr="0078199B">
              <w:t>KOM (2011) 862</w:t>
            </w:r>
          </w:p>
        </w:tc>
      </w:tr>
      <w:tr w:rsidR="00000000" w:rsidRPr="0078199B">
        <w:trPr>
          <w:gridAfter w:val="1"/>
          <w:wAfter w:w="1560" w:type="dxa"/>
          <w:trHeight w:val="120"/>
        </w:trPr>
        <w:tc>
          <w:tcPr>
            <w:tcW w:w="6095" w:type="dxa"/>
            <w:gridSpan w:val="2"/>
          </w:tcPr>
          <w:p w:rsidR="007F1663" w:rsidRPr="0078199B" w:rsidRDefault="007F1663">
            <w:pPr>
              <w:pStyle w:val="Dokumentbeteckning-titel"/>
            </w:pPr>
            <w:r w:rsidRPr="0078199B">
              <w:t>Förslag till Europaparlamentets och rådets förordning om europeiska sociala entreprenörskapsfonder</w:t>
            </w:r>
          </w:p>
        </w:tc>
      </w:tr>
    </w:tbl>
    <w:p w:rsidR="007F1663" w:rsidRPr="0078199B" w:rsidRDefault="007F1663"/>
    <w:p w:rsidR="007F1663" w:rsidRPr="0078199B" w:rsidRDefault="007F1663">
      <w:pPr>
        <w:pStyle w:val="Rubrik1"/>
        <w:numPr>
          <w:ilvl w:val="0"/>
          <w:numId w:val="0"/>
        </w:numPr>
      </w:pPr>
      <w:r w:rsidRPr="0078199B">
        <w:t>Sammanfattning</w:t>
      </w:r>
    </w:p>
    <w:p w:rsidR="007F1663" w:rsidRPr="0078199B" w:rsidRDefault="007F1663">
      <w:pPr>
        <w:rPr>
          <w:lang w:eastAsia="en-GB"/>
        </w:rPr>
      </w:pPr>
      <w:r w:rsidRPr="0078199B">
        <w:rPr>
          <w:sz w:val="20"/>
        </w:rPr>
        <w:t>Kommissionen lämnade den 7 december 2011 ett förslag till förordning som ska bidra till att förbättra och tydliggöra ramvillkor för privata investeringsfonder med inriktning på sociala företag.</w:t>
      </w:r>
      <w:r w:rsidRPr="0078199B">
        <w:rPr>
          <w:lang w:eastAsia="en-GB"/>
        </w:rPr>
        <w:t xml:space="preserve"> </w:t>
      </w:r>
    </w:p>
    <w:p w:rsidR="007F1663" w:rsidRPr="0078199B" w:rsidRDefault="007F1663">
      <w:pPr>
        <w:rPr>
          <w:lang w:eastAsia="en-GB"/>
        </w:rPr>
      </w:pPr>
      <w:r w:rsidRPr="0078199B">
        <w:rPr>
          <w:sz w:val="20"/>
        </w:rPr>
        <w:t xml:space="preserve">Huvudsyftet med förslaget är att stärka utvecklingen av sociala företag genom att skapa förutsättningar för en mer effektiv kapitalanskaffning för investeringsfonder som verkar med inriktning på dessa företag. </w:t>
      </w:r>
    </w:p>
    <w:p w:rsidR="007F1663" w:rsidRPr="0078199B" w:rsidRDefault="007F1663">
      <w:pPr>
        <w:rPr>
          <w:lang w:eastAsia="en-GB"/>
        </w:rPr>
      </w:pPr>
      <w:r w:rsidRPr="0078199B">
        <w:rPr>
          <w:sz w:val="20"/>
        </w:rPr>
        <w:t>Sociala företag är företag med positiv social genomslagskraft och som har sociala syften som mål för sin verksamhet, snarare än att skapa vinst för sina ägare och partner. Detta är en växande sektor i Europa som redan omfattar tio procent av alla europeiska företag och har över 11 miljoner avlönade anställda. Även om dessa företag ofta får offentligt stöd är privata investeringar via fonder som investerar i socialt företagande fortfarande avgörande för deras tillväxt. Sådana specialinriktade sociala invest</w:t>
      </w:r>
      <w:r w:rsidRPr="0078199B">
        <w:rPr>
          <w:sz w:val="20"/>
        </w:rPr>
        <w:t xml:space="preserve">eringsfonder är emellertid sällsynta eller inte tillräckligt stora. Gränsöverskridande investeringar i sådana fonder är idag onödigt komplicerade och kostsamma. </w:t>
      </w:r>
    </w:p>
    <w:p w:rsidR="007F1663" w:rsidRPr="0078199B" w:rsidRDefault="007F1663">
      <w:pPr>
        <w:rPr>
          <w:lang w:eastAsia="en-GB"/>
        </w:rPr>
      </w:pPr>
      <w:r w:rsidRPr="0078199B">
        <w:rPr>
          <w:sz w:val="20"/>
        </w:rPr>
        <w:t>Med förslaget till förordning vill kommissionen lägga grunden för en stark europeisk marknad för sociala investeringsfonder. Genom den införs en ny europeisk märkning för fonder för socialt företagande så att investerare lätt kan identifiera fonder som inriktar sig på investeringar i europeiska sociala företag. Metoden innebär att när de krav som f</w:t>
      </w:r>
      <w:r w:rsidRPr="0078199B">
        <w:rPr>
          <w:sz w:val="20"/>
        </w:rPr>
        <w:t>astställs i förslaget har uppfyllts kommer förvaltarna av sociala investeringsfon</w:t>
      </w:r>
      <w:r w:rsidRPr="0078199B">
        <w:rPr>
          <w:sz w:val="20"/>
        </w:rPr>
        <w:lastRenderedPageBreak/>
        <w:t xml:space="preserve">der att kunna marknadsföra sina fonder över hela Europa. För att få använda märkningen måste en fond bevisa att en stor del av investeringarna (70 % av investerarnas kapital) används för att stödja socialt företagande. Enhetliga regler för utlämnande av information ska säkerställa att investerarna får tydlig och ändamålsenlig information om investeringarna. </w:t>
      </w:r>
    </w:p>
    <w:p w:rsidR="007F1663" w:rsidRPr="0078199B" w:rsidRDefault="007F1663">
      <w:pPr>
        <w:rPr>
          <w:lang w:eastAsia="en-GB"/>
        </w:rPr>
      </w:pPr>
      <w:r w:rsidRPr="0078199B">
        <w:rPr>
          <w:color w:val="000000"/>
          <w:sz w:val="20"/>
        </w:rPr>
        <w:t>Regeringen är positiv till vidare behandling av förslaget. Att kommiss</w:t>
      </w:r>
      <w:r w:rsidRPr="0078199B">
        <w:rPr>
          <w:color w:val="000000"/>
          <w:sz w:val="20"/>
        </w:rPr>
        <w:t>ionen lägger förslag som syftar till att förbättra och tydliggöra ramvillkor för investeringsfonder är en princip som regeringen stödjer. Regeringen har tidigare gett sitt stöd till kommissionens arbete med att förbättra möjligheterna till så kallade gränsöverskridande riskkapitalinvesteringar och gör bedömningen att detta förslag har samma inriktning men när det gäller fonder med investeringsinriktning mot sociala investeringar.</w:t>
      </w:r>
      <w:r w:rsidRPr="0078199B">
        <w:rPr>
          <w:lang w:eastAsia="en-GB"/>
        </w:rPr>
        <w:t xml:space="preserve"> </w:t>
      </w:r>
    </w:p>
    <w:p w:rsidR="007F1663" w:rsidRPr="0078199B" w:rsidRDefault="007F1663">
      <w:pPr>
        <w:rPr>
          <w:lang w:eastAsia="en-GB"/>
        </w:rPr>
      </w:pPr>
    </w:p>
    <w:p w:rsidR="007F1663" w:rsidRPr="0078199B" w:rsidRDefault="007F1663">
      <w:pPr>
        <w:rPr>
          <w:lang w:eastAsia="en-GB"/>
        </w:rPr>
      </w:pPr>
      <w:r w:rsidRPr="0078199B">
        <w:rPr>
          <w:lang w:eastAsia="en-GB"/>
        </w:rPr>
        <w:t xml:space="preserve">Kommissionen presenterade förslaget den 7 december 2011. </w:t>
      </w:r>
    </w:p>
    <w:p w:rsidR="007F1663" w:rsidRPr="0078199B" w:rsidRDefault="007F1663"/>
    <w:p w:rsidR="007F1663" w:rsidRPr="0078199B" w:rsidRDefault="007F1663">
      <w:pPr>
        <w:pStyle w:val="Rubrik1"/>
      </w:pPr>
      <w:r w:rsidRPr="0078199B">
        <w:t>Förslaget</w:t>
      </w:r>
    </w:p>
    <w:p w:rsidR="007F1663" w:rsidRPr="0078199B" w:rsidRDefault="007F1663">
      <w:pPr>
        <w:pStyle w:val="Rubrik2"/>
      </w:pPr>
      <w:r w:rsidRPr="0078199B">
        <w:t>Ärendets bakgrund</w:t>
      </w:r>
    </w:p>
    <w:p w:rsidR="007F1663" w:rsidRPr="0078199B" w:rsidRDefault="007F1663">
      <w:pPr>
        <w:rPr>
          <w:sz w:val="20"/>
          <w:lang w:eastAsia="en-GB"/>
        </w:rPr>
      </w:pPr>
      <w:r w:rsidRPr="0078199B">
        <w:rPr>
          <w:sz w:val="20"/>
          <w:lang w:eastAsia="en-GB"/>
        </w:rPr>
        <w:t>Kommissionen åtog sig inom ramen för Inre marknadsakten (SMA) att verka för att stärka förutsättningarna för att sociala företag inom EU ska kunna utvecklas, bland annat genom att initiera insatser för att motverka finansieringssvårigheter för dessa företag. Förslaget om ett europeiskt ramverk för sociala entreprenörskapsfonder är ett initiativ för att leverera i enlighet med detta åtagande. Det utgör vidare en del av kommissionens meddelande ”Initiativ för socialt företagande” (COM(2011)682/2), som innehå</w:t>
      </w:r>
      <w:r w:rsidRPr="0078199B">
        <w:rPr>
          <w:sz w:val="20"/>
          <w:lang w:eastAsia="en-GB"/>
        </w:rPr>
        <w:t xml:space="preserve">ller en handlingsplan för att hantera utmaningar inom denna sektor i ett bredare perspektiv. </w:t>
      </w:r>
    </w:p>
    <w:p w:rsidR="007F1663" w:rsidRPr="0078199B" w:rsidRDefault="007F1663">
      <w:pPr>
        <w:pStyle w:val="Rubrik2"/>
      </w:pPr>
      <w:r w:rsidRPr="0078199B">
        <w:t>Förslagets innehåll</w:t>
      </w:r>
    </w:p>
    <w:p w:rsidR="007F1663" w:rsidRPr="0078199B" w:rsidRDefault="007F1663">
      <w:pPr>
        <w:rPr>
          <w:lang w:eastAsia="en-GB"/>
        </w:rPr>
      </w:pPr>
      <w:r w:rsidRPr="0078199B">
        <w:rPr>
          <w:sz w:val="20"/>
        </w:rPr>
        <w:t>Förslaget syftar till att stärka utvecklingsförutsättningarna för sociala företag genom att underlätta tillgången till privat finansiering genom ett förbättrat ramverk för investeringsfonder inriktade på denna sektor. Huvudpunkterna i förslaget omfattar:</w:t>
      </w:r>
    </w:p>
    <w:p w:rsidR="007F1663" w:rsidRPr="0078199B" w:rsidRDefault="007F1663">
      <w:r w:rsidRPr="0078199B">
        <w:rPr>
          <w:sz w:val="20"/>
          <w:u w:val="single"/>
        </w:rPr>
        <w:t>En erkänd EU-märkning för fonder för socialt företagande</w:t>
      </w:r>
      <w:r w:rsidRPr="0078199B">
        <w:rPr>
          <w:sz w:val="20"/>
        </w:rPr>
        <w:t>. För närvarande kan det vara svårt för investerare att identifiera fonder som investerar i sociala företag och detta kan undergräva förtroendet för marknaden för socialt företagande. Samtidigt kan det vara svårt för sociala investeringsfonder att skilja ut sig från andra fonder, och detta kan försämra sektorns tillväxt. Genom förordningen skapas en gemensam märkning – den europeiska märkningen för fonder för socialt företagande. Med denna märkning kommer investerarna att veta att merparten av deras investe</w:t>
      </w:r>
      <w:r w:rsidRPr="0078199B">
        <w:rPr>
          <w:sz w:val="20"/>
        </w:rPr>
        <w:t>ringar går till sociala företag. Dessutom kommer den gemensamma EU-märkningen att göra det mycket enklare för investerare i hela EU att lokalisera dessa fonder. Den europeiska märkningen för fonder för socialt företagande kommer till en början endast att vara tillgänglig för yrkesmässiga investerare. Så snart rambestämmelserna har inrättats kommer kommissionen dock att undersöka möjliga åtgärder för att göra dessa investeringar tillgängliga även för icke-professionella kunder.</w:t>
      </w:r>
    </w:p>
    <w:p w:rsidR="007F1663" w:rsidRPr="0078199B" w:rsidRDefault="007F1663">
      <w:pPr>
        <w:rPr>
          <w:lang w:eastAsia="en-GB"/>
        </w:rPr>
      </w:pPr>
      <w:r w:rsidRPr="0078199B">
        <w:rPr>
          <w:sz w:val="20"/>
          <w:u w:val="single"/>
        </w:rPr>
        <w:t>Förbättrade fakta för invester</w:t>
      </w:r>
      <w:r w:rsidRPr="0078199B">
        <w:rPr>
          <w:sz w:val="20"/>
          <w:u w:val="single"/>
        </w:rPr>
        <w:t>are</w:t>
      </w:r>
      <w:r w:rsidRPr="0078199B">
        <w:rPr>
          <w:sz w:val="20"/>
        </w:rPr>
        <w:t>. På samma sätt som att det kan vara svårt för investerare att identifiera fonder som investerar i sociala företag kan informationen om dessa fonder och deras verksamhet vara svår att jämföra och använda. Att inrätta en gemensam EU-ram för denna information är därför avgörande. Alla fonder som använder den nya märkningen bör i framtiden tydligt offentliggöra uppgifter om de typer av sociala företag de riktar in sig på, hur de väljer ut företagen, hur fonden kan stödja det sociala företaget, och hur de so</w:t>
      </w:r>
      <w:r w:rsidRPr="0078199B">
        <w:rPr>
          <w:sz w:val="20"/>
        </w:rPr>
        <w:t>ciala effekterna kommer att följas upp och rapporteras.</w:t>
      </w:r>
      <w:r w:rsidRPr="0078199B">
        <w:rPr>
          <w:lang w:eastAsia="en-GB"/>
        </w:rPr>
        <w:t xml:space="preserve"> </w:t>
      </w:r>
    </w:p>
    <w:p w:rsidR="007F1663" w:rsidRPr="0078199B" w:rsidRDefault="007F1663">
      <w:pPr>
        <w:rPr>
          <w:lang w:eastAsia="en-GB"/>
        </w:rPr>
      </w:pPr>
      <w:r w:rsidRPr="0078199B">
        <w:rPr>
          <w:sz w:val="20"/>
          <w:u w:val="single"/>
        </w:rPr>
        <w:t>Bättre resultatmätning</w:t>
      </w:r>
      <w:r w:rsidRPr="0078199B">
        <w:rPr>
          <w:sz w:val="20"/>
        </w:rPr>
        <w:t>. De beräknade effekterna är en viktig faktor för investerarna när de ska välja mellan olika sociala investeringsfonder. De föreslagna åtgärderna innehåller tydliga krav på att fonderna ska informera investerare om hur de kommer att följa upp och rapportera effekterna. Mer kommer dock troligen att behövas. Kommissionen kommer att arbeta vidare för att utveckla bättre och mer jämförbara metoder för mätning av investeringarnas sociala resultat. Detta kommer att skapa utrymme för utvecklingen av en investering</w:t>
      </w:r>
      <w:r w:rsidRPr="0078199B">
        <w:rPr>
          <w:sz w:val="20"/>
        </w:rPr>
        <w:t xml:space="preserve">smarknad med större insyn och större förtroende hos investerarna. </w:t>
      </w:r>
    </w:p>
    <w:p w:rsidR="007F1663" w:rsidRPr="0078199B" w:rsidRDefault="007F1663">
      <w:pPr>
        <w:rPr>
          <w:lang w:eastAsia="en-GB"/>
        </w:rPr>
      </w:pPr>
      <w:r w:rsidRPr="0078199B">
        <w:rPr>
          <w:sz w:val="20"/>
          <w:u w:val="single"/>
        </w:rPr>
        <w:t>Undanröja hindren för kapitalanskaffning i Europa</w:t>
      </w:r>
      <w:r w:rsidRPr="0078199B">
        <w:rPr>
          <w:sz w:val="20"/>
        </w:rPr>
        <w:t>. Reglerna för sociala investeringsfonder skiljer sig åt mellan medlemsstaterna och är ofta besvärliga och komplicerade. Därför kommer de nya förslagen att förenkla reglerna. EU-märkningen (Eu-SEF) bedöms kunna fungera som ett pass som skapar ökade förutsättningar för investeringar över nationsgränser inom EU. Fondförvaltarna kommer inte vara tvungna att använda det nya regelverket, men om de gör det får de tillgång till investerare i hela EU och till en tydligt igenkännbar EU-märkning som investerarna komm</w:t>
      </w:r>
      <w:r w:rsidRPr="0078199B">
        <w:rPr>
          <w:sz w:val="20"/>
        </w:rPr>
        <w:t xml:space="preserve">er att få ökat förtroende för och leta efter. </w:t>
      </w:r>
    </w:p>
    <w:p w:rsidR="007F1663" w:rsidRPr="0078199B" w:rsidRDefault="007F1663">
      <w:pPr>
        <w:pStyle w:val="Rubrik2"/>
      </w:pPr>
      <w:r w:rsidRPr="0078199B">
        <w:t>Gällande svenska regler och förslagets effekt på dessa</w:t>
      </w:r>
    </w:p>
    <w:p w:rsidR="007F1663" w:rsidRPr="0078199B" w:rsidRDefault="007F1663">
      <w:pPr>
        <w:rPr>
          <w:sz w:val="20"/>
        </w:rPr>
      </w:pPr>
      <w:r w:rsidRPr="0078199B">
        <w:rPr>
          <w:sz w:val="20"/>
        </w:rPr>
        <w:t>Ej aktuellt.</w:t>
      </w:r>
    </w:p>
    <w:p w:rsidR="007F1663" w:rsidRPr="0078199B" w:rsidRDefault="007F1663">
      <w:pPr>
        <w:pStyle w:val="Rubrik2"/>
      </w:pPr>
      <w:r w:rsidRPr="0078199B">
        <w:t>Budgetära konsekvenser / Konsekvensanalys</w:t>
      </w:r>
    </w:p>
    <w:p w:rsidR="007F1663" w:rsidRPr="0078199B" w:rsidRDefault="007F1663">
      <w:pPr>
        <w:rPr>
          <w:sz w:val="20"/>
        </w:rPr>
      </w:pPr>
      <w:r w:rsidRPr="0078199B">
        <w:rPr>
          <w:sz w:val="20"/>
        </w:rPr>
        <w:t xml:space="preserve">Förslaget har inga budgetära konsekvenser. </w:t>
      </w:r>
    </w:p>
    <w:p w:rsidR="007F1663" w:rsidRPr="0078199B" w:rsidRDefault="007F1663">
      <w:pPr>
        <w:pStyle w:val="Rubrik1"/>
      </w:pPr>
      <w:r w:rsidRPr="0078199B">
        <w:t>Ståndpunkter</w:t>
      </w:r>
    </w:p>
    <w:p w:rsidR="007F1663" w:rsidRPr="0078199B" w:rsidRDefault="007F1663">
      <w:pPr>
        <w:pStyle w:val="Rubrik2"/>
      </w:pPr>
      <w:r w:rsidRPr="0078199B">
        <w:t>Preliminär svensk ståndpunkt</w:t>
      </w:r>
    </w:p>
    <w:p w:rsidR="007F1663" w:rsidRPr="0078199B" w:rsidRDefault="007F1663">
      <w:pPr>
        <w:autoSpaceDE w:val="0"/>
        <w:autoSpaceDN w:val="0"/>
        <w:adjustRightInd w:val="0"/>
        <w:spacing w:before="0" w:line="240" w:lineRule="auto"/>
        <w:jc w:val="left"/>
        <w:rPr>
          <w:color w:val="000000"/>
          <w:sz w:val="20"/>
        </w:rPr>
      </w:pPr>
    </w:p>
    <w:p w:rsidR="007F1663" w:rsidRPr="0078199B" w:rsidRDefault="007F1663">
      <w:pPr>
        <w:autoSpaceDE w:val="0"/>
        <w:autoSpaceDN w:val="0"/>
        <w:adjustRightInd w:val="0"/>
        <w:spacing w:before="0" w:line="240" w:lineRule="auto"/>
        <w:rPr>
          <w:color w:val="000000"/>
          <w:sz w:val="20"/>
        </w:rPr>
      </w:pPr>
      <w:r w:rsidRPr="0078199B">
        <w:rPr>
          <w:color w:val="000000"/>
          <w:sz w:val="20"/>
        </w:rPr>
        <w:t xml:space="preserve">Regeringen är positiv till vidare behandling av förslaget. Att kommissionen lägger förslag som syftar till att förbättra och tydliggöra ramvillkor för investeringsfonder är en princip som regeringen stödjer. </w:t>
      </w:r>
    </w:p>
    <w:p w:rsidR="007F1663" w:rsidRPr="0078199B" w:rsidRDefault="007F1663">
      <w:pPr>
        <w:autoSpaceDE w:val="0"/>
        <w:autoSpaceDN w:val="0"/>
        <w:adjustRightInd w:val="0"/>
        <w:spacing w:before="0" w:line="240" w:lineRule="auto"/>
        <w:rPr>
          <w:color w:val="000000"/>
          <w:sz w:val="20"/>
        </w:rPr>
      </w:pPr>
    </w:p>
    <w:p w:rsidR="007F1663" w:rsidRPr="0078199B" w:rsidRDefault="007F1663">
      <w:pPr>
        <w:autoSpaceDE w:val="0"/>
        <w:autoSpaceDN w:val="0"/>
        <w:adjustRightInd w:val="0"/>
        <w:spacing w:before="0" w:line="240" w:lineRule="auto"/>
        <w:rPr>
          <w:color w:val="000000"/>
          <w:sz w:val="20"/>
        </w:rPr>
      </w:pPr>
      <w:r w:rsidRPr="0078199B">
        <w:rPr>
          <w:color w:val="000000"/>
          <w:sz w:val="20"/>
        </w:rPr>
        <w:t>Regeringen har tidigare gett sitt stöd till kommissionens arbete med att förbättra möjligheterna till s.k. gränsöverskridande riskkapitalinvesteringar och gör bedömningen att detta förslag har samma inriktning men när det gäller fonder med investeringsinriktning mot sociala investeringar.</w:t>
      </w:r>
    </w:p>
    <w:p w:rsidR="007F1663" w:rsidRPr="0078199B" w:rsidRDefault="007F1663"/>
    <w:p w:rsidR="007F1663" w:rsidRPr="0078199B" w:rsidRDefault="007F1663">
      <w:pPr>
        <w:autoSpaceDE w:val="0"/>
        <w:autoSpaceDN w:val="0"/>
        <w:adjustRightInd w:val="0"/>
        <w:spacing w:before="0" w:line="240" w:lineRule="auto"/>
        <w:rPr>
          <w:color w:val="000000"/>
          <w:sz w:val="20"/>
        </w:rPr>
      </w:pPr>
      <w:r w:rsidRPr="0078199B">
        <w:rPr>
          <w:color w:val="000000"/>
          <w:sz w:val="20"/>
        </w:rPr>
        <w:t>Vissa specifika frågor som exempelvis att en gräns på just 70 procent av kapitalet ska användas till sociala företag behöver analyseras närmare. Det är bra med ett initiativ som kvalitetssäkrar sociala investeringsfonder men ambitionen för de enskilda fonderna ska samtidigt inte vara så hög att det riskerar hämma intresset för fonder att kvalificera sig som ”EU Social Entrepreneurship Funds”.</w:t>
      </w:r>
    </w:p>
    <w:p w:rsidR="007F1663" w:rsidRPr="0078199B" w:rsidRDefault="007F1663">
      <w:pPr>
        <w:autoSpaceDE w:val="0"/>
        <w:autoSpaceDN w:val="0"/>
        <w:adjustRightInd w:val="0"/>
        <w:spacing w:before="0" w:line="240" w:lineRule="auto"/>
        <w:rPr>
          <w:color w:val="000000"/>
          <w:sz w:val="20"/>
        </w:rPr>
      </w:pPr>
    </w:p>
    <w:p w:rsidR="007F1663" w:rsidRPr="0078199B" w:rsidRDefault="007F1663">
      <w:pPr>
        <w:autoSpaceDE w:val="0"/>
        <w:autoSpaceDN w:val="0"/>
        <w:adjustRightInd w:val="0"/>
        <w:spacing w:before="0" w:line="240" w:lineRule="auto"/>
        <w:rPr>
          <w:color w:val="000000"/>
          <w:sz w:val="20"/>
        </w:rPr>
      </w:pPr>
      <w:r w:rsidRPr="0078199B">
        <w:rPr>
          <w:color w:val="000000"/>
          <w:sz w:val="20"/>
        </w:rPr>
        <w:t xml:space="preserve">Regeringen stöder förslaget att endast kvalificerade investerare inledningsvis ska komma ifråga för fonderna. </w:t>
      </w:r>
    </w:p>
    <w:p w:rsidR="007F1663" w:rsidRPr="0078199B" w:rsidRDefault="007F1663">
      <w:pPr>
        <w:pStyle w:val="Rubrik2"/>
      </w:pPr>
      <w:r w:rsidRPr="0078199B">
        <w:t>Medlemsstaternas ståndpunkter</w:t>
      </w:r>
    </w:p>
    <w:p w:rsidR="007F1663" w:rsidRPr="0078199B" w:rsidRDefault="007F1663">
      <w:pPr>
        <w:rPr>
          <w:sz w:val="20"/>
        </w:rPr>
      </w:pPr>
      <w:r w:rsidRPr="0078199B">
        <w:rPr>
          <w:sz w:val="20"/>
        </w:rPr>
        <w:t>Ej känt.</w:t>
      </w:r>
    </w:p>
    <w:p w:rsidR="007F1663" w:rsidRPr="0078199B" w:rsidRDefault="007F1663">
      <w:pPr>
        <w:pStyle w:val="Rubrik2"/>
      </w:pPr>
      <w:r w:rsidRPr="0078199B">
        <w:t>Institutionernas ståndpunkter</w:t>
      </w:r>
    </w:p>
    <w:p w:rsidR="007F1663" w:rsidRPr="0078199B" w:rsidRDefault="007F1663">
      <w:pPr>
        <w:rPr>
          <w:sz w:val="20"/>
        </w:rPr>
      </w:pPr>
      <w:r w:rsidRPr="0078199B">
        <w:rPr>
          <w:sz w:val="20"/>
        </w:rPr>
        <w:t>Ej känt.</w:t>
      </w:r>
    </w:p>
    <w:p w:rsidR="007F1663" w:rsidRPr="0078199B" w:rsidRDefault="007F1663">
      <w:pPr>
        <w:pStyle w:val="Rubrik2"/>
      </w:pPr>
      <w:r w:rsidRPr="0078199B">
        <w:t>Remissinstansernas ståndpunkter</w:t>
      </w:r>
    </w:p>
    <w:p w:rsidR="007F1663" w:rsidRPr="0078199B" w:rsidRDefault="007F1663">
      <w:pPr>
        <w:rPr>
          <w:sz w:val="20"/>
        </w:rPr>
      </w:pPr>
      <w:r w:rsidRPr="0078199B">
        <w:rPr>
          <w:sz w:val="20"/>
        </w:rPr>
        <w:t xml:space="preserve">Förslaget har ej remitterats. </w:t>
      </w:r>
    </w:p>
    <w:p w:rsidR="007F1663" w:rsidRPr="0078199B" w:rsidRDefault="007F1663"/>
    <w:p w:rsidR="007F1663" w:rsidRPr="0078199B" w:rsidRDefault="007F1663">
      <w:pPr>
        <w:pStyle w:val="Rubrik1"/>
      </w:pPr>
      <w:r w:rsidRPr="0078199B">
        <w:t>Förslagets förutsättningar</w:t>
      </w:r>
    </w:p>
    <w:p w:rsidR="007F1663" w:rsidRPr="0078199B" w:rsidRDefault="007F1663">
      <w:pPr>
        <w:pStyle w:val="Rubrik2"/>
      </w:pPr>
      <w:r w:rsidRPr="0078199B">
        <w:t>Rättslig grund och beslutsförfarande</w:t>
      </w:r>
    </w:p>
    <w:p w:rsidR="007F1663" w:rsidRPr="0078199B" w:rsidRDefault="007F1663">
      <w:pPr>
        <w:rPr>
          <w:sz w:val="20"/>
        </w:rPr>
      </w:pPr>
      <w:r w:rsidRPr="0078199B">
        <w:rPr>
          <w:sz w:val="20"/>
        </w:rPr>
        <w:t>Den rättsliga grunden för förordningen är artikel 114 i Fördraget om europeiska unionens funktionssätt.</w:t>
      </w:r>
      <w:r w:rsidRPr="0078199B">
        <w:t xml:space="preserve"> Beslutas enligt gemensamt förfarande enligt artikel 294 i samma fördrag.</w:t>
      </w:r>
    </w:p>
    <w:p w:rsidR="007F1663" w:rsidRPr="0078199B" w:rsidRDefault="007F1663">
      <w:pPr>
        <w:pStyle w:val="Rubrik2"/>
      </w:pPr>
      <w:r w:rsidRPr="0078199B">
        <w:t>Subsidiaritets- och proportionalitetsprincipen</w:t>
      </w:r>
    </w:p>
    <w:p w:rsidR="007F1663" w:rsidRPr="0078199B" w:rsidRDefault="007F1663">
      <w:pPr>
        <w:rPr>
          <w:sz w:val="20"/>
          <w:lang w:eastAsia="en-GB"/>
        </w:rPr>
      </w:pPr>
      <w:r w:rsidRPr="0078199B">
        <w:rPr>
          <w:sz w:val="20"/>
        </w:rPr>
        <w:t>Regeringen bedömer att förslaget är förenligt med subsidiaritetsprincipen. Syftet med förordningen är bl.a. att öka kapitaltillgången genom att skapa enhetliga definitioner och principer rörande entreprenör</w:t>
      </w:r>
      <w:bookmarkStart w:id="1" w:name="_GoBack"/>
      <w:bookmarkEnd w:id="1"/>
      <w:r w:rsidRPr="0078199B">
        <w:rPr>
          <w:sz w:val="20"/>
        </w:rPr>
        <w:t>skapsfonder och på så sätt underlätta investeringar på en vidgad marknad. Detta innebär att mervärdet skapas genom en att ramverket etableras på EU-nivå. I de delar där det är relevant har nationella myndigheter en uppgift i att upprätthålla och övervaka ramverkets principer. Avseende proportionalitetsprincipen delar regeringen kommissionens bedömning.</w:t>
      </w:r>
    </w:p>
    <w:p w:rsidR="007F1663" w:rsidRPr="0078199B" w:rsidRDefault="007F1663"/>
    <w:p w:rsidR="007F1663" w:rsidRPr="0078199B" w:rsidRDefault="007F1663">
      <w:pPr>
        <w:pStyle w:val="Rubrik1"/>
      </w:pPr>
      <w:r w:rsidRPr="0078199B">
        <w:t>Övrigt</w:t>
      </w:r>
    </w:p>
    <w:p w:rsidR="007F1663" w:rsidRPr="0078199B" w:rsidRDefault="007F1663">
      <w:pPr>
        <w:pStyle w:val="Rubrik2"/>
      </w:pPr>
      <w:r w:rsidRPr="0078199B">
        <w:t>Fortsatt behandling av ärendet</w:t>
      </w:r>
    </w:p>
    <w:p w:rsidR="007F1663" w:rsidRPr="0078199B" w:rsidRDefault="007F1663"/>
    <w:p w:rsidR="007F1663" w:rsidRPr="0078199B" w:rsidRDefault="007F1663">
      <w:r w:rsidRPr="0078199B">
        <w:t xml:space="preserve">Förhandlingar i rådsarbetsgruppen för ekonomiska och finansiella frågor (Ekofin) startar den 11 januari 2012. </w:t>
      </w:r>
      <w:r w:rsidRPr="0078199B">
        <w:rPr>
          <w:rFonts w:ascii="Helv" w:hAnsi="Helv" w:cs="Helv"/>
        </w:rPr>
        <w:t xml:space="preserve"> </w:t>
      </w:r>
    </w:p>
    <w:p w:rsidR="007F1663" w:rsidRPr="0078199B" w:rsidRDefault="007F1663"/>
    <w:sectPr w:rsidR="007F1663" w:rsidRPr="0078199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663" w:rsidRPr="0078199B" w:rsidRDefault="007F1663">
      <w:r w:rsidRPr="0078199B">
        <w:separator/>
      </w:r>
    </w:p>
  </w:endnote>
  <w:endnote w:type="continuationSeparator" w:id="0">
    <w:p w:rsidR="007F1663" w:rsidRPr="0078199B" w:rsidRDefault="007F1663">
      <w:r w:rsidRPr="007819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663" w:rsidRPr="0078199B" w:rsidRDefault="007F16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663" w:rsidRPr="0078199B" w:rsidRDefault="007F1663">
    <w:pPr>
      <w:pStyle w:val="SidfotH"/>
      <w:framePr w:wrap="around"/>
    </w:pPr>
    <w:r w:rsidRPr="0078199B">
      <w:fldChar w:fldCharType="begin" w:fldLock="1"/>
    </w:r>
    <w:r w:rsidRPr="0078199B">
      <w:instrText xml:space="preserve"> PAGE </w:instrText>
    </w:r>
    <w:r w:rsidRPr="0078199B">
      <w:fldChar w:fldCharType="separate"/>
    </w:r>
    <w:r w:rsidRPr="0078199B">
      <w:t>5</w:t>
    </w:r>
    <w:r w:rsidRPr="0078199B">
      <w:fldChar w:fldCharType="end"/>
    </w:r>
  </w:p>
  <w:p w:rsidR="007F1663" w:rsidRPr="0078199B" w:rsidRDefault="007F166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663" w:rsidRPr="0078199B" w:rsidRDefault="007F1663">
    <w:pPr>
      <w:pStyle w:val="SidfotH"/>
      <w:framePr w:wrap="around"/>
    </w:pPr>
    <w:r w:rsidRPr="0078199B">
      <w:fldChar w:fldCharType="begin" w:fldLock="1"/>
    </w:r>
    <w:r w:rsidRPr="0078199B">
      <w:instrText xml:space="preserve"> PAGE </w:instrText>
    </w:r>
    <w:r w:rsidRPr="0078199B">
      <w:fldChar w:fldCharType="separate"/>
    </w:r>
    <w:r w:rsidRPr="0078199B">
      <w:t>1</w:t>
    </w:r>
    <w:r w:rsidRPr="0078199B">
      <w:fldChar w:fldCharType="end"/>
    </w:r>
  </w:p>
  <w:p w:rsidR="007F1663" w:rsidRPr="0078199B" w:rsidRDefault="007F1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663" w:rsidRPr="0078199B" w:rsidRDefault="007F1663">
      <w:r w:rsidRPr="0078199B">
        <w:separator/>
      </w:r>
    </w:p>
  </w:footnote>
  <w:footnote w:type="continuationSeparator" w:id="0">
    <w:p w:rsidR="007F1663" w:rsidRPr="0078199B" w:rsidRDefault="007F1663">
      <w:r w:rsidRPr="007819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663" w:rsidRPr="0078199B" w:rsidRDefault="007F166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663" w:rsidRPr="0078199B" w:rsidRDefault="007F1663">
    <w:pPr>
      <w:pStyle w:val="Kantrubrik"/>
      <w:framePr w:h="1157" w:hRule="exact" w:wrap="around" w:y="738"/>
    </w:pPr>
    <w:r w:rsidRPr="0078199B">
      <w:t>2011/12:FPM80</w:t>
    </w:r>
  </w:p>
  <w:p w:rsidR="007F1663" w:rsidRPr="0078199B" w:rsidRDefault="007F166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663" w:rsidRPr="0078199B" w:rsidRDefault="0078199B">
    <w:pPr>
      <w:pStyle w:val="Sidhuvud"/>
    </w:pPr>
    <w:r w:rsidRPr="0078199B">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360900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1663" w:rsidRDefault="007F166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6.3pt" filled="t">
                                <v:imagedata r:id="rId1" o:title=""/>
                              </v:shape>
                              <o:OLEObject Type="Embed" ProgID="Word.Picture.8" ShapeID="_x0000_i1025" DrawAspect="Content" ObjectID="_182751716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F1663" w:rsidRDefault="007F1663">
                    <w:pPr>
                      <w:pStyle w:val="Logo"/>
                    </w:pPr>
                    <w:r>
                      <w:object w:dxaOrig="840" w:dyaOrig="1545">
                        <v:shape id="_x0000_i1025" type="#_x0000_t75" style="width:42pt;height:76.3pt" filled="t">
                          <v:imagedata r:id="rId1" o:title=""/>
                        </v:shape>
                        <o:OLEObject Type="Embed" ProgID="Word.Picture.8" ShapeID="_x0000_i1025" DrawAspect="Content" ObjectID="_182751716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2481558">
    <w:abstractNumId w:val="4"/>
  </w:num>
  <w:num w:numId="2" w16cid:durableId="889194725">
    <w:abstractNumId w:val="1"/>
  </w:num>
  <w:num w:numId="3" w16cid:durableId="1718969853">
    <w:abstractNumId w:val="2"/>
  </w:num>
  <w:num w:numId="4" w16cid:durableId="1910847439">
    <w:abstractNumId w:val="3"/>
  </w:num>
  <w:num w:numId="5" w16cid:durableId="1246644570">
    <w:abstractNumId w:val="5"/>
  </w:num>
  <w:num w:numId="6" w16cid:durableId="113548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11"/>
    <w:docVar w:name="Ar" w:val="2011/12"/>
    <w:docVar w:name="Dep" w:val="Näringsdepartementet"/>
    <w:docVar w:name="DepWeb" w:val="Näringsdepartementet"/>
    <w:docVar w:name="GDB1" w:val="KOM (2011) 86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uropeiska sociala entreprenörskapsfon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862"/>
    <w:docVar w:name="Nr" w:val="80"/>
    <w:docVar w:name="RD_APPVERSION" w:val="3.00"/>
    <w:docVar w:name="Rub" w:val="Europeiska sociala entreprenörskapsfonder"/>
    <w:docVar w:name="UppDat" w:val="2012-01-11"/>
    <w:docVar w:name="Utsk" w:val="Finansutskottet"/>
  </w:docVars>
  <w:rsids>
    <w:rsidRoot w:val="00465253"/>
    <w:rsid w:val="00465253"/>
    <w:rsid w:val="0078199B"/>
    <w:rsid w:val="007F16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1E1D12-D4B2-4AF9-8647-E31202A6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link w:val="Rubrik4Char"/>
    <w:qFormat/>
    <w:pPr>
      <w:numPr>
        <w:ilvl w:val="3"/>
      </w:numPr>
      <w:outlineLvl w:val="3"/>
    </w:pPr>
    <w:rPr>
      <w:b w:val="0"/>
      <w:i/>
    </w:rPr>
  </w:style>
  <w:style w:type="paragraph" w:styleId="Rubrik5">
    <w:name w:val="heading 5"/>
    <w:basedOn w:val="Rubrik3"/>
    <w:next w:val="Normal"/>
    <w:link w:val="Rubrik5Char"/>
    <w:qFormat/>
    <w:pPr>
      <w:outlineLvl w:val="4"/>
    </w:pPr>
    <w:rPr>
      <w:b w:val="0"/>
    </w:rPr>
  </w:style>
  <w:style w:type="paragraph" w:styleId="Rubrik6">
    <w:name w:val="heading 6"/>
    <w:basedOn w:val="Normal"/>
    <w:next w:val="Normal"/>
    <w:link w:val="Rubrik6Char"/>
    <w:qFormat/>
    <w:pPr>
      <w:keepNext/>
      <w:spacing w:before="240" w:after="60"/>
      <w:outlineLvl w:val="5"/>
    </w:pPr>
    <w:rPr>
      <w:sz w:val="16"/>
    </w:rPr>
  </w:style>
  <w:style w:type="paragraph" w:styleId="Rubrik7">
    <w:name w:val="heading 7"/>
    <w:basedOn w:val="Normal"/>
    <w:next w:val="Normal"/>
    <w:link w:val="Rubrik7Char"/>
    <w:qFormat/>
    <w:pPr>
      <w:spacing w:before="240" w:after="60"/>
      <w:outlineLvl w:val="6"/>
    </w:pPr>
    <w:rPr>
      <w:rFonts w:ascii="Arial" w:hAnsi="Arial"/>
      <w:sz w:val="20"/>
    </w:rPr>
  </w:style>
  <w:style w:type="paragraph" w:styleId="Rubrik8">
    <w:name w:val="heading 8"/>
    <w:basedOn w:val="Normal"/>
    <w:next w:val="Normal"/>
    <w:link w:val="Rubrik8Char"/>
    <w:qFormat/>
    <w:pPr>
      <w:spacing w:before="240" w:after="60"/>
      <w:outlineLvl w:val="7"/>
    </w:pPr>
    <w:rPr>
      <w:rFonts w:ascii="Arial" w:hAnsi="Arial"/>
      <w:i/>
      <w:sz w:val="20"/>
    </w:rPr>
  </w:style>
  <w:style w:type="paragraph" w:styleId="Rubrik9">
    <w:name w:val="heading 9"/>
    <w:basedOn w:val="Normal"/>
    <w:next w:val="Normal"/>
    <w:link w:val="Rubrik9Char"/>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basedOn w:val="Standardstycketeckensnitt"/>
    <w:link w:val="Rubrik2"/>
    <w:semiHidden/>
    <w:locked/>
    <w:rPr>
      <w:rFonts w:ascii="Cambria" w:hAnsi="Cambria" w:cs="Times New Roman"/>
      <w:b/>
      <w:bCs/>
      <w:i/>
      <w:iCs/>
      <w:sz w:val="28"/>
      <w:szCs w:val="28"/>
    </w:rPr>
  </w:style>
  <w:style w:type="character" w:customStyle="1" w:styleId="Rubrik3Char">
    <w:name w:val="Rubrik 3 Char"/>
    <w:basedOn w:val="Standardstycketeckensnitt"/>
    <w:link w:val="Rubrik3"/>
    <w:semiHidden/>
    <w:locked/>
    <w:rPr>
      <w:rFonts w:ascii="Cambria" w:hAnsi="Cambria" w:cs="Times New Roman"/>
      <w:b/>
      <w:bCs/>
      <w:sz w:val="26"/>
      <w:szCs w:val="26"/>
    </w:rPr>
  </w:style>
  <w:style w:type="character" w:customStyle="1" w:styleId="Rubrik4Char">
    <w:name w:val="Rubrik 4 Char"/>
    <w:basedOn w:val="Standardstycketeckensnitt"/>
    <w:link w:val="Rubrik4"/>
    <w:semiHidden/>
    <w:locked/>
    <w:rPr>
      <w:rFonts w:ascii="Calibri" w:hAnsi="Calibri" w:cs="Times New Roman"/>
      <w:b/>
      <w:bCs/>
      <w:sz w:val="28"/>
      <w:szCs w:val="28"/>
    </w:rPr>
  </w:style>
  <w:style w:type="character" w:customStyle="1" w:styleId="Rubrik5Char">
    <w:name w:val="Rubrik 5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link w:val="QuoteChar"/>
    <w:pPr>
      <w:spacing w:before="125" w:line="214" w:lineRule="exact"/>
    </w:pPr>
  </w:style>
  <w:style w:type="character" w:customStyle="1" w:styleId="QuoteChar">
    <w:name w:val="Quote Char"/>
    <w:basedOn w:val="Standardstycketeckensnitt"/>
    <w:link w:val="Quote"/>
    <w:locked/>
    <w:rPr>
      <w:rFonts w:cs="Times New Roman"/>
      <w:i/>
      <w:iCs/>
      <w:color w:val="000000"/>
      <w:sz w:val="20"/>
      <w:szCs w:val="20"/>
    </w:r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link w:val="FotnotstextChar"/>
    <w:semiHidden/>
    <w:pPr>
      <w:spacing w:line="170" w:lineRule="exact"/>
    </w:pPr>
    <w:rPr>
      <w:sz w:val="17"/>
    </w:rPr>
  </w:style>
  <w:style w:type="character" w:customStyle="1" w:styleId="FotnotstextChar">
    <w:name w:val="Fotnotstext Char"/>
    <w:basedOn w:val="Standardstycketeckensnitt"/>
    <w:link w:val="Fotnotstext"/>
    <w:semiHidden/>
    <w:locked/>
    <w:rPr>
      <w:rFonts w:cs="Times New Roman"/>
      <w:sz w:val="20"/>
      <w:szCs w:val="20"/>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link w:val="MakrotextChar"/>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character" w:customStyle="1" w:styleId="MakrotextChar">
    <w:name w:val="Makrotext Char"/>
    <w:basedOn w:val="Standardstycketeckensnitt"/>
    <w:link w:val="Makrotext"/>
    <w:semiHidden/>
    <w:locked/>
    <w:rPr>
      <w:rFonts w:ascii="Arial" w:hAnsi="Arial" w:cs="Times New Roman"/>
      <w:lang w:val="sv-SE" w:eastAsia="sv-SE" w:bidi="ar-SA"/>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character" w:customStyle="1" w:styleId="SidfotChar">
    <w:name w:val="Sidfot Char"/>
    <w:basedOn w:val="Standardstycketeckensnitt"/>
    <w:link w:val="Sidfot"/>
    <w:semiHidden/>
    <w:locked/>
    <w:rPr>
      <w:rFonts w:cs="Times New Roman"/>
      <w:sz w:val="20"/>
      <w:szCs w:val="20"/>
    </w:r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Char">
    <w:name w:val="Sidhuvud Char"/>
    <w:basedOn w:val="Standardstycketeckensnitt"/>
    <w:link w:val="Sidhuvud"/>
    <w:semiHidden/>
    <w:locked/>
    <w:rPr>
      <w:rFonts w:cs="Times New Roman"/>
      <w:sz w:val="20"/>
      <w:szCs w:val="20"/>
    </w:r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character" w:customStyle="1" w:styleId="KommentarerChar">
    <w:name w:val="Kommentarer Char"/>
    <w:basedOn w:val="Standardstycketeckensnitt"/>
    <w:link w:val="Kommentarer"/>
    <w:semiHidden/>
    <w:locked/>
    <w:rPr>
      <w:rFonts w:cs="Times New Roman"/>
      <w:sz w:val="20"/>
      <w:szCs w:val="20"/>
    </w:rPr>
  </w:style>
  <w:style w:type="paragraph" w:styleId="Dokumentversikt">
    <w:name w:val="Document Map"/>
    <w:basedOn w:val="Normal"/>
    <w:link w:val="DokumentversiktChar"/>
    <w:semiHidden/>
    <w:pPr>
      <w:shd w:val="clear" w:color="auto" w:fill="000080"/>
    </w:pPr>
    <w:rPr>
      <w:rFonts w:ascii="Tahoma" w:hAnsi="Tahoma"/>
    </w:rPr>
  </w:style>
  <w:style w:type="character" w:customStyle="1" w:styleId="DokumentversiktChar">
    <w:name w:val="Dokumentöversikt Char"/>
    <w:basedOn w:val="Standardstycketeckensnitt"/>
    <w:link w:val="Dokumentversikt"/>
    <w:semiHidden/>
    <w:locked/>
    <w:rPr>
      <w:rFonts w:cs="Times New Roman"/>
      <w:sz w:val="2"/>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link w:val="BallongtextChar"/>
    <w:semiHidden/>
    <w:rPr>
      <w:rFonts w:ascii="Tahoma" w:hAnsi="Tahoma" w:cs="Tahoma"/>
      <w:sz w:val="16"/>
      <w:szCs w:val="16"/>
    </w:rPr>
  </w:style>
  <w:style w:type="character" w:customStyle="1" w:styleId="BallongtextChar">
    <w:name w:val="Ballongtext Char"/>
    <w:basedOn w:val="Standardstycketeckensnitt"/>
    <w:link w:val="Ballongtext"/>
    <w:semiHidden/>
    <w:locked/>
    <w:rPr>
      <w:rFonts w:cs="Times New Roman"/>
      <w:sz w:val="2"/>
    </w:rPr>
  </w:style>
  <w:style w:type="character" w:styleId="Hyperlnk">
    <w:name w:val="Hyperlink"/>
    <w:basedOn w:val="Standardstycketeckensnitt"/>
    <w:rPr>
      <w:rFonts w:cs="Times New Roman"/>
      <w:color w:val="0000FF"/>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1198</Words>
  <Characters>7633</Characters>
  <Application>Microsoft Office Word</Application>
  <DocSecurity>4</DocSecurity>
  <Lines>162</Lines>
  <Paragraphs>55</Paragraphs>
  <ScaleCrop>false</ScaleCrop>
  <HeadingPairs>
    <vt:vector size="2" baseType="variant">
      <vt:variant>
        <vt:lpstr>Rubrik</vt:lpstr>
      </vt:variant>
      <vt:variant>
        <vt:i4>1</vt:i4>
      </vt:variant>
    </vt:vector>
  </HeadingPairs>
  <TitlesOfParts>
    <vt:vector size="1" baseType="lpstr">
      <vt:lpstr>FPM_201112__80</vt:lpstr>
    </vt:vector>
  </TitlesOfParts>
  <Company>RD-DTSL</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FPM_201112__80</dc:title>
  <dc:subject>FPM_201112__80</dc:subject>
  <dc:creator>Riksdagen</dc:creator>
  <cp:keywords>Riksdagen</cp:keywords>
  <dc:description>KP2004-version.  Ändringarna påverkar enbart användningen inom Riksdagen. 050429 nya departement DTSL.</dc:description>
  <cp:lastModifiedBy>Lars Brink</cp:lastModifiedBy>
  <cp:revision>2</cp:revision>
  <cp:lastPrinted>2012-01-12T06:57:00Z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80</vt:lpwstr>
  </property>
  <property fmtid="{D5CDD505-2E9C-101B-9397-08002B2CF9AE}" pid="4" name="GDB1">
    <vt:lpwstr>KOM (2011) 862</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Europeiska sociala entreprenörskapsfonder</vt:lpwstr>
  </property>
  <property fmtid="{D5CDD505-2E9C-101B-9397-08002B2CF9AE}" pid="8" name="UppDat">
    <vt:lpwstr>2012-01-11</vt:lpwstr>
  </property>
  <property fmtid="{D5CDD505-2E9C-101B-9397-08002B2CF9AE}" pid="9" name="AnkDat">
    <vt:lpwstr>2012-01-11</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