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363A5" w14:textId="77777777" w:rsidR="00FB32B9" w:rsidRDefault="00686001" w:rsidP="00FB32B9">
      <w:pPr>
        <w:pStyle w:val="UDrubrik"/>
        <w:tabs>
          <w:tab w:val="left" w:pos="1701"/>
          <w:tab w:val="left" w:pos="1985"/>
        </w:tabs>
        <w:rPr>
          <w:rFonts w:cs="Arial"/>
          <w:sz w:val="28"/>
        </w:rPr>
      </w:pPr>
    </w:p>
    <w:p w14:paraId="52B363A6" w14:textId="77777777" w:rsidR="00FB32B9" w:rsidRDefault="00686001" w:rsidP="00FB32B9">
      <w:pPr>
        <w:pStyle w:val="UDrubrik"/>
        <w:tabs>
          <w:tab w:val="left" w:pos="1701"/>
          <w:tab w:val="left" w:pos="1985"/>
        </w:tabs>
        <w:rPr>
          <w:rFonts w:cs="Arial"/>
          <w:sz w:val="28"/>
        </w:rPr>
      </w:pPr>
    </w:p>
    <w:p w14:paraId="52B363A7" w14:textId="77777777" w:rsidR="00FB32B9" w:rsidRDefault="00686001" w:rsidP="00FB32B9">
      <w:pPr>
        <w:pStyle w:val="UDrubrik"/>
        <w:tabs>
          <w:tab w:val="left" w:pos="1701"/>
          <w:tab w:val="left" w:pos="1985"/>
        </w:tabs>
        <w:rPr>
          <w:rFonts w:cs="Arial"/>
          <w:sz w:val="28"/>
        </w:rPr>
      </w:pPr>
    </w:p>
    <w:p w14:paraId="52B363A8" w14:textId="77777777" w:rsidR="00FB32B9" w:rsidRDefault="00686001" w:rsidP="00FB32B9">
      <w:pPr>
        <w:pStyle w:val="UDrubrik"/>
        <w:tabs>
          <w:tab w:val="left" w:pos="1701"/>
          <w:tab w:val="left" w:pos="1985"/>
        </w:tabs>
        <w:rPr>
          <w:rFonts w:cs="Arial"/>
          <w:sz w:val="28"/>
        </w:rPr>
      </w:pPr>
    </w:p>
    <w:p w14:paraId="52B363A9" w14:textId="51A6EABD" w:rsidR="00FB32B9" w:rsidRDefault="00075D15" w:rsidP="00FB32B9">
      <w:pPr>
        <w:pStyle w:val="UDrubrik"/>
        <w:tabs>
          <w:tab w:val="left" w:pos="1701"/>
          <w:tab w:val="left" w:pos="1985"/>
        </w:tabs>
        <w:rPr>
          <w:rFonts w:cs="Arial"/>
          <w:sz w:val="28"/>
        </w:rPr>
      </w:pPr>
      <w:r>
        <w:rPr>
          <w:rFonts w:cs="Arial"/>
          <w:sz w:val="28"/>
        </w:rPr>
        <w:t xml:space="preserve">Troliga A-punkter inför kommande rådsmöten som förväntas godkännas vid </w:t>
      </w:r>
      <w:proofErr w:type="spellStart"/>
      <w:r>
        <w:rPr>
          <w:rFonts w:cs="Arial"/>
          <w:sz w:val="28"/>
        </w:rPr>
        <w:t>Coreper</w:t>
      </w:r>
      <w:proofErr w:type="spellEnd"/>
      <w:r>
        <w:rPr>
          <w:rFonts w:cs="Arial"/>
          <w:sz w:val="28"/>
        </w:rPr>
        <w:t xml:space="preserve"> I </w:t>
      </w:r>
      <w:r w:rsidR="000A46C4">
        <w:rPr>
          <w:rFonts w:cs="Arial"/>
          <w:sz w:val="28"/>
        </w:rPr>
        <w:t>onsdagen den 11 november 2015, vecka 46</w:t>
      </w:r>
      <w:r>
        <w:rPr>
          <w:rFonts w:cs="Arial"/>
          <w:sz w:val="28"/>
        </w:rPr>
        <w:t>.</w:t>
      </w:r>
    </w:p>
    <w:p w14:paraId="52B363AA" w14:textId="77777777" w:rsidR="00FB32B9" w:rsidRDefault="00686001" w:rsidP="00FB32B9">
      <w:pPr>
        <w:pStyle w:val="Brdtext"/>
      </w:pPr>
    </w:p>
    <w:p w14:paraId="52B363AB" w14:textId="6B82A4B5" w:rsidR="00FB32B9" w:rsidRDefault="00075D15" w:rsidP="00FB32B9">
      <w:pPr>
        <w:pStyle w:val="Brdtext"/>
      </w:pPr>
      <w:r>
        <w:t xml:space="preserve">Överlämnas för skriftligt samråd till </w:t>
      </w:r>
      <w:r w:rsidR="00136216">
        <w:t xml:space="preserve">torsdagen den 12 november 2015. </w:t>
      </w:r>
      <w:proofErr w:type="spellStart"/>
      <w:r w:rsidR="00136216">
        <w:t>kl</w:t>
      </w:r>
      <w:proofErr w:type="spellEnd"/>
      <w:r w:rsidR="00136216">
        <w:t xml:space="preserve"> 14.00.</w:t>
      </w:r>
    </w:p>
    <w:p w14:paraId="52B363AC" w14:textId="77777777" w:rsidR="00FB32B9" w:rsidRDefault="00075D15">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2B363AD" w14:textId="77777777" w:rsidR="00D957FB" w:rsidRPr="00FB32B9" w:rsidRDefault="00075D15">
          <w:pPr>
            <w:pStyle w:val="Innehllsfrteckningsrubrik"/>
            <w:rPr>
              <w:color w:val="auto"/>
            </w:rPr>
          </w:pPr>
          <w:proofErr w:type="spellStart"/>
          <w:r w:rsidRPr="00FB32B9">
            <w:rPr>
              <w:color w:val="auto"/>
            </w:rPr>
            <w:t>Innehållsförteckning</w:t>
          </w:r>
          <w:proofErr w:type="spellEnd"/>
        </w:p>
        <w:p w14:paraId="52B363AE" w14:textId="77777777" w:rsidR="00DA7250" w:rsidRPr="00DA7250" w:rsidRDefault="00686001" w:rsidP="00DA7250">
          <w:pPr>
            <w:rPr>
              <w:lang w:val="en-US" w:eastAsia="ja-JP"/>
            </w:rPr>
          </w:pPr>
        </w:p>
        <w:p w14:paraId="7007A451" w14:textId="77777777" w:rsidR="00677F63" w:rsidRDefault="00075D15">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4998764" w:history="1">
            <w:r w:rsidR="00677F63" w:rsidRPr="00FC76A6">
              <w:rPr>
                <w:rStyle w:val="Hyperlnk"/>
                <w:noProof/>
              </w:rPr>
              <w:t>1.</w:t>
            </w:r>
            <w:r w:rsidR="00677F63">
              <w:rPr>
                <w:rFonts w:asciiTheme="minorHAnsi" w:eastAsiaTheme="minorEastAsia" w:hAnsiTheme="minorHAnsi" w:cstheme="minorBidi"/>
                <w:noProof/>
                <w:lang w:eastAsia="sv-SE"/>
              </w:rPr>
              <w:tab/>
            </w:r>
            <w:r w:rsidR="00677F63" w:rsidRPr="00FC76A6">
              <w:rPr>
                <w:rStyle w:val="Hyperlnk"/>
                <w:noProof/>
              </w:rPr>
              <w:t>Réponses aux questions écrites posées au Conseil par des membres du Parlement européen (+)</w:t>
            </w:r>
            <w:r w:rsidR="00677F63">
              <w:rPr>
                <w:noProof/>
                <w:webHidden/>
              </w:rPr>
              <w:tab/>
            </w:r>
            <w:r w:rsidR="00677F63">
              <w:rPr>
                <w:noProof/>
                <w:webHidden/>
              </w:rPr>
              <w:fldChar w:fldCharType="begin"/>
            </w:r>
            <w:r w:rsidR="00677F63">
              <w:rPr>
                <w:noProof/>
                <w:webHidden/>
              </w:rPr>
              <w:instrText xml:space="preserve"> PAGEREF _Toc434998764 \h </w:instrText>
            </w:r>
            <w:r w:rsidR="00677F63">
              <w:rPr>
                <w:noProof/>
                <w:webHidden/>
              </w:rPr>
            </w:r>
            <w:r w:rsidR="00677F63">
              <w:rPr>
                <w:noProof/>
                <w:webHidden/>
              </w:rPr>
              <w:fldChar w:fldCharType="separate"/>
            </w:r>
            <w:r w:rsidR="00677F63">
              <w:rPr>
                <w:noProof/>
                <w:webHidden/>
              </w:rPr>
              <w:t>4</w:t>
            </w:r>
            <w:r w:rsidR="00677F63">
              <w:rPr>
                <w:noProof/>
                <w:webHidden/>
              </w:rPr>
              <w:fldChar w:fldCharType="end"/>
            </w:r>
          </w:hyperlink>
        </w:p>
        <w:p w14:paraId="7037A472" w14:textId="77777777" w:rsidR="00677F63" w:rsidRDefault="00686001">
          <w:pPr>
            <w:pStyle w:val="Innehll1"/>
            <w:tabs>
              <w:tab w:val="left" w:pos="440"/>
              <w:tab w:val="right" w:leader="dot" w:pos="9062"/>
            </w:tabs>
            <w:rPr>
              <w:rFonts w:asciiTheme="minorHAnsi" w:eastAsiaTheme="minorEastAsia" w:hAnsiTheme="minorHAnsi" w:cstheme="minorBidi"/>
              <w:noProof/>
              <w:lang w:eastAsia="sv-SE"/>
            </w:rPr>
          </w:pPr>
          <w:hyperlink w:anchor="_Toc434998765" w:history="1">
            <w:r w:rsidR="00677F63" w:rsidRPr="00FC76A6">
              <w:rPr>
                <w:rStyle w:val="Hyperlnk"/>
                <w:noProof/>
              </w:rPr>
              <w:t>2.</w:t>
            </w:r>
            <w:r w:rsidR="00677F63">
              <w:rPr>
                <w:rFonts w:asciiTheme="minorHAnsi" w:eastAsiaTheme="minorEastAsia" w:hAnsiTheme="minorHAnsi" w:cstheme="minorBidi"/>
                <w:noProof/>
                <w:lang w:eastAsia="sv-SE"/>
              </w:rPr>
              <w:tab/>
            </w:r>
            <w:r w:rsidR="00677F63" w:rsidRPr="00FC76A6">
              <w:rPr>
                <w:rStyle w:val="Hyperlnk"/>
                <w:noProof/>
              </w:rPr>
              <w:t>Conseil d'administration de l'Institut européen pour l'égalité entre les hommes et les femmes Nomination de Mme Rita ZEMAITYTE-TACK, membre titulaire lituanien, en remplacement de Mme Vanda JURŠĖNIENĖ, membre démissionnaire</w:t>
            </w:r>
            <w:r w:rsidR="00677F63">
              <w:rPr>
                <w:noProof/>
                <w:webHidden/>
              </w:rPr>
              <w:tab/>
            </w:r>
            <w:r w:rsidR="00677F63">
              <w:rPr>
                <w:noProof/>
                <w:webHidden/>
              </w:rPr>
              <w:fldChar w:fldCharType="begin"/>
            </w:r>
            <w:r w:rsidR="00677F63">
              <w:rPr>
                <w:noProof/>
                <w:webHidden/>
              </w:rPr>
              <w:instrText xml:space="preserve"> PAGEREF _Toc434998765 \h </w:instrText>
            </w:r>
            <w:r w:rsidR="00677F63">
              <w:rPr>
                <w:noProof/>
                <w:webHidden/>
              </w:rPr>
            </w:r>
            <w:r w:rsidR="00677F63">
              <w:rPr>
                <w:noProof/>
                <w:webHidden/>
              </w:rPr>
              <w:fldChar w:fldCharType="separate"/>
            </w:r>
            <w:r w:rsidR="00677F63">
              <w:rPr>
                <w:noProof/>
                <w:webHidden/>
              </w:rPr>
              <w:t>4</w:t>
            </w:r>
            <w:r w:rsidR="00677F63">
              <w:rPr>
                <w:noProof/>
                <w:webHidden/>
              </w:rPr>
              <w:fldChar w:fldCharType="end"/>
            </w:r>
          </w:hyperlink>
        </w:p>
        <w:p w14:paraId="21AC8E58" w14:textId="77777777" w:rsidR="00677F63" w:rsidRDefault="00686001">
          <w:pPr>
            <w:pStyle w:val="Innehll1"/>
            <w:tabs>
              <w:tab w:val="left" w:pos="440"/>
              <w:tab w:val="right" w:leader="dot" w:pos="9062"/>
            </w:tabs>
            <w:rPr>
              <w:rFonts w:asciiTheme="minorHAnsi" w:eastAsiaTheme="minorEastAsia" w:hAnsiTheme="minorHAnsi" w:cstheme="minorBidi"/>
              <w:noProof/>
              <w:lang w:eastAsia="sv-SE"/>
            </w:rPr>
          </w:pPr>
          <w:hyperlink w:anchor="_Toc434998766" w:history="1">
            <w:r w:rsidR="00677F63" w:rsidRPr="00FC76A6">
              <w:rPr>
                <w:rStyle w:val="Hyperlnk"/>
                <w:noProof/>
              </w:rPr>
              <w:t>3.</w:t>
            </w:r>
            <w:r w:rsidR="00677F63">
              <w:rPr>
                <w:rFonts w:asciiTheme="minorHAnsi" w:eastAsiaTheme="minorEastAsia" w:hAnsiTheme="minorHAnsi" w:cstheme="minorBidi"/>
                <w:noProof/>
                <w:lang w:eastAsia="sv-SE"/>
              </w:rPr>
              <w:tab/>
            </w:r>
            <w:r w:rsidR="00677F63" w:rsidRPr="00FC76A6">
              <w:rPr>
                <w:rStyle w:val="Hyperlnk"/>
                <w:noProof/>
              </w:rPr>
              <w:t>Décision du Conseil du 7 mai 2007 relative aux modalités pratiques et de procédure en vue de la désignation, par le Conseil, de deux membres du jury de sélection et du jury de suivi et de conseil dans le cadre de l'action communautaire en faveur de la manifestation "capitales européennes de la culture" (2007/324/CE)</w:t>
            </w:r>
            <w:r w:rsidR="00677F63">
              <w:rPr>
                <w:noProof/>
                <w:webHidden/>
              </w:rPr>
              <w:tab/>
            </w:r>
            <w:r w:rsidR="00677F63">
              <w:rPr>
                <w:noProof/>
                <w:webHidden/>
              </w:rPr>
              <w:fldChar w:fldCharType="begin"/>
            </w:r>
            <w:r w:rsidR="00677F63">
              <w:rPr>
                <w:noProof/>
                <w:webHidden/>
              </w:rPr>
              <w:instrText xml:space="preserve"> PAGEREF _Toc434998766 \h </w:instrText>
            </w:r>
            <w:r w:rsidR="00677F63">
              <w:rPr>
                <w:noProof/>
                <w:webHidden/>
              </w:rPr>
            </w:r>
            <w:r w:rsidR="00677F63">
              <w:rPr>
                <w:noProof/>
                <w:webHidden/>
              </w:rPr>
              <w:fldChar w:fldCharType="separate"/>
            </w:r>
            <w:r w:rsidR="00677F63">
              <w:rPr>
                <w:noProof/>
                <w:webHidden/>
              </w:rPr>
              <w:t>4</w:t>
            </w:r>
            <w:r w:rsidR="00677F63">
              <w:rPr>
                <w:noProof/>
                <w:webHidden/>
              </w:rPr>
              <w:fldChar w:fldCharType="end"/>
            </w:r>
          </w:hyperlink>
        </w:p>
        <w:p w14:paraId="73DD9338" w14:textId="77777777" w:rsidR="00677F63" w:rsidRDefault="00686001">
          <w:pPr>
            <w:pStyle w:val="Innehll1"/>
            <w:tabs>
              <w:tab w:val="left" w:pos="440"/>
              <w:tab w:val="right" w:leader="dot" w:pos="9062"/>
            </w:tabs>
            <w:rPr>
              <w:rFonts w:asciiTheme="minorHAnsi" w:eastAsiaTheme="minorEastAsia" w:hAnsiTheme="minorHAnsi" w:cstheme="minorBidi"/>
              <w:noProof/>
              <w:lang w:eastAsia="sv-SE"/>
            </w:rPr>
          </w:pPr>
          <w:hyperlink w:anchor="_Toc434998767" w:history="1">
            <w:r w:rsidR="00677F63" w:rsidRPr="00FC76A6">
              <w:rPr>
                <w:rStyle w:val="Hyperlnk"/>
                <w:noProof/>
              </w:rPr>
              <w:t>4.</w:t>
            </w:r>
            <w:r w:rsidR="00677F63">
              <w:rPr>
                <w:rFonts w:asciiTheme="minorHAnsi" w:eastAsiaTheme="minorEastAsia" w:hAnsiTheme="minorHAnsi" w:cstheme="minorBidi"/>
                <w:noProof/>
                <w:lang w:eastAsia="sv-SE"/>
              </w:rPr>
              <w:tab/>
            </w:r>
            <w:r w:rsidR="00677F63" w:rsidRPr="00FC76A6">
              <w:rPr>
                <w:rStyle w:val="Hyperlnk"/>
                <w:noProof/>
              </w:rPr>
              <w:t>Décision du Conseil du 1er décembre 2011 relative aux modalités pratiques et de procédure en vue de la nomination, par le Conseil, de quatre membres du jury européen dans le cadre de l'action de l'Union européenne pour le label du patrimoine européen (2011/831/UE)</w:t>
            </w:r>
            <w:r w:rsidR="00677F63">
              <w:rPr>
                <w:noProof/>
                <w:webHidden/>
              </w:rPr>
              <w:tab/>
            </w:r>
            <w:r w:rsidR="00677F63">
              <w:rPr>
                <w:noProof/>
                <w:webHidden/>
              </w:rPr>
              <w:fldChar w:fldCharType="begin"/>
            </w:r>
            <w:r w:rsidR="00677F63">
              <w:rPr>
                <w:noProof/>
                <w:webHidden/>
              </w:rPr>
              <w:instrText xml:space="preserve"> PAGEREF _Toc434998767 \h </w:instrText>
            </w:r>
            <w:r w:rsidR="00677F63">
              <w:rPr>
                <w:noProof/>
                <w:webHidden/>
              </w:rPr>
            </w:r>
            <w:r w:rsidR="00677F63">
              <w:rPr>
                <w:noProof/>
                <w:webHidden/>
              </w:rPr>
              <w:fldChar w:fldCharType="separate"/>
            </w:r>
            <w:r w:rsidR="00677F63">
              <w:rPr>
                <w:noProof/>
                <w:webHidden/>
              </w:rPr>
              <w:t>5</w:t>
            </w:r>
            <w:r w:rsidR="00677F63">
              <w:rPr>
                <w:noProof/>
                <w:webHidden/>
              </w:rPr>
              <w:fldChar w:fldCharType="end"/>
            </w:r>
          </w:hyperlink>
        </w:p>
        <w:p w14:paraId="1665AF9A" w14:textId="77777777" w:rsidR="00677F63" w:rsidRDefault="00686001">
          <w:pPr>
            <w:pStyle w:val="Innehll1"/>
            <w:tabs>
              <w:tab w:val="left" w:pos="440"/>
              <w:tab w:val="right" w:leader="dot" w:pos="9062"/>
            </w:tabs>
            <w:rPr>
              <w:rFonts w:asciiTheme="minorHAnsi" w:eastAsiaTheme="minorEastAsia" w:hAnsiTheme="minorHAnsi" w:cstheme="minorBidi"/>
              <w:noProof/>
              <w:lang w:eastAsia="sv-SE"/>
            </w:rPr>
          </w:pPr>
          <w:hyperlink w:anchor="_Toc434998768" w:history="1">
            <w:r w:rsidR="00677F63" w:rsidRPr="00FC76A6">
              <w:rPr>
                <w:rStyle w:val="Hyperlnk"/>
                <w:noProof/>
              </w:rPr>
              <w:t>5.</w:t>
            </w:r>
            <w:r w:rsidR="00677F63">
              <w:rPr>
                <w:rFonts w:asciiTheme="minorHAnsi" w:eastAsiaTheme="minorEastAsia" w:hAnsiTheme="minorHAnsi" w:cstheme="minorBidi"/>
                <w:noProof/>
                <w:lang w:eastAsia="sv-SE"/>
              </w:rPr>
              <w:tab/>
            </w:r>
            <w:r w:rsidR="00677F63" w:rsidRPr="00FC76A6">
              <w:rPr>
                <w:rStyle w:val="Hyperlnk"/>
                <w:noProof/>
              </w:rPr>
              <w:t>Règlement (UE) …/… de la Commission du XXX modifiant l’annexe IV du règlement (CE) nº 396/2005 du Parlement européen et du Conseil en ce qui concerne les substances suivantes: COS-OGA, cerevisane, hydroxyde de calcium, lécithines, Salix spp. cortex, vinaigre, fructose, virus de la mosaïque du pépino (souche CH2, isolat 1906), Verticillium albo-atrum (isolat WCS850), et Bacillus amyloliquefaciens subsp. plantarum (souche D747)</w:t>
            </w:r>
            <w:r w:rsidR="00677F63">
              <w:rPr>
                <w:noProof/>
                <w:webHidden/>
              </w:rPr>
              <w:tab/>
            </w:r>
            <w:r w:rsidR="00677F63">
              <w:rPr>
                <w:noProof/>
                <w:webHidden/>
              </w:rPr>
              <w:fldChar w:fldCharType="begin"/>
            </w:r>
            <w:r w:rsidR="00677F63">
              <w:rPr>
                <w:noProof/>
                <w:webHidden/>
              </w:rPr>
              <w:instrText xml:space="preserve"> PAGEREF _Toc434998768 \h </w:instrText>
            </w:r>
            <w:r w:rsidR="00677F63">
              <w:rPr>
                <w:noProof/>
                <w:webHidden/>
              </w:rPr>
            </w:r>
            <w:r w:rsidR="00677F63">
              <w:rPr>
                <w:noProof/>
                <w:webHidden/>
              </w:rPr>
              <w:fldChar w:fldCharType="separate"/>
            </w:r>
            <w:r w:rsidR="00677F63">
              <w:rPr>
                <w:noProof/>
                <w:webHidden/>
              </w:rPr>
              <w:t>6</w:t>
            </w:r>
            <w:r w:rsidR="00677F63">
              <w:rPr>
                <w:noProof/>
                <w:webHidden/>
              </w:rPr>
              <w:fldChar w:fldCharType="end"/>
            </w:r>
          </w:hyperlink>
        </w:p>
        <w:p w14:paraId="560E5BC5" w14:textId="77777777" w:rsidR="00677F63" w:rsidRDefault="00686001">
          <w:pPr>
            <w:pStyle w:val="Innehll1"/>
            <w:tabs>
              <w:tab w:val="left" w:pos="440"/>
              <w:tab w:val="right" w:leader="dot" w:pos="9062"/>
            </w:tabs>
            <w:rPr>
              <w:rFonts w:asciiTheme="minorHAnsi" w:eastAsiaTheme="minorEastAsia" w:hAnsiTheme="minorHAnsi" w:cstheme="minorBidi"/>
              <w:noProof/>
              <w:lang w:eastAsia="sv-SE"/>
            </w:rPr>
          </w:pPr>
          <w:hyperlink w:anchor="_Toc434998769" w:history="1">
            <w:r w:rsidR="00677F63" w:rsidRPr="00FC76A6">
              <w:rPr>
                <w:rStyle w:val="Hyperlnk"/>
                <w:noProof/>
              </w:rPr>
              <w:t>6.</w:t>
            </w:r>
            <w:r w:rsidR="00677F63">
              <w:rPr>
                <w:rFonts w:asciiTheme="minorHAnsi" w:eastAsiaTheme="minorEastAsia" w:hAnsiTheme="minorHAnsi" w:cstheme="minorBidi"/>
                <w:noProof/>
                <w:lang w:eastAsia="sv-SE"/>
              </w:rPr>
              <w:tab/>
            </w:r>
            <w:r w:rsidR="00677F63" w:rsidRPr="00FC76A6">
              <w:rPr>
                <w:rStyle w:val="Hyperlnk"/>
                <w:noProof/>
              </w:rPr>
              <w:t>Règlement délégué (UE) …/... de la Commission du 12.10.2015 établissant un plan de rejets pour certaines pêcheries démersales dans les eaux occidentales australes</w:t>
            </w:r>
            <w:r w:rsidR="00677F63">
              <w:rPr>
                <w:noProof/>
                <w:webHidden/>
              </w:rPr>
              <w:tab/>
            </w:r>
            <w:r w:rsidR="00677F63">
              <w:rPr>
                <w:noProof/>
                <w:webHidden/>
              </w:rPr>
              <w:fldChar w:fldCharType="begin"/>
            </w:r>
            <w:r w:rsidR="00677F63">
              <w:rPr>
                <w:noProof/>
                <w:webHidden/>
              </w:rPr>
              <w:instrText xml:space="preserve"> PAGEREF _Toc434998769 \h </w:instrText>
            </w:r>
            <w:r w:rsidR="00677F63">
              <w:rPr>
                <w:noProof/>
                <w:webHidden/>
              </w:rPr>
            </w:r>
            <w:r w:rsidR="00677F63">
              <w:rPr>
                <w:noProof/>
                <w:webHidden/>
              </w:rPr>
              <w:fldChar w:fldCharType="separate"/>
            </w:r>
            <w:r w:rsidR="00677F63">
              <w:rPr>
                <w:noProof/>
                <w:webHidden/>
              </w:rPr>
              <w:t>6</w:t>
            </w:r>
            <w:r w:rsidR="00677F63">
              <w:rPr>
                <w:noProof/>
                <w:webHidden/>
              </w:rPr>
              <w:fldChar w:fldCharType="end"/>
            </w:r>
          </w:hyperlink>
        </w:p>
        <w:p w14:paraId="7FE37093" w14:textId="77777777" w:rsidR="00677F63" w:rsidRDefault="00686001">
          <w:pPr>
            <w:pStyle w:val="Innehll1"/>
            <w:tabs>
              <w:tab w:val="left" w:pos="440"/>
              <w:tab w:val="right" w:leader="dot" w:pos="9062"/>
            </w:tabs>
            <w:rPr>
              <w:rFonts w:asciiTheme="minorHAnsi" w:eastAsiaTheme="minorEastAsia" w:hAnsiTheme="minorHAnsi" w:cstheme="minorBidi"/>
              <w:noProof/>
              <w:lang w:eastAsia="sv-SE"/>
            </w:rPr>
          </w:pPr>
          <w:hyperlink w:anchor="_Toc434998770" w:history="1">
            <w:r w:rsidR="00677F63" w:rsidRPr="00FC76A6">
              <w:rPr>
                <w:rStyle w:val="Hyperlnk"/>
                <w:noProof/>
              </w:rPr>
              <w:t>7.</w:t>
            </w:r>
            <w:r w:rsidR="00677F63">
              <w:rPr>
                <w:rFonts w:asciiTheme="minorHAnsi" w:eastAsiaTheme="minorEastAsia" w:hAnsiTheme="minorHAnsi" w:cstheme="minorBidi"/>
                <w:noProof/>
                <w:lang w:eastAsia="sv-SE"/>
              </w:rPr>
              <w:tab/>
            </w:r>
            <w:r w:rsidR="00677F63" w:rsidRPr="00FC76A6">
              <w:rPr>
                <w:rStyle w:val="Hyperlnk"/>
                <w:noProof/>
              </w:rPr>
              <w:t>Règlement délégué (UE) …/... de la Commission du 12.10.2015 établissant un plan de rejets pour certaines pêcheries démersales dans les eaux occidentales septentrionales</w:t>
            </w:r>
            <w:r w:rsidR="00677F63">
              <w:rPr>
                <w:noProof/>
                <w:webHidden/>
              </w:rPr>
              <w:tab/>
            </w:r>
            <w:r w:rsidR="00677F63">
              <w:rPr>
                <w:noProof/>
                <w:webHidden/>
              </w:rPr>
              <w:fldChar w:fldCharType="begin"/>
            </w:r>
            <w:r w:rsidR="00677F63">
              <w:rPr>
                <w:noProof/>
                <w:webHidden/>
              </w:rPr>
              <w:instrText xml:space="preserve"> PAGEREF _Toc434998770 \h </w:instrText>
            </w:r>
            <w:r w:rsidR="00677F63">
              <w:rPr>
                <w:noProof/>
                <w:webHidden/>
              </w:rPr>
            </w:r>
            <w:r w:rsidR="00677F63">
              <w:rPr>
                <w:noProof/>
                <w:webHidden/>
              </w:rPr>
              <w:fldChar w:fldCharType="separate"/>
            </w:r>
            <w:r w:rsidR="00677F63">
              <w:rPr>
                <w:noProof/>
                <w:webHidden/>
              </w:rPr>
              <w:t>7</w:t>
            </w:r>
            <w:r w:rsidR="00677F63">
              <w:rPr>
                <w:noProof/>
                <w:webHidden/>
              </w:rPr>
              <w:fldChar w:fldCharType="end"/>
            </w:r>
          </w:hyperlink>
        </w:p>
        <w:p w14:paraId="5362B9B4" w14:textId="77777777" w:rsidR="00677F63" w:rsidRDefault="00686001">
          <w:pPr>
            <w:pStyle w:val="Innehll1"/>
            <w:tabs>
              <w:tab w:val="left" w:pos="440"/>
              <w:tab w:val="right" w:leader="dot" w:pos="9062"/>
            </w:tabs>
            <w:rPr>
              <w:rFonts w:asciiTheme="minorHAnsi" w:eastAsiaTheme="minorEastAsia" w:hAnsiTheme="minorHAnsi" w:cstheme="minorBidi"/>
              <w:noProof/>
              <w:lang w:eastAsia="sv-SE"/>
            </w:rPr>
          </w:pPr>
          <w:hyperlink w:anchor="_Toc434998771" w:history="1">
            <w:r w:rsidR="00677F63" w:rsidRPr="00FC76A6">
              <w:rPr>
                <w:rStyle w:val="Hyperlnk"/>
                <w:noProof/>
              </w:rPr>
              <w:t>8.</w:t>
            </w:r>
            <w:r w:rsidR="00677F63">
              <w:rPr>
                <w:rFonts w:asciiTheme="minorHAnsi" w:eastAsiaTheme="minorEastAsia" w:hAnsiTheme="minorHAnsi" w:cstheme="minorBidi"/>
                <w:noProof/>
                <w:lang w:eastAsia="sv-SE"/>
              </w:rPr>
              <w:tab/>
            </w:r>
            <w:r w:rsidR="00677F63" w:rsidRPr="00FC76A6">
              <w:rPr>
                <w:rStyle w:val="Hyperlnk"/>
                <w:noProof/>
              </w:rPr>
              <w:t>Projet de proposition conjointe de l'UE à l'OMI relative à un projet d'amendements à l'annexe IV de MARPOL fixant les dates d'entrée en vigueur pour une partie de la zone spéciale de la mer Baltique en vertu de l'annexe IV de MARPO</w:t>
            </w:r>
            <w:r w:rsidR="00677F63">
              <w:rPr>
                <w:noProof/>
                <w:webHidden/>
              </w:rPr>
              <w:tab/>
            </w:r>
            <w:r w:rsidR="00677F63">
              <w:rPr>
                <w:noProof/>
                <w:webHidden/>
              </w:rPr>
              <w:fldChar w:fldCharType="begin"/>
            </w:r>
            <w:r w:rsidR="00677F63">
              <w:rPr>
                <w:noProof/>
                <w:webHidden/>
              </w:rPr>
              <w:instrText xml:space="preserve"> PAGEREF _Toc434998771 \h </w:instrText>
            </w:r>
            <w:r w:rsidR="00677F63">
              <w:rPr>
                <w:noProof/>
                <w:webHidden/>
              </w:rPr>
            </w:r>
            <w:r w:rsidR="00677F63">
              <w:rPr>
                <w:noProof/>
                <w:webHidden/>
              </w:rPr>
              <w:fldChar w:fldCharType="separate"/>
            </w:r>
            <w:r w:rsidR="00677F63">
              <w:rPr>
                <w:noProof/>
                <w:webHidden/>
              </w:rPr>
              <w:t>7</w:t>
            </w:r>
            <w:r w:rsidR="00677F63">
              <w:rPr>
                <w:noProof/>
                <w:webHidden/>
              </w:rPr>
              <w:fldChar w:fldCharType="end"/>
            </w:r>
          </w:hyperlink>
        </w:p>
        <w:p w14:paraId="0D7B0370" w14:textId="77777777" w:rsidR="00677F63" w:rsidRDefault="00686001">
          <w:pPr>
            <w:pStyle w:val="Innehll1"/>
            <w:tabs>
              <w:tab w:val="left" w:pos="440"/>
              <w:tab w:val="right" w:leader="dot" w:pos="9062"/>
            </w:tabs>
            <w:rPr>
              <w:rFonts w:asciiTheme="minorHAnsi" w:eastAsiaTheme="minorEastAsia" w:hAnsiTheme="minorHAnsi" w:cstheme="minorBidi"/>
              <w:noProof/>
              <w:lang w:eastAsia="sv-SE"/>
            </w:rPr>
          </w:pPr>
          <w:hyperlink w:anchor="_Toc434998772" w:history="1">
            <w:r w:rsidR="00677F63" w:rsidRPr="00FC76A6">
              <w:rPr>
                <w:rStyle w:val="Hyperlnk"/>
                <w:noProof/>
              </w:rPr>
              <w:t>9.</w:t>
            </w:r>
            <w:r w:rsidR="00677F63">
              <w:rPr>
                <w:rFonts w:asciiTheme="minorHAnsi" w:eastAsiaTheme="minorEastAsia" w:hAnsiTheme="minorHAnsi" w:cstheme="minorBidi"/>
                <w:noProof/>
                <w:lang w:eastAsia="sv-SE"/>
              </w:rPr>
              <w:tab/>
            </w:r>
            <w:r w:rsidR="00677F63" w:rsidRPr="00FC76A6">
              <w:rPr>
                <w:rStyle w:val="Hyperlnk"/>
                <w:noProof/>
              </w:rPr>
              <w:t>Projet de proposition conjointe de l'UE à présenter lors de la troisième session du Sous-comité de la conception et de la construction du navire de l'OMI concernant des questions liées à la sécurité des navires à passagers – Stabilité après avarie</w:t>
            </w:r>
            <w:r w:rsidR="00677F63">
              <w:rPr>
                <w:noProof/>
                <w:webHidden/>
              </w:rPr>
              <w:tab/>
            </w:r>
            <w:r w:rsidR="00677F63">
              <w:rPr>
                <w:noProof/>
                <w:webHidden/>
              </w:rPr>
              <w:fldChar w:fldCharType="begin"/>
            </w:r>
            <w:r w:rsidR="00677F63">
              <w:rPr>
                <w:noProof/>
                <w:webHidden/>
              </w:rPr>
              <w:instrText xml:space="preserve"> PAGEREF _Toc434998772 \h </w:instrText>
            </w:r>
            <w:r w:rsidR="00677F63">
              <w:rPr>
                <w:noProof/>
                <w:webHidden/>
              </w:rPr>
            </w:r>
            <w:r w:rsidR="00677F63">
              <w:rPr>
                <w:noProof/>
                <w:webHidden/>
              </w:rPr>
              <w:fldChar w:fldCharType="separate"/>
            </w:r>
            <w:r w:rsidR="00677F63">
              <w:rPr>
                <w:noProof/>
                <w:webHidden/>
              </w:rPr>
              <w:t>8</w:t>
            </w:r>
            <w:r w:rsidR="00677F63">
              <w:rPr>
                <w:noProof/>
                <w:webHidden/>
              </w:rPr>
              <w:fldChar w:fldCharType="end"/>
            </w:r>
          </w:hyperlink>
        </w:p>
        <w:p w14:paraId="433F9962" w14:textId="77777777" w:rsidR="00677F63" w:rsidRDefault="00686001">
          <w:pPr>
            <w:pStyle w:val="Innehll1"/>
            <w:tabs>
              <w:tab w:val="left" w:pos="660"/>
              <w:tab w:val="right" w:leader="dot" w:pos="9062"/>
            </w:tabs>
            <w:rPr>
              <w:rFonts w:asciiTheme="minorHAnsi" w:eastAsiaTheme="minorEastAsia" w:hAnsiTheme="minorHAnsi" w:cstheme="minorBidi"/>
              <w:noProof/>
              <w:lang w:eastAsia="sv-SE"/>
            </w:rPr>
          </w:pPr>
          <w:hyperlink w:anchor="_Toc434998773" w:history="1">
            <w:r w:rsidR="00677F63" w:rsidRPr="00FC76A6">
              <w:rPr>
                <w:rStyle w:val="Hyperlnk"/>
                <w:noProof/>
              </w:rPr>
              <w:t>10.</w:t>
            </w:r>
            <w:r w:rsidR="00677F63">
              <w:rPr>
                <w:rFonts w:asciiTheme="minorHAnsi" w:eastAsiaTheme="minorEastAsia" w:hAnsiTheme="minorHAnsi" w:cstheme="minorBidi"/>
                <w:noProof/>
                <w:lang w:eastAsia="sv-SE"/>
              </w:rPr>
              <w:tab/>
            </w:r>
            <w:r w:rsidR="00677F63" w:rsidRPr="00FC76A6">
              <w:rPr>
                <w:rStyle w:val="Hyperlnk"/>
                <w:noProof/>
              </w:rPr>
              <w:t>Projet de décision du Conseil relative à la conclusion de l'accord de partenariat dans le domaine de la pêche durable entre l'Union européenne et la République du Liberia et de son protocole de mise en œuvre</w:t>
            </w:r>
            <w:r w:rsidR="00677F63">
              <w:rPr>
                <w:noProof/>
                <w:webHidden/>
              </w:rPr>
              <w:tab/>
            </w:r>
            <w:r w:rsidR="00677F63">
              <w:rPr>
                <w:noProof/>
                <w:webHidden/>
              </w:rPr>
              <w:fldChar w:fldCharType="begin"/>
            </w:r>
            <w:r w:rsidR="00677F63">
              <w:rPr>
                <w:noProof/>
                <w:webHidden/>
              </w:rPr>
              <w:instrText xml:space="preserve"> PAGEREF _Toc434998773 \h </w:instrText>
            </w:r>
            <w:r w:rsidR="00677F63">
              <w:rPr>
                <w:noProof/>
                <w:webHidden/>
              </w:rPr>
            </w:r>
            <w:r w:rsidR="00677F63">
              <w:rPr>
                <w:noProof/>
                <w:webHidden/>
              </w:rPr>
              <w:fldChar w:fldCharType="separate"/>
            </w:r>
            <w:r w:rsidR="00677F63">
              <w:rPr>
                <w:noProof/>
                <w:webHidden/>
              </w:rPr>
              <w:t>9</w:t>
            </w:r>
            <w:r w:rsidR="00677F63">
              <w:rPr>
                <w:noProof/>
                <w:webHidden/>
              </w:rPr>
              <w:fldChar w:fldCharType="end"/>
            </w:r>
          </w:hyperlink>
        </w:p>
        <w:p w14:paraId="79EC1931" w14:textId="77777777" w:rsidR="00677F63" w:rsidRDefault="00686001">
          <w:pPr>
            <w:pStyle w:val="Innehll1"/>
            <w:tabs>
              <w:tab w:val="left" w:pos="660"/>
              <w:tab w:val="right" w:leader="dot" w:pos="9062"/>
            </w:tabs>
            <w:rPr>
              <w:rFonts w:asciiTheme="minorHAnsi" w:eastAsiaTheme="minorEastAsia" w:hAnsiTheme="minorHAnsi" w:cstheme="minorBidi"/>
              <w:noProof/>
              <w:lang w:eastAsia="sv-SE"/>
            </w:rPr>
          </w:pPr>
          <w:hyperlink w:anchor="_Toc434998774" w:history="1">
            <w:r w:rsidR="00677F63" w:rsidRPr="00FC76A6">
              <w:rPr>
                <w:rStyle w:val="Hyperlnk"/>
                <w:noProof/>
              </w:rPr>
              <w:t>11.</w:t>
            </w:r>
            <w:r w:rsidR="00677F63">
              <w:rPr>
                <w:rFonts w:asciiTheme="minorHAnsi" w:eastAsiaTheme="minorEastAsia" w:hAnsiTheme="minorHAnsi" w:cstheme="minorBidi"/>
                <w:noProof/>
                <w:lang w:eastAsia="sv-SE"/>
              </w:rPr>
              <w:tab/>
            </w:r>
            <w:r w:rsidR="00677F63" w:rsidRPr="00FC76A6">
              <w:rPr>
                <w:rStyle w:val="Hyperlnk"/>
                <w:noProof/>
              </w:rPr>
              <w:t>Projet de décision du Conseil relative à la signature, au nom de l'Union européenne, et à l'application provisoire de l'accord de partenariat dans le domaine de la pêche durable entre l'Union européenne et la République du Liberia et de son protocole de mise en œuvre</w:t>
            </w:r>
            <w:r w:rsidR="00677F63">
              <w:rPr>
                <w:noProof/>
                <w:webHidden/>
              </w:rPr>
              <w:tab/>
            </w:r>
            <w:r w:rsidR="00677F63">
              <w:rPr>
                <w:noProof/>
                <w:webHidden/>
              </w:rPr>
              <w:fldChar w:fldCharType="begin"/>
            </w:r>
            <w:r w:rsidR="00677F63">
              <w:rPr>
                <w:noProof/>
                <w:webHidden/>
              </w:rPr>
              <w:instrText xml:space="preserve"> PAGEREF _Toc434998774 \h </w:instrText>
            </w:r>
            <w:r w:rsidR="00677F63">
              <w:rPr>
                <w:noProof/>
                <w:webHidden/>
              </w:rPr>
            </w:r>
            <w:r w:rsidR="00677F63">
              <w:rPr>
                <w:noProof/>
                <w:webHidden/>
              </w:rPr>
              <w:fldChar w:fldCharType="separate"/>
            </w:r>
            <w:r w:rsidR="00677F63">
              <w:rPr>
                <w:noProof/>
                <w:webHidden/>
              </w:rPr>
              <w:t>10</w:t>
            </w:r>
            <w:r w:rsidR="00677F63">
              <w:rPr>
                <w:noProof/>
                <w:webHidden/>
              </w:rPr>
              <w:fldChar w:fldCharType="end"/>
            </w:r>
          </w:hyperlink>
        </w:p>
        <w:p w14:paraId="718F6FC6" w14:textId="77777777" w:rsidR="00677F63" w:rsidRDefault="00686001">
          <w:pPr>
            <w:pStyle w:val="Innehll1"/>
            <w:tabs>
              <w:tab w:val="left" w:pos="660"/>
              <w:tab w:val="right" w:leader="dot" w:pos="9062"/>
            </w:tabs>
            <w:rPr>
              <w:rFonts w:asciiTheme="minorHAnsi" w:eastAsiaTheme="minorEastAsia" w:hAnsiTheme="minorHAnsi" w:cstheme="minorBidi"/>
              <w:noProof/>
              <w:lang w:eastAsia="sv-SE"/>
            </w:rPr>
          </w:pPr>
          <w:hyperlink w:anchor="_Toc434998775" w:history="1">
            <w:r w:rsidR="00677F63" w:rsidRPr="00FC76A6">
              <w:rPr>
                <w:rStyle w:val="Hyperlnk"/>
                <w:noProof/>
              </w:rPr>
              <w:t>12.</w:t>
            </w:r>
            <w:r w:rsidR="00677F63">
              <w:rPr>
                <w:rFonts w:asciiTheme="minorHAnsi" w:eastAsiaTheme="minorEastAsia" w:hAnsiTheme="minorHAnsi" w:cstheme="minorBidi"/>
                <w:noProof/>
                <w:lang w:eastAsia="sv-SE"/>
              </w:rPr>
              <w:tab/>
            </w:r>
            <w:r w:rsidR="00677F63" w:rsidRPr="00FC76A6">
              <w:rPr>
                <w:rStyle w:val="Hyperlnk"/>
                <w:noProof/>
              </w:rPr>
              <w:t>Projet de règlement du Conseil relatif à la répartition des possibilités de pêche au titre du protocole de mise en œuvre de l'accord de partenariat dans le domaine de la pêche durable entre l'Union européenne et la République du Liberia</w:t>
            </w:r>
            <w:r w:rsidR="00677F63">
              <w:rPr>
                <w:noProof/>
                <w:webHidden/>
              </w:rPr>
              <w:tab/>
            </w:r>
            <w:r w:rsidR="00677F63">
              <w:rPr>
                <w:noProof/>
                <w:webHidden/>
              </w:rPr>
              <w:fldChar w:fldCharType="begin"/>
            </w:r>
            <w:r w:rsidR="00677F63">
              <w:rPr>
                <w:noProof/>
                <w:webHidden/>
              </w:rPr>
              <w:instrText xml:space="preserve"> PAGEREF _Toc434998775 \h </w:instrText>
            </w:r>
            <w:r w:rsidR="00677F63">
              <w:rPr>
                <w:noProof/>
                <w:webHidden/>
              </w:rPr>
            </w:r>
            <w:r w:rsidR="00677F63">
              <w:rPr>
                <w:noProof/>
                <w:webHidden/>
              </w:rPr>
              <w:fldChar w:fldCharType="separate"/>
            </w:r>
            <w:r w:rsidR="00677F63">
              <w:rPr>
                <w:noProof/>
                <w:webHidden/>
              </w:rPr>
              <w:t>10</w:t>
            </w:r>
            <w:r w:rsidR="00677F63">
              <w:rPr>
                <w:noProof/>
                <w:webHidden/>
              </w:rPr>
              <w:fldChar w:fldCharType="end"/>
            </w:r>
          </w:hyperlink>
        </w:p>
        <w:p w14:paraId="26BFEC40" w14:textId="77777777" w:rsidR="00677F63" w:rsidRDefault="00686001">
          <w:pPr>
            <w:pStyle w:val="Innehll1"/>
            <w:tabs>
              <w:tab w:val="left" w:pos="660"/>
              <w:tab w:val="right" w:leader="dot" w:pos="9062"/>
            </w:tabs>
            <w:rPr>
              <w:rFonts w:asciiTheme="minorHAnsi" w:eastAsiaTheme="minorEastAsia" w:hAnsiTheme="minorHAnsi" w:cstheme="minorBidi"/>
              <w:noProof/>
              <w:lang w:eastAsia="sv-SE"/>
            </w:rPr>
          </w:pPr>
          <w:hyperlink w:anchor="_Toc434998776" w:history="1">
            <w:r w:rsidR="00677F63" w:rsidRPr="00FC76A6">
              <w:rPr>
                <w:rStyle w:val="Hyperlnk"/>
                <w:noProof/>
              </w:rPr>
              <w:t>13.</w:t>
            </w:r>
            <w:r w:rsidR="00677F63">
              <w:rPr>
                <w:rFonts w:asciiTheme="minorHAnsi" w:eastAsiaTheme="minorEastAsia" w:hAnsiTheme="minorHAnsi" w:cstheme="minorBidi"/>
                <w:noProof/>
                <w:lang w:eastAsia="sv-SE"/>
              </w:rPr>
              <w:tab/>
            </w:r>
            <w:r w:rsidR="00677F63" w:rsidRPr="00FC76A6">
              <w:rPr>
                <w:rStyle w:val="Hyperlnk"/>
                <w:noProof/>
              </w:rPr>
              <w:t>Proposition de règlement du Conseil établissant, pour 2016, les possibilités de pêche pour certains stocks halieutiques et groupes de stocks halieutiques de la mer Baltique</w:t>
            </w:r>
            <w:r w:rsidR="00677F63">
              <w:rPr>
                <w:noProof/>
                <w:webHidden/>
              </w:rPr>
              <w:tab/>
            </w:r>
            <w:r w:rsidR="00677F63">
              <w:rPr>
                <w:noProof/>
                <w:webHidden/>
              </w:rPr>
              <w:fldChar w:fldCharType="begin"/>
            </w:r>
            <w:r w:rsidR="00677F63">
              <w:rPr>
                <w:noProof/>
                <w:webHidden/>
              </w:rPr>
              <w:instrText xml:space="preserve"> PAGEREF _Toc434998776 \h </w:instrText>
            </w:r>
            <w:r w:rsidR="00677F63">
              <w:rPr>
                <w:noProof/>
                <w:webHidden/>
              </w:rPr>
            </w:r>
            <w:r w:rsidR="00677F63">
              <w:rPr>
                <w:noProof/>
                <w:webHidden/>
              </w:rPr>
              <w:fldChar w:fldCharType="separate"/>
            </w:r>
            <w:r w:rsidR="00677F63">
              <w:rPr>
                <w:noProof/>
                <w:webHidden/>
              </w:rPr>
              <w:t>11</w:t>
            </w:r>
            <w:r w:rsidR="00677F63">
              <w:rPr>
                <w:noProof/>
                <w:webHidden/>
              </w:rPr>
              <w:fldChar w:fldCharType="end"/>
            </w:r>
          </w:hyperlink>
        </w:p>
        <w:p w14:paraId="2BD72DB1" w14:textId="77777777" w:rsidR="00677F63" w:rsidRDefault="00686001">
          <w:pPr>
            <w:pStyle w:val="Innehll1"/>
            <w:tabs>
              <w:tab w:val="left" w:pos="660"/>
              <w:tab w:val="right" w:leader="dot" w:pos="9062"/>
            </w:tabs>
            <w:rPr>
              <w:rFonts w:asciiTheme="minorHAnsi" w:eastAsiaTheme="minorEastAsia" w:hAnsiTheme="minorHAnsi" w:cstheme="minorBidi"/>
              <w:noProof/>
              <w:lang w:eastAsia="sv-SE"/>
            </w:rPr>
          </w:pPr>
          <w:hyperlink w:anchor="_Toc434998777" w:history="1">
            <w:r w:rsidR="00677F63" w:rsidRPr="00FC76A6">
              <w:rPr>
                <w:rStyle w:val="Hyperlnk"/>
                <w:noProof/>
              </w:rPr>
              <w:t>14.</w:t>
            </w:r>
            <w:r w:rsidR="00677F63">
              <w:rPr>
                <w:rFonts w:asciiTheme="minorHAnsi" w:eastAsiaTheme="minorEastAsia" w:hAnsiTheme="minorHAnsi" w:cstheme="minorBidi"/>
                <w:noProof/>
                <w:lang w:eastAsia="sv-SE"/>
              </w:rPr>
              <w:tab/>
            </w:r>
            <w:r w:rsidR="00677F63" w:rsidRPr="00FC76A6">
              <w:rPr>
                <w:rStyle w:val="Hyperlnk"/>
                <w:noProof/>
              </w:rPr>
              <w:t xml:space="preserve">Förslag till Europaparlamentets och Rådets förordning om avelstekniska och genealogiska villkor för handel med och import till unionen av avelsdjur och avelsmaterial från dem. Förslag till </w:t>
            </w:r>
            <w:r w:rsidR="00677F63" w:rsidRPr="00FC76A6">
              <w:rPr>
                <w:rStyle w:val="Hyperlnk"/>
                <w:noProof/>
              </w:rPr>
              <w:lastRenderedPageBreak/>
              <w:t>Europaparlamentets och Rådets direktiv om ändring av direktiv om 89/608/EEG, 90/425/EEG och 91/496/EEG vad gäller hänvisning till avelsteknisk lagstiftning. Förberedelse för trilog.</w:t>
            </w:r>
            <w:r w:rsidR="00677F63">
              <w:rPr>
                <w:noProof/>
                <w:webHidden/>
              </w:rPr>
              <w:tab/>
            </w:r>
            <w:r w:rsidR="00677F63">
              <w:rPr>
                <w:noProof/>
                <w:webHidden/>
              </w:rPr>
              <w:fldChar w:fldCharType="begin"/>
            </w:r>
            <w:r w:rsidR="00677F63">
              <w:rPr>
                <w:noProof/>
                <w:webHidden/>
              </w:rPr>
              <w:instrText xml:space="preserve"> PAGEREF _Toc434998777 \h </w:instrText>
            </w:r>
            <w:r w:rsidR="00677F63">
              <w:rPr>
                <w:noProof/>
                <w:webHidden/>
              </w:rPr>
            </w:r>
            <w:r w:rsidR="00677F63">
              <w:rPr>
                <w:noProof/>
                <w:webHidden/>
              </w:rPr>
              <w:fldChar w:fldCharType="separate"/>
            </w:r>
            <w:r w:rsidR="00677F63">
              <w:rPr>
                <w:noProof/>
                <w:webHidden/>
              </w:rPr>
              <w:t>12</w:t>
            </w:r>
            <w:r w:rsidR="00677F63">
              <w:rPr>
                <w:noProof/>
                <w:webHidden/>
              </w:rPr>
              <w:fldChar w:fldCharType="end"/>
            </w:r>
          </w:hyperlink>
        </w:p>
        <w:p w14:paraId="79009BFD" w14:textId="77777777" w:rsidR="00677F63" w:rsidRDefault="00686001">
          <w:pPr>
            <w:pStyle w:val="Innehll1"/>
            <w:tabs>
              <w:tab w:val="left" w:pos="660"/>
              <w:tab w:val="right" w:leader="dot" w:pos="9062"/>
            </w:tabs>
            <w:rPr>
              <w:rFonts w:asciiTheme="minorHAnsi" w:eastAsiaTheme="minorEastAsia" w:hAnsiTheme="minorHAnsi" w:cstheme="minorBidi"/>
              <w:noProof/>
              <w:lang w:eastAsia="sv-SE"/>
            </w:rPr>
          </w:pPr>
          <w:hyperlink w:anchor="_Toc434998778" w:history="1">
            <w:r w:rsidR="00677F63" w:rsidRPr="00FC76A6">
              <w:rPr>
                <w:rStyle w:val="Hyperlnk"/>
                <w:noProof/>
              </w:rPr>
              <w:t>15.</w:t>
            </w:r>
            <w:r w:rsidR="00677F63">
              <w:rPr>
                <w:rFonts w:asciiTheme="minorHAnsi" w:eastAsiaTheme="minorEastAsia" w:hAnsiTheme="minorHAnsi" w:cstheme="minorBidi"/>
                <w:noProof/>
                <w:lang w:eastAsia="sv-SE"/>
              </w:rPr>
              <w:tab/>
            </w:r>
            <w:r w:rsidR="00677F63" w:rsidRPr="00FC76A6">
              <w:rPr>
                <w:rStyle w:val="Hyperlnk"/>
                <w:noProof/>
              </w:rPr>
              <w:t>Projet de règlement du Parlement européen et du Conseil relatif aux nouveaux aliments, modifiant le règlement (EU) n° 1169/2011 du Parlement européen et du Conseil et abrogeant le règlement (CE) n° 258/97 du Parlement européen et du Conseil et le règlement (CE) n°1852/2001 de la Commission (première lecture) (délibération législative) Préparation en vue de l'adoption de l'acte législatif</w:t>
            </w:r>
            <w:r w:rsidR="00677F63">
              <w:rPr>
                <w:noProof/>
                <w:webHidden/>
              </w:rPr>
              <w:tab/>
            </w:r>
            <w:r w:rsidR="00677F63">
              <w:rPr>
                <w:noProof/>
                <w:webHidden/>
              </w:rPr>
              <w:fldChar w:fldCharType="begin"/>
            </w:r>
            <w:r w:rsidR="00677F63">
              <w:rPr>
                <w:noProof/>
                <w:webHidden/>
              </w:rPr>
              <w:instrText xml:space="preserve"> PAGEREF _Toc434998778 \h </w:instrText>
            </w:r>
            <w:r w:rsidR="00677F63">
              <w:rPr>
                <w:noProof/>
                <w:webHidden/>
              </w:rPr>
            </w:r>
            <w:r w:rsidR="00677F63">
              <w:rPr>
                <w:noProof/>
                <w:webHidden/>
              </w:rPr>
              <w:fldChar w:fldCharType="separate"/>
            </w:r>
            <w:r w:rsidR="00677F63">
              <w:rPr>
                <w:noProof/>
                <w:webHidden/>
              </w:rPr>
              <w:t>13</w:t>
            </w:r>
            <w:r w:rsidR="00677F63">
              <w:rPr>
                <w:noProof/>
                <w:webHidden/>
              </w:rPr>
              <w:fldChar w:fldCharType="end"/>
            </w:r>
          </w:hyperlink>
        </w:p>
        <w:p w14:paraId="276D3E0F" w14:textId="77777777" w:rsidR="00677F63" w:rsidRDefault="00686001">
          <w:pPr>
            <w:pStyle w:val="Innehll1"/>
            <w:tabs>
              <w:tab w:val="left" w:pos="660"/>
              <w:tab w:val="right" w:leader="dot" w:pos="9062"/>
            </w:tabs>
            <w:rPr>
              <w:rFonts w:asciiTheme="minorHAnsi" w:eastAsiaTheme="minorEastAsia" w:hAnsiTheme="minorHAnsi" w:cstheme="minorBidi"/>
              <w:noProof/>
              <w:lang w:eastAsia="sv-SE"/>
            </w:rPr>
          </w:pPr>
          <w:hyperlink w:anchor="_Toc434998779" w:history="1">
            <w:r w:rsidR="00677F63" w:rsidRPr="00FC76A6">
              <w:rPr>
                <w:rStyle w:val="Hyperlnk"/>
                <w:noProof/>
              </w:rPr>
              <w:t>16.</w:t>
            </w:r>
            <w:r w:rsidR="00677F63">
              <w:rPr>
                <w:rFonts w:asciiTheme="minorHAnsi" w:eastAsiaTheme="minorEastAsia" w:hAnsiTheme="minorHAnsi" w:cstheme="minorBidi"/>
                <w:noProof/>
                <w:lang w:eastAsia="sv-SE"/>
              </w:rPr>
              <w:tab/>
            </w:r>
            <w:r w:rsidR="00677F63" w:rsidRPr="00FC76A6">
              <w:rPr>
                <w:rStyle w:val="Hyperlnk"/>
                <w:noProof/>
              </w:rPr>
              <w:t>Europarlamentets och rådets förordning (EU) 2015/… om upphävande av rådets direktiv 76/621/EEG om högsta tillåtna halt av erukasyra i oljor och fetter och rådets förordning (EG) nr 320/2006 om inrättande av en tillfällig ordning för omstrukturering av sockerindustrin.</w:t>
            </w:r>
            <w:r w:rsidR="00677F63">
              <w:rPr>
                <w:noProof/>
                <w:webHidden/>
              </w:rPr>
              <w:tab/>
            </w:r>
            <w:r w:rsidR="00677F63">
              <w:rPr>
                <w:noProof/>
                <w:webHidden/>
              </w:rPr>
              <w:fldChar w:fldCharType="begin"/>
            </w:r>
            <w:r w:rsidR="00677F63">
              <w:rPr>
                <w:noProof/>
                <w:webHidden/>
              </w:rPr>
              <w:instrText xml:space="preserve"> PAGEREF _Toc434998779 \h </w:instrText>
            </w:r>
            <w:r w:rsidR="00677F63">
              <w:rPr>
                <w:noProof/>
                <w:webHidden/>
              </w:rPr>
            </w:r>
            <w:r w:rsidR="00677F63">
              <w:rPr>
                <w:noProof/>
                <w:webHidden/>
              </w:rPr>
              <w:fldChar w:fldCharType="separate"/>
            </w:r>
            <w:r w:rsidR="00677F63">
              <w:rPr>
                <w:noProof/>
                <w:webHidden/>
              </w:rPr>
              <w:t>14</w:t>
            </w:r>
            <w:r w:rsidR="00677F63">
              <w:rPr>
                <w:noProof/>
                <w:webHidden/>
              </w:rPr>
              <w:fldChar w:fldCharType="end"/>
            </w:r>
          </w:hyperlink>
        </w:p>
        <w:p w14:paraId="52B363BC" w14:textId="77777777" w:rsidR="00D957FB" w:rsidRDefault="00075D15">
          <w:r>
            <w:rPr>
              <w:b/>
              <w:bCs/>
              <w:noProof/>
            </w:rPr>
            <w:fldChar w:fldCharType="end"/>
          </w:r>
        </w:p>
      </w:sdtContent>
    </w:sdt>
    <w:p w14:paraId="52B363BD" w14:textId="77777777" w:rsidR="00D957FB" w:rsidRDefault="00075D15">
      <w:pPr>
        <w:ind w:left="0"/>
      </w:pPr>
      <w:r>
        <w:br w:type="page"/>
      </w:r>
    </w:p>
    <w:p w14:paraId="52B363BE" w14:textId="77777777" w:rsidR="00643D86" w:rsidRDefault="00686001" w:rsidP="00643D86">
      <w:pPr>
        <w:pStyle w:val="Rubrik1"/>
        <w:numPr>
          <w:ilvl w:val="0"/>
          <w:numId w:val="0"/>
        </w:numPr>
      </w:pPr>
      <w:bookmarkStart w:id="0" w:name="_Toc364854645"/>
    </w:p>
    <w:p w14:paraId="52B363BF" w14:textId="77777777" w:rsidR="00643D86" w:rsidRPr="009C6B33" w:rsidRDefault="00075D15" w:rsidP="00643D86">
      <w:pPr>
        <w:pStyle w:val="Rubrik1"/>
        <w:rPr>
          <w:lang w:val="en-US"/>
        </w:rPr>
      </w:pPr>
      <w:bookmarkStart w:id="1" w:name="_Toc434998764"/>
      <w:r w:rsidRPr="009C6B33">
        <w:rPr>
          <w:noProof/>
          <w:lang w:val="en-US"/>
        </w:rPr>
        <w:t>Réponses aux questions écrites posées au Conseil par des membres du Parlement européen (+)</w:t>
      </w:r>
      <w:bookmarkEnd w:id="1"/>
    </w:p>
    <w:p w14:paraId="5FBBD201" w14:textId="61942470" w:rsidR="00075D15" w:rsidRPr="00075D15" w:rsidRDefault="00075D15" w:rsidP="00075D15">
      <w:pPr>
        <w:pStyle w:val="Liststycke"/>
        <w:numPr>
          <w:ilvl w:val="0"/>
          <w:numId w:val="6"/>
        </w:numPr>
        <w:rPr>
          <w:lang w:val="en-US"/>
        </w:rPr>
      </w:pPr>
      <w:r w:rsidRPr="00075D15">
        <w:rPr>
          <w:lang w:val="en-US"/>
        </w:rPr>
        <w:t xml:space="preserve">E-007143/2015 - Victor </w:t>
      </w:r>
      <w:proofErr w:type="spellStart"/>
      <w:r w:rsidRPr="00075D15">
        <w:rPr>
          <w:lang w:val="en-US"/>
        </w:rPr>
        <w:t>Negrescu</w:t>
      </w:r>
      <w:proofErr w:type="spellEnd"/>
      <w:r w:rsidRPr="00075D15">
        <w:rPr>
          <w:lang w:val="en-US"/>
        </w:rPr>
        <w:t xml:space="preserve"> (</w:t>
      </w:r>
      <w:proofErr w:type="spellStart"/>
      <w:r w:rsidRPr="00075D15">
        <w:rPr>
          <w:lang w:val="en-US"/>
        </w:rPr>
        <w:t>S&amp;amp;D</w:t>
      </w:r>
      <w:proofErr w:type="spellEnd"/>
      <w:r w:rsidRPr="00075D15">
        <w:rPr>
          <w:lang w:val="en-US"/>
        </w:rPr>
        <w:t>)</w:t>
      </w:r>
      <w:r w:rsidRPr="00075D15">
        <w:rPr>
          <w:lang w:val="en-US"/>
        </w:rPr>
        <w:br/>
        <w:t>The safety of Eastern European borders and the protection of Member States</w:t>
      </w:r>
      <w:r w:rsidRPr="00075D15">
        <w:rPr>
          <w:lang w:val="en-US"/>
        </w:rPr>
        <w:br/>
        <w:t>b) E-011000/2015 - Dennis de Jong (GUE/NGL)</w:t>
      </w:r>
      <w:r w:rsidRPr="00075D15">
        <w:rPr>
          <w:lang w:val="en-US"/>
        </w:rPr>
        <w:br/>
        <w:t xml:space="preserve">European measures to tackle itinerant criminality </w:t>
      </w:r>
      <w:r w:rsidRPr="00075D15">
        <w:rPr>
          <w:lang w:val="en-US"/>
        </w:rPr>
        <w:br/>
        <w:t xml:space="preserve">c) E-012134/2015 - </w:t>
      </w:r>
      <w:proofErr w:type="spellStart"/>
      <w:r w:rsidRPr="00075D15">
        <w:rPr>
          <w:lang w:val="en-US"/>
        </w:rPr>
        <w:t>Vilija</w:t>
      </w:r>
      <w:proofErr w:type="spellEnd"/>
      <w:r w:rsidRPr="00075D15">
        <w:rPr>
          <w:lang w:val="en-US"/>
        </w:rPr>
        <w:t xml:space="preserve"> </w:t>
      </w:r>
      <w:proofErr w:type="spellStart"/>
      <w:r w:rsidRPr="00075D15">
        <w:rPr>
          <w:lang w:val="en-US"/>
        </w:rPr>
        <w:t>Blinkevičiūtė</w:t>
      </w:r>
      <w:proofErr w:type="spellEnd"/>
      <w:r w:rsidRPr="00075D15">
        <w:rPr>
          <w:lang w:val="en-US"/>
        </w:rPr>
        <w:t xml:space="preserve"> (</w:t>
      </w:r>
      <w:proofErr w:type="spellStart"/>
      <w:r w:rsidRPr="00075D15">
        <w:rPr>
          <w:lang w:val="en-US"/>
        </w:rPr>
        <w:t>S&amp;amp;D</w:t>
      </w:r>
      <w:proofErr w:type="spellEnd"/>
      <w:r w:rsidRPr="00075D15">
        <w:rPr>
          <w:lang w:val="en-US"/>
        </w:rPr>
        <w:t>)</w:t>
      </w:r>
      <w:r w:rsidRPr="00075D15">
        <w:rPr>
          <w:lang w:val="en-US"/>
        </w:rPr>
        <w:br/>
        <w:t>Using EU structural funds to finance transition from institutional to community-based provision of services</w:t>
      </w:r>
      <w:r w:rsidRPr="00075D15">
        <w:rPr>
          <w:lang w:val="en-US"/>
        </w:rPr>
        <w:br/>
        <w:t xml:space="preserve">d) E-012216/2015 - </w:t>
      </w:r>
      <w:proofErr w:type="spellStart"/>
      <w:r w:rsidRPr="00075D15">
        <w:rPr>
          <w:lang w:val="en-US"/>
        </w:rPr>
        <w:t>Kateřina</w:t>
      </w:r>
      <w:proofErr w:type="spellEnd"/>
      <w:r w:rsidRPr="00075D15">
        <w:rPr>
          <w:lang w:val="en-US"/>
        </w:rPr>
        <w:t xml:space="preserve"> </w:t>
      </w:r>
      <w:proofErr w:type="spellStart"/>
      <w:r w:rsidRPr="00075D15">
        <w:rPr>
          <w:lang w:val="en-US"/>
        </w:rPr>
        <w:t>Konečná</w:t>
      </w:r>
      <w:proofErr w:type="spellEnd"/>
      <w:r w:rsidRPr="00075D15">
        <w:rPr>
          <w:lang w:val="en-US"/>
        </w:rPr>
        <w:t xml:space="preserve"> (GUE/NGL)</w:t>
      </w:r>
      <w:r w:rsidRPr="00075D15">
        <w:rPr>
          <w:lang w:val="en-US"/>
        </w:rPr>
        <w:br/>
        <w:t>Vietnamese children in Britain</w:t>
      </w:r>
      <w:r w:rsidRPr="00075D15">
        <w:rPr>
          <w:lang w:val="en-US"/>
        </w:rPr>
        <w:br/>
        <w:t xml:space="preserve">e) E-012257/2015 and E-012261/2015 - Ulla </w:t>
      </w:r>
      <w:proofErr w:type="spellStart"/>
      <w:r w:rsidRPr="00075D15">
        <w:rPr>
          <w:lang w:val="en-US"/>
        </w:rPr>
        <w:t>Tørnæs</w:t>
      </w:r>
      <w:proofErr w:type="spellEnd"/>
      <w:r w:rsidRPr="00075D15">
        <w:rPr>
          <w:lang w:val="en-US"/>
        </w:rPr>
        <w:t xml:space="preserve"> (ALDE)</w:t>
      </w:r>
      <w:r w:rsidRPr="00075D15">
        <w:rPr>
          <w:lang w:val="en-US"/>
        </w:rPr>
        <w:br/>
        <w:t>Political criteria for entering into parallel agreements</w:t>
      </w:r>
      <w:r w:rsidRPr="00075D15">
        <w:rPr>
          <w:lang w:val="en-US"/>
        </w:rPr>
        <w:br/>
        <w:t xml:space="preserve">Prospects of entering into parallel agreements on Europol and </w:t>
      </w:r>
      <w:proofErr w:type="spellStart"/>
      <w:r w:rsidRPr="00075D15">
        <w:rPr>
          <w:lang w:val="en-US"/>
        </w:rPr>
        <w:t>Eurojust</w:t>
      </w:r>
      <w:proofErr w:type="spellEnd"/>
      <w:r w:rsidRPr="00075D15">
        <w:rPr>
          <w:lang w:val="en-US"/>
        </w:rPr>
        <w:t xml:space="preserve"> </w:t>
      </w:r>
      <w:r w:rsidRPr="00075D15">
        <w:rPr>
          <w:lang w:val="en-US"/>
        </w:rPr>
        <w:br/>
        <w:t>f) E-012892/2015 - Sergio Gutiérrez Prieto (</w:t>
      </w:r>
      <w:proofErr w:type="spellStart"/>
      <w:r w:rsidRPr="00075D15">
        <w:rPr>
          <w:lang w:val="en-US"/>
        </w:rPr>
        <w:t>S&amp;amp;D</w:t>
      </w:r>
      <w:proofErr w:type="spellEnd"/>
      <w:r w:rsidRPr="00075D15">
        <w:rPr>
          <w:lang w:val="en-US"/>
        </w:rPr>
        <w:t>)</w:t>
      </w:r>
      <w:r w:rsidRPr="00075D15">
        <w:rPr>
          <w:lang w:val="en-US"/>
        </w:rPr>
        <w:br/>
        <w:t>Non-discrimination directive and Luxembourg Presidency</w:t>
      </w:r>
    </w:p>
    <w:p w14:paraId="52B363C0" w14:textId="6CD03B55" w:rsidR="00643D86" w:rsidRPr="00075D15" w:rsidRDefault="00075D15" w:rsidP="00075D15">
      <w:pPr>
        <w:pStyle w:val="Liststycke"/>
        <w:ind w:left="1074"/>
        <w:rPr>
          <w:lang w:val="en-US"/>
        </w:rPr>
      </w:pPr>
      <w:r w:rsidRPr="00075D15">
        <w:rPr>
          <w:noProof/>
          <w:lang w:val="en-US"/>
        </w:rPr>
        <w:t>13120</w:t>
      </w:r>
      <w:r w:rsidRPr="00075D15">
        <w:rPr>
          <w:lang w:val="en-US"/>
        </w:rPr>
        <w:t>/15 PE-QE 516 13210/15 PE-QE 520 13185/15 PE-QE 517 13212/15 PE-QE 522 13211/15 PE-QE 521 13195/15 PE-QE 519</w:t>
      </w:r>
    </w:p>
    <w:p w14:paraId="52B363C1" w14:textId="77777777" w:rsidR="00643D86" w:rsidRDefault="00075D15" w:rsidP="00643D86">
      <w:r>
        <w:rPr>
          <w:b/>
        </w:rPr>
        <w:t>Ansvarigt statsråd</w:t>
      </w:r>
      <w:r>
        <w:rPr>
          <w:b/>
        </w:rPr>
        <w:br/>
      </w:r>
      <w:r>
        <w:rPr>
          <w:noProof/>
        </w:rPr>
        <w:t>Stefan Löfven</w:t>
      </w:r>
    </w:p>
    <w:p w14:paraId="52B363C4" w14:textId="77777777" w:rsidR="00643D86" w:rsidRDefault="00075D15" w:rsidP="00643D86">
      <w:r w:rsidRPr="00B44CE2">
        <w:rPr>
          <w:b/>
        </w:rPr>
        <w:t>Annotering</w:t>
      </w:r>
      <w:r>
        <w:rPr>
          <w:b/>
        </w:rPr>
        <w:br/>
      </w:r>
      <w:r>
        <w:t>Föranleder ingen annotering.</w:t>
      </w:r>
    </w:p>
    <w:p w14:paraId="52B363C5" w14:textId="77777777" w:rsidR="00643D86" w:rsidRDefault="00075D15" w:rsidP="00643D86">
      <w:pPr>
        <w:pStyle w:val="Rubrik1"/>
      </w:pPr>
      <w:bookmarkStart w:id="2" w:name="_Toc434998765"/>
      <w:r>
        <w:rPr>
          <w:noProof/>
        </w:rPr>
        <w:t>Conseil d'administration de l'Institut européen pour l'égalité entre les hommes et les femmes</w:t>
      </w:r>
      <w:r>
        <w:rPr>
          <w:noProof/>
        </w:rPr>
        <w:br/>
        <w:t>Nomination de Mme Rita ZEMAITYTE-TACK, membre titulaire lituanien, en remplacement de Mme Vanda JURŠĖNIENĖ, membre démissionnaire</w:t>
      </w:r>
      <w:bookmarkEnd w:id="2"/>
    </w:p>
    <w:p w14:paraId="0478DFF9" w14:textId="77777777" w:rsidR="000A46C4" w:rsidRPr="009C6B33" w:rsidRDefault="00075D15" w:rsidP="00643D86">
      <w:pPr>
        <w:rPr>
          <w:noProof/>
        </w:rPr>
      </w:pPr>
      <w:r w:rsidRPr="009C6B33">
        <w:rPr>
          <w:noProof/>
        </w:rPr>
        <w:t>Adoption</w:t>
      </w:r>
    </w:p>
    <w:p w14:paraId="52B363C6" w14:textId="67CBA348" w:rsidR="00643D86" w:rsidRPr="009C6B33" w:rsidRDefault="00075D15" w:rsidP="00643D86">
      <w:r w:rsidRPr="009C6B33">
        <w:rPr>
          <w:noProof/>
        </w:rPr>
        <w:t>13586</w:t>
      </w:r>
      <w:r w:rsidRPr="009C6B33">
        <w:t>/15 SOC 631 EMPL 414</w:t>
      </w:r>
    </w:p>
    <w:p w14:paraId="52B363C7" w14:textId="235B42F7" w:rsidR="00643D86" w:rsidRDefault="00075D15" w:rsidP="00643D86">
      <w:r>
        <w:rPr>
          <w:b/>
        </w:rPr>
        <w:t>Ansvarigt statsråd</w:t>
      </w:r>
      <w:r>
        <w:rPr>
          <w:b/>
        </w:rPr>
        <w:br/>
      </w:r>
      <w:r w:rsidR="00EE3B60">
        <w:t>Åsa Regnér</w:t>
      </w:r>
    </w:p>
    <w:p w14:paraId="52B363CA" w14:textId="77777777" w:rsidR="00643D86" w:rsidRDefault="00075D15" w:rsidP="00643D86">
      <w:r w:rsidRPr="00B44CE2">
        <w:rPr>
          <w:b/>
        </w:rPr>
        <w:t>Annotering</w:t>
      </w:r>
      <w:r>
        <w:rPr>
          <w:b/>
        </w:rPr>
        <w:br/>
      </w:r>
      <w:r>
        <w:t>Föranleder ingen annotering.</w:t>
      </w:r>
    </w:p>
    <w:p w14:paraId="52B363CB" w14:textId="77777777" w:rsidR="00643D86" w:rsidRDefault="00075D15" w:rsidP="00643D86">
      <w:pPr>
        <w:pStyle w:val="Rubrik1"/>
      </w:pPr>
      <w:bookmarkStart w:id="3" w:name="_Toc434998766"/>
      <w:r>
        <w:rPr>
          <w:noProof/>
        </w:rPr>
        <w:t>Décision du Conseil du 7 mai 2007 relative aux modalités pratiques et de procédure en vue de la désignation, par le Conseil, de deux membres du jury de sélection et du jury de suivi et de conseil dans le cadre de l'action communautaire en faveur de la manifestation "capitales européennes de la culture" (2007/324/CE)</w:t>
      </w:r>
      <w:bookmarkEnd w:id="3"/>
      <w:r>
        <w:rPr>
          <w:noProof/>
        </w:rPr>
        <w:t xml:space="preserve"> </w:t>
      </w:r>
    </w:p>
    <w:p w14:paraId="33D35D3A" w14:textId="77777777" w:rsidR="000A46C4" w:rsidRDefault="00075D15" w:rsidP="00643D86">
      <w:pPr>
        <w:rPr>
          <w:lang w:val="en-US"/>
        </w:rPr>
      </w:pPr>
      <w:r>
        <w:rPr>
          <w:noProof/>
          <w:lang w:val="en-US"/>
        </w:rPr>
        <w:t>Désignation,</w:t>
      </w:r>
      <w:r>
        <w:rPr>
          <w:lang w:val="en-US"/>
        </w:rPr>
        <w:t xml:space="preserve"> par le </w:t>
      </w:r>
      <w:proofErr w:type="spellStart"/>
      <w:r>
        <w:rPr>
          <w:lang w:val="en-US"/>
        </w:rPr>
        <w:t>Conseil</w:t>
      </w:r>
      <w:proofErr w:type="spellEnd"/>
      <w:r>
        <w:rPr>
          <w:lang w:val="en-US"/>
        </w:rPr>
        <w:t xml:space="preserve">, de </w:t>
      </w:r>
      <w:proofErr w:type="spellStart"/>
      <w:r>
        <w:rPr>
          <w:lang w:val="en-US"/>
        </w:rPr>
        <w:t>deux</w:t>
      </w:r>
      <w:proofErr w:type="spellEnd"/>
      <w:r>
        <w:rPr>
          <w:lang w:val="en-US"/>
        </w:rPr>
        <w:t xml:space="preserve"> </w:t>
      </w:r>
      <w:proofErr w:type="spellStart"/>
      <w:r>
        <w:rPr>
          <w:lang w:val="en-US"/>
        </w:rPr>
        <w:t>membres</w:t>
      </w:r>
      <w:proofErr w:type="spellEnd"/>
      <w:r>
        <w:rPr>
          <w:lang w:val="en-US"/>
        </w:rPr>
        <w:t xml:space="preserve"> du jury pour la </w:t>
      </w:r>
      <w:proofErr w:type="spellStart"/>
      <w:r>
        <w:rPr>
          <w:lang w:val="en-US"/>
        </w:rPr>
        <w:t>période</w:t>
      </w:r>
      <w:proofErr w:type="spellEnd"/>
      <w:r>
        <w:rPr>
          <w:lang w:val="en-US"/>
        </w:rPr>
        <w:t xml:space="preserve"> 2016-2018</w:t>
      </w:r>
    </w:p>
    <w:p w14:paraId="52B363CC" w14:textId="15AEE7E9" w:rsidR="00643D86" w:rsidRDefault="00075D15" w:rsidP="00643D86">
      <w:pPr>
        <w:rPr>
          <w:lang w:val="en-US"/>
        </w:rPr>
      </w:pPr>
      <w:r>
        <w:rPr>
          <w:noProof/>
          <w:lang w:val="en-US"/>
        </w:rPr>
        <w:t>13615</w:t>
      </w:r>
      <w:r>
        <w:rPr>
          <w:lang w:val="en-US"/>
        </w:rPr>
        <w:t>/15 CULT 69</w:t>
      </w:r>
    </w:p>
    <w:p w14:paraId="52B363CD" w14:textId="77777777" w:rsidR="00643D86" w:rsidRDefault="00075D15" w:rsidP="00643D86">
      <w:r>
        <w:rPr>
          <w:b/>
        </w:rPr>
        <w:lastRenderedPageBreak/>
        <w:t>Ansvarigt statsråd</w:t>
      </w:r>
      <w:r>
        <w:rPr>
          <w:b/>
        </w:rPr>
        <w:br/>
      </w:r>
      <w:r>
        <w:rPr>
          <w:noProof/>
        </w:rPr>
        <w:t>Alice Bah Kuhnke</w:t>
      </w:r>
    </w:p>
    <w:p w14:paraId="52B363CF" w14:textId="77777777" w:rsidR="00643D86" w:rsidRPr="00643D86" w:rsidRDefault="00075D15" w:rsidP="00643D86">
      <w:r w:rsidRPr="00643D86">
        <w:rPr>
          <w:b/>
        </w:rPr>
        <w:t>Tidigare behandling vid rådsmöte</w:t>
      </w:r>
      <w:r>
        <w:rPr>
          <w:b/>
        </w:rPr>
        <w:br/>
      </w:r>
      <w:r>
        <w:rPr>
          <w:noProof/>
        </w:rPr>
        <w:t>2015-09-17</w:t>
      </w:r>
    </w:p>
    <w:p w14:paraId="52B363D1" w14:textId="73F264F4" w:rsidR="00B421A0" w:rsidRPr="000A46C4" w:rsidRDefault="00075D15" w:rsidP="000A46C4">
      <w:r w:rsidRPr="00B44CE2">
        <w:rPr>
          <w:b/>
        </w:rPr>
        <w:t>Annotering</w:t>
      </w:r>
      <w:r>
        <w:rPr>
          <w:b/>
        </w:rPr>
        <w:br/>
      </w:r>
      <w:r>
        <w:rPr>
          <w:b/>
          <w:bCs/>
        </w:rPr>
        <w:t>Avsikt med behandlingen i rådet:</w:t>
      </w:r>
      <w:r>
        <w:t xml:space="preserve"> </w:t>
      </w:r>
      <w:r w:rsidRPr="000A46C4">
        <w:rPr>
          <w:bCs/>
        </w:rPr>
        <w:t xml:space="preserve">Rådet ska utse två experter till kulturhuvudstads-juryn för åren 2016-2018. </w:t>
      </w:r>
    </w:p>
    <w:p w14:paraId="52B363D3" w14:textId="75464E89" w:rsidR="00B421A0" w:rsidRPr="000A46C4" w:rsidRDefault="00075D15">
      <w:pPr>
        <w:spacing w:after="280" w:afterAutospacing="1"/>
      </w:pPr>
      <w:r>
        <w:rPr>
          <w:b/>
          <w:bCs/>
        </w:rPr>
        <w:t>Hur regeringen ställer sig till den blivande A-punkten:</w:t>
      </w:r>
      <w:r>
        <w:t xml:space="preserve"> </w:t>
      </w:r>
      <w:r w:rsidRPr="000A46C4">
        <w:rPr>
          <w:bCs/>
        </w:rPr>
        <w:t>Regeringen stödjer beslutet som är en ren formalitet.</w:t>
      </w:r>
    </w:p>
    <w:p w14:paraId="52B363D5" w14:textId="30E103B2" w:rsidR="00B421A0" w:rsidRPr="000A46C4" w:rsidRDefault="00075D15">
      <w:pPr>
        <w:spacing w:after="280" w:afterAutospacing="1"/>
      </w:pPr>
      <w:r>
        <w:rPr>
          <w:b/>
          <w:bCs/>
        </w:rPr>
        <w:t>Bakgrund</w:t>
      </w:r>
      <w:r w:rsidRPr="000A46C4">
        <w:rPr>
          <w:bCs/>
        </w:rPr>
        <w:t>:</w:t>
      </w:r>
      <w:r w:rsidR="000A46C4" w:rsidRPr="000A46C4">
        <w:rPr>
          <w:bCs/>
        </w:rPr>
        <w:t xml:space="preserve"> </w:t>
      </w:r>
      <w:r w:rsidRPr="000A46C4">
        <w:rPr>
          <w:bCs/>
        </w:rPr>
        <w:t xml:space="preserve">Enligt rådets beslut av den 7 maj 2007 om de praktiska förfarandena inför rådets utnämning av två medlemmar i urvalsjuryn och av nämnden för övervakning och rådgivning för gemenskapsåtgärden Europeisk kulturhuvudstad (2007/324/EG) ska rådet utnämna två av totalt tretton experter i den jury som deltar i arbetet med att utse och övervaka europeiska kulturhuvudstäder. Nomineringen sker av två medlemsstater som lottas fram bland de länder som inte ska vara värdar för en europeisk kulturhuvudstad under perioden eller som rekommenderat experter under den föregående perioden. </w:t>
      </w:r>
    </w:p>
    <w:p w14:paraId="52B363D6" w14:textId="77777777" w:rsidR="00B421A0" w:rsidRPr="000A46C4" w:rsidRDefault="00075D15">
      <w:pPr>
        <w:spacing w:after="280" w:afterAutospacing="1"/>
      </w:pPr>
      <w:r w:rsidRPr="000A46C4">
        <w:rPr>
          <w:bCs/>
        </w:rPr>
        <w:t xml:space="preserve">Lottning skedde vid </w:t>
      </w:r>
      <w:proofErr w:type="spellStart"/>
      <w:r w:rsidRPr="000A46C4">
        <w:rPr>
          <w:bCs/>
        </w:rPr>
        <w:t>Coreper</w:t>
      </w:r>
      <w:proofErr w:type="spellEnd"/>
      <w:r w:rsidRPr="000A46C4">
        <w:rPr>
          <w:bCs/>
        </w:rPr>
        <w:t xml:space="preserve">-mötet den 16 september och resultatet bekräftades av rådet den 18 september. Tolv medlemsstater, inklusive Sverige, deltog i lottningen där resultatet blev att Ungern och Tjeckien fick nominera en expert var. De båda länderna presenterade sina kandidater, Tamas </w:t>
      </w:r>
      <w:proofErr w:type="spellStart"/>
      <w:r w:rsidRPr="000A46C4">
        <w:rPr>
          <w:bCs/>
        </w:rPr>
        <w:t>Szalay</w:t>
      </w:r>
      <w:proofErr w:type="spellEnd"/>
      <w:r w:rsidRPr="000A46C4">
        <w:rPr>
          <w:bCs/>
        </w:rPr>
        <w:t xml:space="preserve"> respektive Jiri </w:t>
      </w:r>
      <w:proofErr w:type="spellStart"/>
      <w:r w:rsidRPr="000A46C4">
        <w:rPr>
          <w:bCs/>
        </w:rPr>
        <w:t>Suchanek</w:t>
      </w:r>
      <w:proofErr w:type="spellEnd"/>
      <w:r w:rsidRPr="000A46C4">
        <w:rPr>
          <w:bCs/>
        </w:rPr>
        <w:t>, för Kulturkommittén på dess möte den 29 oktober. Inga medlemsstater hade några synpunkter på valet av experter som nu formellt ska utses av rådet.</w:t>
      </w:r>
    </w:p>
    <w:p w14:paraId="52B363D8" w14:textId="77777777" w:rsidR="00643D86" w:rsidRDefault="00075D15" w:rsidP="00643D86">
      <w:pPr>
        <w:pStyle w:val="Rubrik1"/>
      </w:pPr>
      <w:bookmarkStart w:id="4" w:name="_Toc434998767"/>
      <w:r>
        <w:rPr>
          <w:noProof/>
        </w:rPr>
        <w:t>Décision du Conseil du 1er décembre 2011 relative aux modalités pratiques et de procédure en vue de la nomination, par le Conseil, de quatre membres du jury européen dans le cadre de l'action de l'Union européenne pour le label du patrimoine européen (2011/831/UE)</w:t>
      </w:r>
      <w:bookmarkEnd w:id="4"/>
    </w:p>
    <w:p w14:paraId="3BE69711" w14:textId="77777777" w:rsidR="000A46C4" w:rsidRDefault="00075D15" w:rsidP="00643D86">
      <w:pPr>
        <w:rPr>
          <w:lang w:val="en-US"/>
        </w:rPr>
      </w:pPr>
      <w:r>
        <w:rPr>
          <w:noProof/>
          <w:lang w:val="en-US"/>
        </w:rPr>
        <w:t>Nomination,</w:t>
      </w:r>
      <w:r>
        <w:rPr>
          <w:lang w:val="en-US"/>
        </w:rPr>
        <w:t xml:space="preserve"> par le </w:t>
      </w:r>
      <w:proofErr w:type="spellStart"/>
      <w:r>
        <w:rPr>
          <w:lang w:val="en-US"/>
        </w:rPr>
        <w:t>Conseil</w:t>
      </w:r>
      <w:proofErr w:type="spellEnd"/>
      <w:r>
        <w:rPr>
          <w:lang w:val="en-US"/>
        </w:rPr>
        <w:t xml:space="preserve">, de </w:t>
      </w:r>
      <w:proofErr w:type="spellStart"/>
      <w:r>
        <w:rPr>
          <w:lang w:val="en-US"/>
        </w:rPr>
        <w:t>quatre</w:t>
      </w:r>
      <w:proofErr w:type="spellEnd"/>
      <w:r>
        <w:rPr>
          <w:lang w:val="en-US"/>
        </w:rPr>
        <w:t xml:space="preserve"> </w:t>
      </w:r>
      <w:proofErr w:type="spellStart"/>
      <w:r>
        <w:rPr>
          <w:lang w:val="en-US"/>
        </w:rPr>
        <w:t>membres</w:t>
      </w:r>
      <w:proofErr w:type="spellEnd"/>
      <w:r>
        <w:rPr>
          <w:lang w:val="en-US"/>
        </w:rPr>
        <w:t xml:space="preserve"> du jury </w:t>
      </w:r>
      <w:proofErr w:type="spellStart"/>
      <w:r>
        <w:rPr>
          <w:lang w:val="en-US"/>
        </w:rPr>
        <w:t>européen</w:t>
      </w:r>
      <w:proofErr w:type="spellEnd"/>
      <w:r>
        <w:rPr>
          <w:lang w:val="en-US"/>
        </w:rPr>
        <w:t xml:space="preserve"> pour la </w:t>
      </w:r>
      <w:proofErr w:type="spellStart"/>
      <w:r>
        <w:rPr>
          <w:lang w:val="en-US"/>
        </w:rPr>
        <w:t>période</w:t>
      </w:r>
      <w:proofErr w:type="spellEnd"/>
      <w:r>
        <w:rPr>
          <w:lang w:val="en-US"/>
        </w:rPr>
        <w:t xml:space="preserve"> 2016-2018</w:t>
      </w:r>
    </w:p>
    <w:p w14:paraId="52B363D9" w14:textId="5E2EBB63" w:rsidR="00643D86" w:rsidRDefault="00075D15" w:rsidP="00643D86">
      <w:pPr>
        <w:rPr>
          <w:lang w:val="en-US"/>
        </w:rPr>
      </w:pPr>
      <w:r>
        <w:rPr>
          <w:noProof/>
          <w:lang w:val="en-US"/>
        </w:rPr>
        <w:t>13613</w:t>
      </w:r>
      <w:r>
        <w:rPr>
          <w:lang w:val="en-US"/>
        </w:rPr>
        <w:t>/15 CULT 68+ COR 1</w:t>
      </w:r>
    </w:p>
    <w:p w14:paraId="52B363DA" w14:textId="77777777" w:rsidR="00643D86" w:rsidRDefault="00075D15" w:rsidP="00643D86">
      <w:r>
        <w:rPr>
          <w:b/>
        </w:rPr>
        <w:t>Ansvarigt statsråd</w:t>
      </w:r>
      <w:r>
        <w:rPr>
          <w:b/>
        </w:rPr>
        <w:br/>
      </w:r>
      <w:r>
        <w:rPr>
          <w:noProof/>
        </w:rPr>
        <w:t>Alice Bah Kuhnke</w:t>
      </w:r>
    </w:p>
    <w:p w14:paraId="52B363DE" w14:textId="48333FD5" w:rsidR="00B421A0" w:rsidRDefault="00075D15" w:rsidP="000A46C4">
      <w:r w:rsidRPr="00B44CE2">
        <w:rPr>
          <w:b/>
        </w:rPr>
        <w:t>Annotering</w:t>
      </w:r>
      <w:r>
        <w:rPr>
          <w:b/>
        </w:rPr>
        <w:br/>
      </w:r>
      <w:r>
        <w:rPr>
          <w:b/>
          <w:bCs/>
        </w:rPr>
        <w:t>Avsikt med behandlingen i rådet:</w:t>
      </w:r>
      <w:r>
        <w:t xml:space="preserve"> Rådet ska utse fyra experter för perioden 2016-2018 till den oberoende juryn till det europeiska kulturarvsmärket. </w:t>
      </w:r>
    </w:p>
    <w:p w14:paraId="52B363E0" w14:textId="760B1839" w:rsidR="00B421A0" w:rsidRDefault="00075D15">
      <w:pPr>
        <w:spacing w:after="280" w:afterAutospacing="1"/>
      </w:pPr>
      <w:r>
        <w:rPr>
          <w:b/>
          <w:bCs/>
        </w:rPr>
        <w:t>Hur regeringen ställer sig till den blivande A-punkten:</w:t>
      </w:r>
      <w:r>
        <w:t xml:space="preserve"> Regeringen stödjer beslutet som är en ren formalitet. </w:t>
      </w:r>
    </w:p>
    <w:p w14:paraId="52B363E2" w14:textId="187D22D8" w:rsidR="00B421A0" w:rsidRDefault="00075D15">
      <w:pPr>
        <w:spacing w:after="280" w:afterAutospacing="1"/>
      </w:pPr>
      <w:r>
        <w:rPr>
          <w:b/>
          <w:bCs/>
        </w:rPr>
        <w:t xml:space="preserve">Bakgrund: </w:t>
      </w:r>
      <w:r>
        <w:t xml:space="preserve">Det europeiska kulturarvsmärket inleddes som ett mellanstatligt projekt år 2006 och formaliserades till ett EU-initiativ 2011. Deltagandet är frivilligt och de medlemsstater som vill får vartannat år nominera upp till två minnesplatser som kan få det europeiska </w:t>
      </w:r>
      <w:r>
        <w:lastRenderedPageBreak/>
        <w:t>kulturarvsmärket. En europeisk jury bestående av oberoende experter väljer ut ett antal minnesplatser av de av medlemsstaterna föreslagna och presenterar dessa för kommissionen som utser de platser som ska tilldelas kulturarvsmärket.</w:t>
      </w:r>
    </w:p>
    <w:p w14:paraId="52B363E4" w14:textId="40951C19" w:rsidR="00FB32B9" w:rsidRDefault="00075D15">
      <w:pPr>
        <w:spacing w:after="280" w:afterAutospacing="1"/>
        <w:rPr>
          <w:noProof/>
        </w:rPr>
      </w:pPr>
      <w:r>
        <w:t xml:space="preserve">Fyra av juryns 13 experter utses av rådet för en period av tre år. De nuvarande jurymedlemmarna ska bytas ut vid årsskiftet och fyra nya experter har utsetts efter lottning bland nominerade kandidater från medlemsstaterna. Resultatet av lottning blev att </w:t>
      </w:r>
      <w:proofErr w:type="spellStart"/>
      <w:r>
        <w:t>Teti-Stamatia</w:t>
      </w:r>
      <w:proofErr w:type="spellEnd"/>
      <w:r>
        <w:t xml:space="preserve"> </w:t>
      </w:r>
      <w:proofErr w:type="spellStart"/>
      <w:r>
        <w:t>Hadjinicolaou</w:t>
      </w:r>
      <w:proofErr w:type="spellEnd"/>
      <w:r>
        <w:t xml:space="preserve"> från Grekland, Françoise </w:t>
      </w:r>
      <w:proofErr w:type="spellStart"/>
      <w:r>
        <w:t>Lempereur</w:t>
      </w:r>
      <w:proofErr w:type="spellEnd"/>
      <w:r>
        <w:t xml:space="preserve"> från Belgien, Josef </w:t>
      </w:r>
      <w:proofErr w:type="spellStart"/>
      <w:r>
        <w:t>Štulc</w:t>
      </w:r>
      <w:proofErr w:type="spellEnd"/>
      <w:r>
        <w:t xml:space="preserve"> från Tjeckien samt Walter </w:t>
      </w:r>
      <w:proofErr w:type="spellStart"/>
      <w:r>
        <w:t>Putschögl</w:t>
      </w:r>
      <w:proofErr w:type="spellEnd"/>
      <w:r>
        <w:t xml:space="preserve"> från Österrike utses till rådets experter i juryn för det europeiska kulturarvsmärket för perioden 2016-2018.</w:t>
      </w:r>
    </w:p>
    <w:p w14:paraId="52B363E5" w14:textId="77777777" w:rsidR="00643D86" w:rsidRDefault="00075D15" w:rsidP="00643D86">
      <w:pPr>
        <w:pStyle w:val="Rubrik1"/>
      </w:pPr>
      <w:bookmarkStart w:id="5" w:name="_Toc434998768"/>
      <w:r>
        <w:rPr>
          <w:noProof/>
        </w:rPr>
        <w:t>Règlement (UE) …/… de la Commission du XXX modifiant l’annexe IV du règlement (CE) nº 396/2005 du Parlement européen et du Conseil en ce qui concerne les substances suivantes: COS-OGA, cerevisane, hydroxyde de calcium, lécithines, Salix spp. cortex, vinaigre, fructose, virus de la mosaïque du pépino (souche CH2, isolat 1906), Verticillium albo-atrum (isolat WCS850), et Bacillus amyloliquefaciens subsp. plantarum (souche D747)</w:t>
      </w:r>
      <w:bookmarkEnd w:id="5"/>
    </w:p>
    <w:p w14:paraId="5A0AD716" w14:textId="77777777" w:rsidR="000A46C4" w:rsidRDefault="00075D15" w:rsidP="00643D86">
      <w:pPr>
        <w:rPr>
          <w:lang w:val="en-US"/>
        </w:rPr>
      </w:pPr>
      <w:r>
        <w:rPr>
          <w:noProof/>
          <w:lang w:val="en-US"/>
        </w:rPr>
        <w:t>Décision</w:t>
      </w:r>
      <w:r>
        <w:rPr>
          <w:lang w:val="en-US"/>
        </w:rPr>
        <w:t xml:space="preserve"> de ne pas </w:t>
      </w:r>
      <w:proofErr w:type="spellStart"/>
      <w:r>
        <w:rPr>
          <w:lang w:val="en-US"/>
        </w:rPr>
        <w:t>s'opposer</w:t>
      </w:r>
      <w:proofErr w:type="spellEnd"/>
      <w:r>
        <w:rPr>
          <w:lang w:val="en-US"/>
        </w:rPr>
        <w:t xml:space="preserve"> à </w:t>
      </w:r>
      <w:proofErr w:type="spellStart"/>
      <w:r>
        <w:rPr>
          <w:lang w:val="en-US"/>
        </w:rPr>
        <w:t>l'adoption</w:t>
      </w:r>
      <w:proofErr w:type="spellEnd"/>
    </w:p>
    <w:p w14:paraId="52B363E6" w14:textId="634F2CF0" w:rsidR="00643D86" w:rsidRPr="009C6B33" w:rsidRDefault="00075D15" w:rsidP="00643D86">
      <w:r w:rsidRPr="009C6B33">
        <w:rPr>
          <w:noProof/>
        </w:rPr>
        <w:t>13715</w:t>
      </w:r>
      <w:r w:rsidRPr="009C6B33">
        <w:t>/15 AGRILEG 210</w:t>
      </w:r>
      <w:r w:rsidR="000A46C4" w:rsidRPr="009C6B33">
        <w:t xml:space="preserve"> </w:t>
      </w:r>
      <w:r w:rsidRPr="009C6B33">
        <w:t>13068/15 AGRILEG 190</w:t>
      </w:r>
    </w:p>
    <w:p w14:paraId="52B363E7" w14:textId="77777777" w:rsidR="00643D86" w:rsidRDefault="00075D15" w:rsidP="00643D86">
      <w:r>
        <w:rPr>
          <w:b/>
        </w:rPr>
        <w:t>Ansvarigt statsråd</w:t>
      </w:r>
      <w:r>
        <w:rPr>
          <w:b/>
        </w:rPr>
        <w:br/>
      </w:r>
      <w:r>
        <w:rPr>
          <w:noProof/>
        </w:rPr>
        <w:t>Sven-Erik Bucht</w:t>
      </w:r>
    </w:p>
    <w:p w14:paraId="52B363EA" w14:textId="77777777" w:rsidR="00643D86" w:rsidRDefault="00075D15" w:rsidP="00643D86">
      <w:r w:rsidRPr="00B44CE2">
        <w:rPr>
          <w:b/>
        </w:rPr>
        <w:t>Annotering</w:t>
      </w:r>
      <w:r>
        <w:rPr>
          <w:b/>
        </w:rPr>
        <w:br/>
      </w:r>
      <w:r>
        <w:t>Föranleder ingen annotering.</w:t>
      </w:r>
    </w:p>
    <w:p w14:paraId="52B363EB" w14:textId="77777777" w:rsidR="00643D86" w:rsidRPr="00686001" w:rsidRDefault="00075D15" w:rsidP="00643D86">
      <w:pPr>
        <w:pStyle w:val="Rubrik1"/>
        <w:rPr>
          <w:lang w:val="en-US"/>
        </w:rPr>
      </w:pPr>
      <w:bookmarkStart w:id="6" w:name="_Toc434998769"/>
      <w:r w:rsidRPr="00686001">
        <w:rPr>
          <w:noProof/>
          <w:lang w:val="en-US"/>
        </w:rPr>
        <w:t>Règlement délégué (UE) …/... de la Commission du 12.10.2015 établissant un plan de rejets pour certaines pêcheries démersales dans les eaux occidentales australes</w:t>
      </w:r>
      <w:bookmarkEnd w:id="6"/>
    </w:p>
    <w:p w14:paraId="536C469B" w14:textId="77777777" w:rsidR="000A46C4" w:rsidRDefault="00075D15" w:rsidP="00643D86">
      <w:pPr>
        <w:rPr>
          <w:lang w:val="en-US"/>
        </w:rPr>
      </w:pPr>
      <w:r>
        <w:rPr>
          <w:noProof/>
          <w:lang w:val="en-US"/>
        </w:rPr>
        <w:t>Confirmation</w:t>
      </w:r>
      <w:r>
        <w:rPr>
          <w:lang w:val="en-US"/>
        </w:rPr>
        <w:t xml:space="preserve"> de ne pas </w:t>
      </w:r>
      <w:proofErr w:type="spellStart"/>
      <w:r>
        <w:rPr>
          <w:lang w:val="en-US"/>
        </w:rPr>
        <w:t>s'opposer</w:t>
      </w:r>
      <w:proofErr w:type="spellEnd"/>
      <w:r>
        <w:rPr>
          <w:lang w:val="en-US"/>
        </w:rPr>
        <w:t xml:space="preserve"> à </w:t>
      </w:r>
      <w:proofErr w:type="spellStart"/>
      <w:r>
        <w:rPr>
          <w:lang w:val="en-US"/>
        </w:rPr>
        <w:t>l'adoption</w:t>
      </w:r>
      <w:proofErr w:type="spellEnd"/>
    </w:p>
    <w:p w14:paraId="52B363EC" w14:textId="323AC64D" w:rsidR="00643D86" w:rsidRDefault="00075D15" w:rsidP="00643D86">
      <w:pPr>
        <w:rPr>
          <w:lang w:val="en-US"/>
        </w:rPr>
      </w:pPr>
      <w:r>
        <w:rPr>
          <w:noProof/>
          <w:lang w:val="en-US"/>
        </w:rPr>
        <w:t>13552</w:t>
      </w:r>
      <w:r>
        <w:rPr>
          <w:lang w:val="en-US"/>
        </w:rPr>
        <w:t>/15 PECHE 405 + ADD 1 REV 1</w:t>
      </w:r>
      <w:r w:rsidR="000A46C4">
        <w:rPr>
          <w:lang w:val="en-US"/>
        </w:rPr>
        <w:t xml:space="preserve"> </w:t>
      </w:r>
      <w:r>
        <w:rPr>
          <w:lang w:val="en-US"/>
        </w:rPr>
        <w:t>13010/15 PECHE 358 DELACT 133 + ADD 1</w:t>
      </w:r>
    </w:p>
    <w:p w14:paraId="52B363ED" w14:textId="77777777" w:rsidR="00643D86" w:rsidRDefault="00075D15" w:rsidP="00643D86">
      <w:r>
        <w:rPr>
          <w:b/>
        </w:rPr>
        <w:t>Ansvarigt statsråd</w:t>
      </w:r>
      <w:r>
        <w:rPr>
          <w:b/>
        </w:rPr>
        <w:br/>
      </w:r>
      <w:r>
        <w:rPr>
          <w:noProof/>
        </w:rPr>
        <w:t>Sven-Erik Bucht</w:t>
      </w:r>
    </w:p>
    <w:p w14:paraId="52B363F0" w14:textId="77777777" w:rsidR="00643D86" w:rsidRDefault="00075D15" w:rsidP="00643D86">
      <w:r w:rsidRPr="00B44CE2">
        <w:rPr>
          <w:b/>
        </w:rPr>
        <w:t>Annotering</w:t>
      </w:r>
      <w:r>
        <w:rPr>
          <w:b/>
        </w:rPr>
        <w:br/>
      </w:r>
      <w:r>
        <w:rPr>
          <w:b/>
          <w:bCs/>
        </w:rPr>
        <w:t>Avsikt med behandlingen i rådet:</w:t>
      </w:r>
      <w:r>
        <w:t xml:space="preserve"> Rådet förväntas bekräfta att man inte avser invända mot antagandet av den delegerade förordningen.  </w:t>
      </w:r>
    </w:p>
    <w:p w14:paraId="52B363F1" w14:textId="77777777" w:rsidR="00B421A0" w:rsidRDefault="00075D15">
      <w:pPr>
        <w:spacing w:after="280" w:afterAutospacing="1"/>
      </w:pPr>
      <w:r>
        <w:rPr>
          <w:b/>
          <w:bCs/>
        </w:rPr>
        <w:t>Hur regeringen ställer sig till den blivande A-punkten: </w:t>
      </w:r>
      <w:r>
        <w:t xml:space="preserve">Regeringen avser inte invända mot den delegerade förordningen.  </w:t>
      </w:r>
    </w:p>
    <w:p w14:paraId="52B363F2" w14:textId="77777777" w:rsidR="00B421A0" w:rsidRDefault="00075D15">
      <w:pPr>
        <w:spacing w:after="280" w:afterAutospacing="1"/>
      </w:pPr>
      <w:r>
        <w:rPr>
          <w:b/>
          <w:bCs/>
        </w:rPr>
        <w:t>Bakgrund:</w:t>
      </w:r>
      <w:r>
        <w:t xml:space="preserve"> Den aktuella delegerade akten omfattar arter som definierar </w:t>
      </w:r>
      <w:proofErr w:type="spellStart"/>
      <w:r>
        <w:t>demersala</w:t>
      </w:r>
      <w:proofErr w:type="spellEnd"/>
      <w:r>
        <w:t xml:space="preserve"> fisken i sydvästliga vatten. </w:t>
      </w:r>
    </w:p>
    <w:p w14:paraId="52B363F3" w14:textId="77777777" w:rsidR="00B421A0" w:rsidRDefault="00075D15">
      <w:pPr>
        <w:spacing w:after="280" w:afterAutospacing="1"/>
      </w:pPr>
      <w:r>
        <w:t xml:space="preserve">I enlighet med artikel 18 i förordning (EU) nr 1380/2013 grundar sig den föreslagna delegerade akten på en gemensam rekommendation som utarbetats och lämnats till </w:t>
      </w:r>
      <w:r>
        <w:lastRenderedPageBreak/>
        <w:t>kommissionen av de berörda medlemsstater som har ett direkt förvaltningsintresse i de berörda fiskena i denna region (Belgien, Spanien, Frankrike, Nederländerna och Portugal).</w:t>
      </w:r>
    </w:p>
    <w:p w14:paraId="52B363F5" w14:textId="1C0FC865" w:rsidR="00FB32B9" w:rsidRDefault="00075D15">
      <w:pPr>
        <w:spacing w:after="280" w:afterAutospacing="1"/>
        <w:rPr>
          <w:noProof/>
        </w:rPr>
      </w:pPr>
      <w:r>
        <w:t xml:space="preserve">Sverige har inget fiskeintresse i de berörda regionerna och berörs därför inte av bestämmelserna. </w:t>
      </w:r>
    </w:p>
    <w:p w14:paraId="52B363F6" w14:textId="77777777" w:rsidR="00643D86" w:rsidRPr="00686001" w:rsidRDefault="00075D15" w:rsidP="00643D86">
      <w:pPr>
        <w:pStyle w:val="Rubrik1"/>
        <w:rPr>
          <w:lang w:val="en-US"/>
        </w:rPr>
      </w:pPr>
      <w:bookmarkStart w:id="7" w:name="_Toc434998770"/>
      <w:r w:rsidRPr="00686001">
        <w:rPr>
          <w:noProof/>
          <w:lang w:val="en-US"/>
        </w:rPr>
        <w:t>Règlement délégué (UE) …/... de la Commission du 12.10.2015 établissant un plan de rejets pour certaines pêcheries démersales dans les eaux occidentales septentrionales</w:t>
      </w:r>
      <w:bookmarkEnd w:id="7"/>
    </w:p>
    <w:p w14:paraId="7F7E753A" w14:textId="77777777" w:rsidR="000A46C4" w:rsidRDefault="00075D15" w:rsidP="00643D86">
      <w:pPr>
        <w:rPr>
          <w:lang w:val="en-US"/>
        </w:rPr>
      </w:pPr>
      <w:r>
        <w:rPr>
          <w:noProof/>
          <w:lang w:val="en-US"/>
        </w:rPr>
        <w:t>Confirmation</w:t>
      </w:r>
      <w:r>
        <w:rPr>
          <w:lang w:val="en-US"/>
        </w:rPr>
        <w:t xml:space="preserve"> de ne pas </w:t>
      </w:r>
      <w:proofErr w:type="spellStart"/>
      <w:r>
        <w:rPr>
          <w:lang w:val="en-US"/>
        </w:rPr>
        <w:t>s'opposer</w:t>
      </w:r>
      <w:proofErr w:type="spellEnd"/>
      <w:r>
        <w:rPr>
          <w:lang w:val="en-US"/>
        </w:rPr>
        <w:t xml:space="preserve"> à </w:t>
      </w:r>
      <w:proofErr w:type="spellStart"/>
      <w:r>
        <w:rPr>
          <w:lang w:val="en-US"/>
        </w:rPr>
        <w:t>l'adoption</w:t>
      </w:r>
      <w:proofErr w:type="spellEnd"/>
    </w:p>
    <w:p w14:paraId="52B363F7" w14:textId="1EC2CFD1" w:rsidR="00643D86" w:rsidRDefault="00075D15" w:rsidP="00643D86">
      <w:pPr>
        <w:rPr>
          <w:lang w:val="en-US"/>
        </w:rPr>
      </w:pPr>
      <w:r>
        <w:rPr>
          <w:noProof/>
          <w:lang w:val="en-US"/>
        </w:rPr>
        <w:t>13553</w:t>
      </w:r>
      <w:r>
        <w:rPr>
          <w:lang w:val="en-US"/>
        </w:rPr>
        <w:t>/15 PECHE 406 + ADD 1 REV 1</w:t>
      </w:r>
      <w:r w:rsidR="000A46C4">
        <w:rPr>
          <w:lang w:val="en-US"/>
        </w:rPr>
        <w:t xml:space="preserve"> </w:t>
      </w:r>
      <w:r>
        <w:rPr>
          <w:lang w:val="en-US"/>
        </w:rPr>
        <w:t>13017/15 PECHE 363 DELACT 134 + ADD 1</w:t>
      </w:r>
    </w:p>
    <w:p w14:paraId="52B363F8" w14:textId="77777777" w:rsidR="00643D86" w:rsidRDefault="00075D15" w:rsidP="00643D86">
      <w:r>
        <w:rPr>
          <w:b/>
        </w:rPr>
        <w:t>Ansvarigt statsråd</w:t>
      </w:r>
      <w:r>
        <w:rPr>
          <w:b/>
        </w:rPr>
        <w:br/>
      </w:r>
      <w:r>
        <w:rPr>
          <w:noProof/>
        </w:rPr>
        <w:t>Sven-Erik Bucht</w:t>
      </w:r>
    </w:p>
    <w:p w14:paraId="52B363FB" w14:textId="77777777" w:rsidR="00643D86" w:rsidRDefault="00075D15" w:rsidP="00643D86">
      <w:r w:rsidRPr="00B44CE2">
        <w:rPr>
          <w:b/>
        </w:rPr>
        <w:t>Annotering</w:t>
      </w:r>
      <w:r>
        <w:rPr>
          <w:b/>
        </w:rPr>
        <w:br/>
      </w:r>
      <w:r>
        <w:rPr>
          <w:b/>
          <w:bCs/>
        </w:rPr>
        <w:t>Avsikt med behandlingen i rådet: </w:t>
      </w:r>
      <w:r>
        <w:t xml:space="preserve">Rådet förväntas bekräfta att man inte invänder mot antagande av den delegerade förordningen.  </w:t>
      </w:r>
    </w:p>
    <w:p w14:paraId="52B363FC" w14:textId="77777777" w:rsidR="00B421A0" w:rsidRDefault="00075D15">
      <w:pPr>
        <w:spacing w:after="280" w:afterAutospacing="1"/>
      </w:pPr>
      <w:r>
        <w:rPr>
          <w:b/>
          <w:bCs/>
        </w:rPr>
        <w:t>Hur regeringen ställer sig till den blivande A-punkten:</w:t>
      </w:r>
      <w:r>
        <w:t xml:space="preserve"> Regeringen avser inte invända mot antagandet. </w:t>
      </w:r>
    </w:p>
    <w:p w14:paraId="52B363FD" w14:textId="77777777" w:rsidR="00B421A0" w:rsidRDefault="00075D15">
      <w:pPr>
        <w:spacing w:after="280" w:afterAutospacing="1"/>
      </w:pPr>
      <w:r>
        <w:rPr>
          <w:b/>
          <w:bCs/>
        </w:rPr>
        <w:t xml:space="preserve">Bakgrund: </w:t>
      </w:r>
      <w:r>
        <w:t xml:space="preserve">Den delegerade akten omfattar arter som definierar </w:t>
      </w:r>
      <w:proofErr w:type="spellStart"/>
      <w:r>
        <w:t>demersala</w:t>
      </w:r>
      <w:proofErr w:type="spellEnd"/>
      <w:r>
        <w:t xml:space="preserve"> fisken i nordvästliga vatten.</w:t>
      </w:r>
    </w:p>
    <w:p w14:paraId="52B363FE" w14:textId="77777777" w:rsidR="00B421A0" w:rsidRDefault="00075D15">
      <w:pPr>
        <w:spacing w:after="280" w:afterAutospacing="1"/>
      </w:pPr>
      <w:r>
        <w:t>I enlighet med artikel 18 i förordning (EU) nr 1380/2013 grundar sig de föreslagna delegerade akterna på gemensamma rekommendationer som utarbetats och lämnats till kommissionen av de berörda medlemsstater som har ett direkt förvaltningsintresse i de berörda fiskena i denna region (Belgien, Irland, Spanien, Frankrike, Nederländerna och Förenade kungariket).</w:t>
      </w:r>
    </w:p>
    <w:p w14:paraId="52B36400" w14:textId="618021D2" w:rsidR="00FB32B9" w:rsidRDefault="00075D15">
      <w:pPr>
        <w:spacing w:after="280" w:afterAutospacing="1"/>
        <w:rPr>
          <w:noProof/>
        </w:rPr>
      </w:pPr>
      <w:r>
        <w:t>Sverige har inget fiskeintresse i de berörda regionerna och berörs därför inte av bestämmelserna.</w:t>
      </w:r>
    </w:p>
    <w:p w14:paraId="52B36401" w14:textId="77777777" w:rsidR="00643D86" w:rsidRDefault="00075D15" w:rsidP="00643D86">
      <w:pPr>
        <w:pStyle w:val="Rubrik1"/>
      </w:pPr>
      <w:bookmarkStart w:id="8" w:name="_Toc434998771"/>
      <w:r>
        <w:rPr>
          <w:noProof/>
        </w:rPr>
        <w:t>Projet de proposition conjointe de l'UE à l'OMI relative à un projet d'amendements à l'annexe IV de MARPOL fixant les dates d'entrée en vigueur pour une partie de la zone spéciale de la mer Baltique en vertu de l'annexe IV de MARPO</w:t>
      </w:r>
      <w:bookmarkEnd w:id="8"/>
    </w:p>
    <w:p w14:paraId="69DCFB90" w14:textId="77777777" w:rsidR="000A46C4" w:rsidRPr="009C6B33" w:rsidRDefault="00075D15" w:rsidP="00643D86">
      <w:pPr>
        <w:rPr>
          <w:noProof/>
        </w:rPr>
      </w:pPr>
      <w:r w:rsidRPr="009C6B33">
        <w:rPr>
          <w:noProof/>
        </w:rPr>
        <w:t>Approbation</w:t>
      </w:r>
    </w:p>
    <w:p w14:paraId="52B36402" w14:textId="18478CB4" w:rsidR="00643D86" w:rsidRPr="009C6B33" w:rsidRDefault="00075D15" w:rsidP="00643D86">
      <w:r w:rsidRPr="009C6B33">
        <w:rPr>
          <w:noProof/>
        </w:rPr>
        <w:t>12535</w:t>
      </w:r>
      <w:r w:rsidRPr="009C6B33">
        <w:t xml:space="preserve">/15 </w:t>
      </w:r>
      <w:proofErr w:type="gramStart"/>
      <w:r w:rsidRPr="009C6B33">
        <w:t>MAR</w:t>
      </w:r>
      <w:proofErr w:type="gramEnd"/>
      <w:r w:rsidRPr="009C6B33">
        <w:t xml:space="preserve"> 115 ENV 597</w:t>
      </w:r>
    </w:p>
    <w:p w14:paraId="52B36403" w14:textId="77777777" w:rsidR="00643D86" w:rsidRDefault="00075D15" w:rsidP="00643D86">
      <w:r>
        <w:rPr>
          <w:b/>
        </w:rPr>
        <w:t>Ansvarigt statsråd</w:t>
      </w:r>
      <w:r>
        <w:rPr>
          <w:b/>
        </w:rPr>
        <w:br/>
      </w:r>
      <w:r>
        <w:rPr>
          <w:noProof/>
        </w:rPr>
        <w:t>Anna Johansson</w:t>
      </w:r>
    </w:p>
    <w:p w14:paraId="52B36408" w14:textId="475054FF" w:rsidR="00B421A0" w:rsidRDefault="00075D15" w:rsidP="000A46C4">
      <w:r w:rsidRPr="00B44CE2">
        <w:rPr>
          <w:b/>
        </w:rPr>
        <w:t>Annotering</w:t>
      </w:r>
      <w:r>
        <w:rPr>
          <w:b/>
        </w:rPr>
        <w:br/>
      </w:r>
      <w:r>
        <w:rPr>
          <w:b/>
          <w:bCs/>
        </w:rPr>
        <w:t>Avsikt med behandlingen i rådet:</w:t>
      </w:r>
      <w:r w:rsidR="000A46C4">
        <w:rPr>
          <w:b/>
          <w:bCs/>
        </w:rPr>
        <w:t xml:space="preserve"> </w:t>
      </w:r>
      <w:r>
        <w:t>Att godkänna att inlagan skickas in till sextionionde mötet IMO:s miljökommitté (MEPC 69) med förslag på ändringar i MARPOL konventionen.</w:t>
      </w:r>
    </w:p>
    <w:p w14:paraId="52B3640A" w14:textId="771BFACA" w:rsidR="00B421A0" w:rsidRDefault="00075D15">
      <w:pPr>
        <w:spacing w:after="280" w:afterAutospacing="1"/>
      </w:pPr>
      <w:r>
        <w:rPr>
          <w:b/>
          <w:bCs/>
        </w:rPr>
        <w:t>Hur regeringen ställer sig till den blivande A-punkten:</w:t>
      </w:r>
      <w:r>
        <w:t xml:space="preserve"> Regeringen stödjer att inlagan skickas in till IMO. </w:t>
      </w:r>
    </w:p>
    <w:p w14:paraId="52B3640C" w14:textId="2CFE5786" w:rsidR="00B421A0" w:rsidRDefault="00075D15">
      <w:pPr>
        <w:spacing w:after="280" w:afterAutospacing="1"/>
      </w:pPr>
      <w:r>
        <w:rPr>
          <w:b/>
          <w:bCs/>
        </w:rPr>
        <w:lastRenderedPageBreak/>
        <w:t>Bakgrund:</w:t>
      </w:r>
      <w:r w:rsidR="000A46C4">
        <w:rPr>
          <w:b/>
          <w:bCs/>
        </w:rPr>
        <w:t xml:space="preserve"> </w:t>
      </w:r>
      <w:r>
        <w:t xml:space="preserve">Östersjön är ett specialområde under annex IV i MARPOL. Inom specialområdet gäller skärpta krav för utsläpp av toalettavfall från passagerarfartyg och kryssningsfartyg. Regelverket innebär att fartyg antingen ska lämna toalettavfallet till mottagningsanordningar i land eller vara utrustade med reningsanläggningar som kan rena toalettavfallet från kväve och fosfor. En förutsättning enligt MARPOL för att dessa krav ska effektueras och bli tillämpliga är att berörda kuststater genom en notifiering meddelar IMO att det finns tillräckligt med adekvata mottagningsanordningar i regionen. </w:t>
      </w:r>
    </w:p>
    <w:p w14:paraId="52B3640D" w14:textId="77777777" w:rsidR="00B421A0" w:rsidRDefault="00075D15">
      <w:pPr>
        <w:spacing w:after="280" w:afterAutospacing="1"/>
      </w:pPr>
      <w:r>
        <w:t xml:space="preserve">En notifiering gällande mottagningsanordningar från samtliga Östersjöländer med undantag av Ryssland gjordes till MEPC 68 (MEPC 68/10/2). I dokumentet angavs också förslag på nya tillämpningsdatum för de skärpta bestämmelserna; 2019 för nya passagerarfartyg och 2021 för existerande passagerarfartyg. Det underströks i dokumentet att bestämmelserna ifråga inte kommer att effektueras på vattenområden under rysk jurisdiktion eller där Ryssland har suveräna rättigheter (dvs. ryskt territorialvatten och EEZ). </w:t>
      </w:r>
    </w:p>
    <w:p w14:paraId="52B3640E" w14:textId="77777777" w:rsidR="00B421A0" w:rsidRDefault="00075D15">
      <w:pPr>
        <w:spacing w:after="280" w:afterAutospacing="1"/>
      </w:pPr>
      <w:r>
        <w:t>MEPC 68 godkände notifieringen om att det finns tillräckligt med mottagningsanordningar i Östersjöregionen för att specialområdes-bestämmelserna om utsläpp av toalettavfall från passagerarfartyg ska kunna träda i kraft. Kommittén godkände att bestämmelserna ska tillämpas från 2019 för nya passagerarfartyg och från 2021 för existerande fartyg. MEPC 68 konstaterade dock att det krävs en ändring av Annex IV i MARPOL för att bestämmelserna ska kunna ta effekt; förslagsställarna, däribland SE, uppmanades inkomma med förslag på de ändringar som krävs till MEPC 69. Förslaget på konventionsändringar har även cirkulerats av IMO:s generalsekreterare 6 mån före mötet enligt konventionens procedurer.</w:t>
      </w:r>
    </w:p>
    <w:p w14:paraId="52B3640F" w14:textId="77777777" w:rsidR="00B421A0" w:rsidRDefault="00075D15">
      <w:pPr>
        <w:spacing w:after="280" w:afterAutospacing="1"/>
      </w:pPr>
      <w:r>
        <w:t xml:space="preserve">Inlagan behandlades i RAG sjöfart i september, varvid frågan om kompetens diskuterades (i praktiken vem/vilka som ska stå som avsändare för inlagan). KOM var av uppfattning att frågan omfattas av kompetens varför </w:t>
      </w:r>
      <w:proofErr w:type="gramStart"/>
      <w:r>
        <w:t>KOM</w:t>
      </w:r>
      <w:proofErr w:type="gramEnd"/>
      <w:r>
        <w:t xml:space="preserve"> enskilt skulle stå som avsändare till inlagan. Ett flertal MS påpekade att eftersom KOM inte är part till MARPOL och därför inte kan stå som ingivare. Sverige framhöll att frågan är ett gemensamt intresse genom att åtgärden det finns med som en ”action </w:t>
      </w:r>
      <w:proofErr w:type="spellStart"/>
      <w:r>
        <w:t>point</w:t>
      </w:r>
      <w:proofErr w:type="spellEnd"/>
      <w:r>
        <w:t xml:space="preserve">” i EU Östersjöstrategi varför samtliga EU stater bör stå som avsändare. Sverige erhöll stöd från flera av de stater som yttrade sig för denna lösning. KOM framhöll dock att man ansåg att frågan var kompetens. </w:t>
      </w:r>
    </w:p>
    <w:p w14:paraId="52B36413" w14:textId="61A693C6" w:rsidR="00FB32B9" w:rsidRDefault="00075D15">
      <w:pPr>
        <w:spacing w:after="280" w:afterAutospacing="1"/>
        <w:rPr>
          <w:noProof/>
        </w:rPr>
      </w:pPr>
      <w:r>
        <w:t>SE är varit mycket aktiva i denna fråga och den har hög prioritet.</w:t>
      </w:r>
    </w:p>
    <w:p w14:paraId="52B36414" w14:textId="77777777" w:rsidR="00643D86" w:rsidRDefault="00075D15" w:rsidP="00643D86">
      <w:pPr>
        <w:pStyle w:val="Rubrik1"/>
      </w:pPr>
      <w:bookmarkStart w:id="9" w:name="_Toc434998772"/>
      <w:r>
        <w:rPr>
          <w:noProof/>
        </w:rPr>
        <w:t>Projet de proposition conjointe de l'UE à présenter lors de la troisième session du Sous-comité de la conception et de la construction du navire de l'OMI concernant des questions liées à la sécurité des navires à passagers – Stabilité après avarie</w:t>
      </w:r>
      <w:bookmarkEnd w:id="9"/>
    </w:p>
    <w:p w14:paraId="42315EAB" w14:textId="77777777" w:rsidR="000A46C4" w:rsidRPr="00686001" w:rsidRDefault="00075D15" w:rsidP="00643D86">
      <w:pPr>
        <w:rPr>
          <w:noProof/>
        </w:rPr>
      </w:pPr>
      <w:r w:rsidRPr="00686001">
        <w:rPr>
          <w:noProof/>
        </w:rPr>
        <w:t>Approbation</w:t>
      </w:r>
    </w:p>
    <w:p w14:paraId="52B36415" w14:textId="5EB59EDE" w:rsidR="00643D86" w:rsidRPr="00686001" w:rsidRDefault="00075D15" w:rsidP="00643D86">
      <w:r w:rsidRPr="00686001">
        <w:rPr>
          <w:noProof/>
        </w:rPr>
        <w:t>13419</w:t>
      </w:r>
      <w:r w:rsidRPr="00686001">
        <w:t xml:space="preserve">/15 </w:t>
      </w:r>
      <w:proofErr w:type="gramStart"/>
      <w:r w:rsidRPr="00686001">
        <w:t>MAR</w:t>
      </w:r>
      <w:proofErr w:type="gramEnd"/>
      <w:r w:rsidRPr="00686001">
        <w:t xml:space="preserve"> 132 + ADD 1</w:t>
      </w:r>
    </w:p>
    <w:p w14:paraId="52B36416" w14:textId="77777777" w:rsidR="00643D86" w:rsidRDefault="00075D15" w:rsidP="00643D86">
      <w:r>
        <w:rPr>
          <w:b/>
        </w:rPr>
        <w:t>Ansvarigt statsråd</w:t>
      </w:r>
      <w:r>
        <w:rPr>
          <w:b/>
        </w:rPr>
        <w:br/>
      </w:r>
      <w:r>
        <w:rPr>
          <w:noProof/>
        </w:rPr>
        <w:t>Anna Johansson</w:t>
      </w:r>
    </w:p>
    <w:p w14:paraId="52B3641B" w14:textId="591FCE1A" w:rsidR="00B421A0" w:rsidRDefault="00075D15" w:rsidP="000A46C4">
      <w:r w:rsidRPr="00B44CE2">
        <w:rPr>
          <w:b/>
        </w:rPr>
        <w:t>Annotering</w:t>
      </w:r>
      <w:r>
        <w:rPr>
          <w:b/>
        </w:rPr>
        <w:br/>
      </w:r>
      <w:r>
        <w:rPr>
          <w:b/>
          <w:bCs/>
        </w:rPr>
        <w:t>Avsikt med behandlingen i rådet:</w:t>
      </w:r>
      <w:r w:rsidR="000A46C4">
        <w:rPr>
          <w:b/>
          <w:bCs/>
        </w:rPr>
        <w:t xml:space="preserve"> </w:t>
      </w:r>
      <w:r>
        <w:t>Att godkänna en gemensam EU-inlaga som ska skickas in till tredje mötet med IMO:s underkommitté Ship Design and Construction (SDC 3).</w:t>
      </w:r>
    </w:p>
    <w:p w14:paraId="52B3641D" w14:textId="04CBDA82" w:rsidR="00B421A0" w:rsidRDefault="00075D15">
      <w:pPr>
        <w:spacing w:after="280" w:afterAutospacing="1"/>
      </w:pPr>
      <w:r>
        <w:rPr>
          <w:b/>
          <w:bCs/>
        </w:rPr>
        <w:lastRenderedPageBreak/>
        <w:t>Hur regeringen ställer sig till den blivande A-punkten:</w:t>
      </w:r>
      <w:r w:rsidR="000A46C4">
        <w:rPr>
          <w:b/>
          <w:bCs/>
        </w:rPr>
        <w:t xml:space="preserve"> </w:t>
      </w:r>
      <w:r>
        <w:t xml:space="preserve">Regeringen stödjer att inlagan skickas in till IMO.  </w:t>
      </w:r>
    </w:p>
    <w:p w14:paraId="52B3641F" w14:textId="709E3F3B" w:rsidR="00B421A0" w:rsidRDefault="00075D15">
      <w:pPr>
        <w:spacing w:after="280" w:afterAutospacing="1"/>
      </w:pPr>
      <w:r>
        <w:rPr>
          <w:b/>
          <w:bCs/>
        </w:rPr>
        <w:t>Bakgrund:</w:t>
      </w:r>
      <w:r>
        <w:t xml:space="preserve"> Inlagan innehåller ett förslag till det tredje mötet med IMO:s underkommitté för fartygs utformning och konstruktion (</w:t>
      </w:r>
      <w:proofErr w:type="spellStart"/>
      <w:r>
        <w:t>Sub-Committee</w:t>
      </w:r>
      <w:proofErr w:type="spellEnd"/>
      <w:r>
        <w:t xml:space="preserve"> on Ship Design and Construction), SDC3, med förslag på ändringar i SOLAS konventionen reglerna II-1/6 och II-1/8-1. Förslaget syftar till att höja säkerhetsnivån för passagerarfartyg genom det </w:t>
      </w:r>
      <w:proofErr w:type="spellStart"/>
      <w:proofErr w:type="gramStart"/>
      <w:r>
        <w:t>sk</w:t>
      </w:r>
      <w:proofErr w:type="spellEnd"/>
      <w:proofErr w:type="gramEnd"/>
      <w:r>
        <w:t xml:space="preserve"> indelningsindexet benämnt R (</w:t>
      </w:r>
      <w:proofErr w:type="spellStart"/>
      <w:r>
        <w:t>Required</w:t>
      </w:r>
      <w:proofErr w:type="spellEnd"/>
      <w:r>
        <w:t xml:space="preserve"> Index). R-värdet beskriver fartygets förmåga att överleva en kollisionsskada. </w:t>
      </w:r>
    </w:p>
    <w:p w14:paraId="52B36420" w14:textId="77777777" w:rsidR="00B421A0" w:rsidRDefault="00075D15">
      <w:pPr>
        <w:spacing w:after="280" w:afterAutospacing="1"/>
      </w:pPr>
      <w:r>
        <w:t xml:space="preserve">Förslaget har föregåtts av diskussioner inom EU och IMO samt flera studier som EU/ EMSA presenterat i ämnet. Förslaget bygger bl.a. på resultatet av den s.k. EMSA3-studien. Resultatet diskuterades på ett möte i expertgruppen för passagerarfartygssäkerhet den 9 september 2015, där SE deltog. </w:t>
      </w:r>
    </w:p>
    <w:p w14:paraId="52B36422" w14:textId="54A75EDD" w:rsidR="00FB32B9" w:rsidRDefault="00075D15">
      <w:pPr>
        <w:spacing w:after="280" w:afterAutospacing="1"/>
        <w:rPr>
          <w:noProof/>
        </w:rPr>
      </w:pPr>
      <w:r>
        <w:t xml:space="preserve">Förslaget har diskuterats inom RAG Sjöfart och SE stödjer generellt syftet med förslaget men har framfört synpunkter om att konsekvenserna för ro-ro passagerarfartyg inte är tillräckligt analyserade och att just denna fartygstyp bör analyseras vidare. </w:t>
      </w:r>
    </w:p>
    <w:p w14:paraId="52B36423" w14:textId="77777777" w:rsidR="00643D86" w:rsidRDefault="00075D15" w:rsidP="00643D86">
      <w:pPr>
        <w:pStyle w:val="Rubrik1"/>
      </w:pPr>
      <w:bookmarkStart w:id="10" w:name="_Toc434998773"/>
      <w:r>
        <w:rPr>
          <w:noProof/>
        </w:rPr>
        <w:t>Projet de décision du Conseil relative à la conclusion de l'accord de partenariat dans le domaine de la pêche durable entre l'Union européenne et la République du Liberia et de son protocole de mise en œuvre</w:t>
      </w:r>
      <w:bookmarkEnd w:id="10"/>
    </w:p>
    <w:p w14:paraId="49334851" w14:textId="77777777" w:rsidR="000A46C4" w:rsidRPr="00686001" w:rsidRDefault="00075D15" w:rsidP="00643D86">
      <w:r w:rsidRPr="00686001">
        <w:rPr>
          <w:noProof/>
        </w:rPr>
        <w:t>Demande</w:t>
      </w:r>
      <w:r w:rsidRPr="00686001">
        <w:t xml:space="preserve"> </w:t>
      </w:r>
      <w:proofErr w:type="spellStart"/>
      <w:r w:rsidRPr="00686001">
        <w:t>adressée</w:t>
      </w:r>
      <w:proofErr w:type="spellEnd"/>
      <w:r w:rsidRPr="00686001">
        <w:t xml:space="preserve"> au </w:t>
      </w:r>
      <w:proofErr w:type="spellStart"/>
      <w:r w:rsidRPr="00686001">
        <w:t>Parlement</w:t>
      </w:r>
      <w:proofErr w:type="spellEnd"/>
      <w:r w:rsidRPr="00686001">
        <w:t xml:space="preserve"> </w:t>
      </w:r>
      <w:proofErr w:type="gramStart"/>
      <w:r w:rsidRPr="00686001">
        <w:t>européen</w:t>
      </w:r>
      <w:proofErr w:type="gramEnd"/>
      <w:r w:rsidRPr="00686001">
        <w:t xml:space="preserve"> en </w:t>
      </w:r>
      <w:proofErr w:type="spellStart"/>
      <w:r w:rsidRPr="00686001">
        <w:t>vue</w:t>
      </w:r>
      <w:proofErr w:type="spellEnd"/>
      <w:r w:rsidRPr="00686001">
        <w:t xml:space="preserve"> de </w:t>
      </w:r>
      <w:proofErr w:type="spellStart"/>
      <w:r w:rsidRPr="00686001">
        <w:t>l'approbation</w:t>
      </w:r>
      <w:proofErr w:type="spellEnd"/>
      <w:r w:rsidRPr="00686001">
        <w:t xml:space="preserve"> du </w:t>
      </w:r>
      <w:proofErr w:type="spellStart"/>
      <w:r w:rsidRPr="00686001">
        <w:t>texte</w:t>
      </w:r>
      <w:proofErr w:type="spellEnd"/>
    </w:p>
    <w:p w14:paraId="52B36424" w14:textId="647FF38E" w:rsidR="00643D86" w:rsidRPr="00686001" w:rsidRDefault="00075D15" w:rsidP="00643D86">
      <w:r w:rsidRPr="00686001">
        <w:rPr>
          <w:noProof/>
        </w:rPr>
        <w:t>13495</w:t>
      </w:r>
      <w:r w:rsidRPr="00686001">
        <w:t>/15 PECHE 396 + ADD 1 13015/15 PECHE 362</w:t>
      </w:r>
      <w:r w:rsidR="000A46C4" w:rsidRPr="00686001">
        <w:t xml:space="preserve"> </w:t>
      </w:r>
      <w:r w:rsidRPr="00686001">
        <w:t xml:space="preserve">13014/15 PECHE 361 </w:t>
      </w:r>
    </w:p>
    <w:p w14:paraId="52B36425" w14:textId="77777777" w:rsidR="00643D86" w:rsidRDefault="00075D15" w:rsidP="00643D86">
      <w:r>
        <w:rPr>
          <w:b/>
        </w:rPr>
        <w:t>Ansvarigt statsråd</w:t>
      </w:r>
      <w:r>
        <w:rPr>
          <w:b/>
        </w:rPr>
        <w:br/>
      </w:r>
      <w:r>
        <w:rPr>
          <w:noProof/>
        </w:rPr>
        <w:t>Sven-Erik Bucht</w:t>
      </w:r>
    </w:p>
    <w:p w14:paraId="4D01909D" w14:textId="6E59EE93" w:rsidR="000A46C4" w:rsidRDefault="00075D15" w:rsidP="00643D86">
      <w:r w:rsidRPr="00B44CE2">
        <w:rPr>
          <w:b/>
        </w:rPr>
        <w:t>Annotering</w:t>
      </w:r>
      <w:r>
        <w:rPr>
          <w:b/>
        </w:rPr>
        <w:br/>
      </w:r>
      <w:r>
        <w:rPr>
          <w:b/>
          <w:bCs/>
        </w:rPr>
        <w:t xml:space="preserve">Avsikt med behandlingen i rådet: </w:t>
      </w:r>
      <w:r>
        <w:t xml:space="preserve">Att godkänna förslag till protokoll som ska gå till Europaparlamentet för godkännande </w:t>
      </w:r>
    </w:p>
    <w:p w14:paraId="368151E3" w14:textId="77777777" w:rsidR="000A46C4" w:rsidRDefault="00075D15" w:rsidP="00643D86">
      <w:r>
        <w:rPr>
          <w:b/>
          <w:bCs/>
        </w:rPr>
        <w:t>Hur regeringen ställer sig till den blivande A-punkten:</w:t>
      </w:r>
      <w:r w:rsidR="000A46C4">
        <w:rPr>
          <w:b/>
          <w:bCs/>
        </w:rPr>
        <w:t xml:space="preserve"> </w:t>
      </w:r>
      <w:r>
        <w:t>Regeringen kan ställa sig bakom förslaget.</w:t>
      </w:r>
    </w:p>
    <w:p w14:paraId="52B36428" w14:textId="55876731" w:rsidR="00643D86" w:rsidRDefault="00075D15" w:rsidP="00643D86">
      <w:r>
        <w:rPr>
          <w:b/>
          <w:bCs/>
        </w:rPr>
        <w:t>Bakgrund:</w:t>
      </w:r>
      <w:r w:rsidR="000A46C4">
        <w:rPr>
          <w:b/>
          <w:bCs/>
        </w:rPr>
        <w:t xml:space="preserve"> </w:t>
      </w:r>
      <w:r>
        <w:t xml:space="preserve">Förslaget till protokoll mellan EU och Liberia löper på fem år. Den inledande artikeln hänvisar till att tillträdet till fiskeresurser i Liberias vatten endast beviljas utländska flottor i mån av tillgänglighet av ett överskott i enlighet med Artikel 62 i UNCLOS. Vidare anges att protokollet garanterar EU:s flottor prioriterat tillträde till tillgängliga överskott framför andra utländska flottor som fiskar på </w:t>
      </w:r>
      <w:proofErr w:type="gramStart"/>
      <w:r>
        <w:t>liberiansk</w:t>
      </w:r>
      <w:proofErr w:type="gramEnd"/>
      <w:r>
        <w:t xml:space="preserve"> vatten. Samma artikel anger att samtliga tekniska bevarandeåtgärder som definieras i protokollets bilaga 1 också är tillämpliga på varje annan utländsk industriell flotta som verkar i Liberias vatten på tekniska villkor ”liknande” de som gäller för EU-flottan. Det erinras vidare i protokollet om avtalets exklusivitetsklausul, d.v.s. att EU-flaggade fartyg endast får fiska på Liberias vatten om de innehar en fiskelicens som utfärdats inom ramen för förevarande protokoll. </w:t>
      </w:r>
    </w:p>
    <w:p w14:paraId="52B36429" w14:textId="77777777" w:rsidR="00643D86" w:rsidRDefault="00075D15" w:rsidP="00643D86">
      <w:pPr>
        <w:pStyle w:val="Rubrik1"/>
      </w:pPr>
      <w:bookmarkStart w:id="11" w:name="_Toc434998774"/>
      <w:r>
        <w:rPr>
          <w:noProof/>
        </w:rPr>
        <w:lastRenderedPageBreak/>
        <w:t>Projet de décision du Conseil relative à la signature, au nom de l'Union européenne, et à l'application provisoire de l'accord de partenariat dans le domaine de la pêche durable entre l'Union européenne et la République du Liberia et de son protocole de mise en œuvre</w:t>
      </w:r>
      <w:bookmarkEnd w:id="11"/>
    </w:p>
    <w:p w14:paraId="468EB045" w14:textId="77777777" w:rsidR="000A46C4" w:rsidRPr="00686001" w:rsidRDefault="00075D15" w:rsidP="00643D86">
      <w:pPr>
        <w:rPr>
          <w:noProof/>
        </w:rPr>
      </w:pPr>
      <w:r w:rsidRPr="00686001">
        <w:rPr>
          <w:noProof/>
        </w:rPr>
        <w:t>Adoption</w:t>
      </w:r>
    </w:p>
    <w:p w14:paraId="52B3642A" w14:textId="2AE77736" w:rsidR="00643D86" w:rsidRPr="00686001" w:rsidRDefault="00075D15" w:rsidP="00643D86">
      <w:r w:rsidRPr="00686001">
        <w:rPr>
          <w:noProof/>
        </w:rPr>
        <w:t>13495</w:t>
      </w:r>
      <w:r w:rsidRPr="00686001">
        <w:t xml:space="preserve">/15 PECHE 396 + ADD 1 13011/15 PECHE 359 </w:t>
      </w:r>
    </w:p>
    <w:p w14:paraId="52B3642B" w14:textId="77777777" w:rsidR="00643D86" w:rsidRDefault="00075D15" w:rsidP="00643D86">
      <w:r>
        <w:rPr>
          <w:b/>
        </w:rPr>
        <w:t>Ansvarigt statsråd</w:t>
      </w:r>
      <w:r>
        <w:rPr>
          <w:b/>
        </w:rPr>
        <w:br/>
      </w:r>
      <w:r>
        <w:rPr>
          <w:noProof/>
        </w:rPr>
        <w:t>Sven-Erik Bucht</w:t>
      </w:r>
    </w:p>
    <w:p w14:paraId="0719D63A" w14:textId="77777777" w:rsidR="000A46C4" w:rsidRDefault="00075D15" w:rsidP="000A46C4">
      <w:r w:rsidRPr="00B44CE2">
        <w:rPr>
          <w:b/>
        </w:rPr>
        <w:t>Annotering</w:t>
      </w:r>
      <w:r>
        <w:rPr>
          <w:b/>
        </w:rPr>
        <w:br/>
      </w:r>
      <w:r>
        <w:rPr>
          <w:b/>
          <w:bCs/>
        </w:rPr>
        <w:t xml:space="preserve">Avsikt med behandlingen i rådet: </w:t>
      </w:r>
      <w:r>
        <w:t xml:space="preserve">Att godkänna förslag till rådets beslut om undertecknande av protokoll </w:t>
      </w:r>
    </w:p>
    <w:p w14:paraId="64B3BF3E" w14:textId="053C20D4" w:rsidR="000A46C4" w:rsidRDefault="00075D15" w:rsidP="000A46C4">
      <w:r>
        <w:rPr>
          <w:b/>
          <w:bCs/>
        </w:rPr>
        <w:t>Hur regeringen ställer sig till den blivande A-punkten:</w:t>
      </w:r>
      <w:r w:rsidR="000A46C4">
        <w:rPr>
          <w:b/>
          <w:bCs/>
        </w:rPr>
        <w:t xml:space="preserve"> </w:t>
      </w:r>
      <w:r>
        <w:t>Regeringen kan ställa sig bakom förslaget.</w:t>
      </w:r>
    </w:p>
    <w:p w14:paraId="52B36430" w14:textId="28E013AC" w:rsidR="00FB32B9" w:rsidRDefault="00075D15" w:rsidP="000A46C4">
      <w:pPr>
        <w:rPr>
          <w:noProof/>
        </w:rPr>
      </w:pPr>
      <w:r>
        <w:rPr>
          <w:b/>
          <w:bCs/>
        </w:rPr>
        <w:t>Bakgrund:</w:t>
      </w:r>
      <w:r w:rsidR="000A46C4">
        <w:rPr>
          <w:b/>
          <w:bCs/>
        </w:rPr>
        <w:t xml:space="preserve"> </w:t>
      </w:r>
      <w:r>
        <w:t xml:space="preserve">Förslaget till protokoll mellan EU och Liberia löper på fem år. Den inledande artikeln hänvisar till att tillträdet till fiskeresurser i Liberias vatten endast beviljas utländska flottor i mån av tillgänglighet av ett överskott i enlighet med Artikel 62 i UNCLOS. Vidare anges att protokollet garanterar EU:s flottor prioriterat tillträde till tillgängliga överskott framför andra utländska flottor som fiskar på </w:t>
      </w:r>
      <w:proofErr w:type="gramStart"/>
      <w:r>
        <w:t>liberiansk</w:t>
      </w:r>
      <w:proofErr w:type="gramEnd"/>
      <w:r>
        <w:t xml:space="preserve"> vatten. Samma artikel anger att samtliga tekniska bevarandeåtgärder som definieras i protokollets bilaga 1 också är tillämpliga på varje annan utländsk industriell flotta som verkar i Liberias vatten på tekniska villkor ”liknande” de som gäller för EU-flottan. Det erinras vidare i protokollet om avtalets exklusivitetsklausul, d.v.s. att EU-flaggade fartyg endast får fiska på Liberias vatten om de innehar en fiskelicens som utfärdats inom ramen för förevarande protokoll. </w:t>
      </w:r>
    </w:p>
    <w:p w14:paraId="52B36431" w14:textId="77777777" w:rsidR="00643D86" w:rsidRDefault="00075D15" w:rsidP="00643D86">
      <w:pPr>
        <w:pStyle w:val="Rubrik1"/>
      </w:pPr>
      <w:bookmarkStart w:id="12" w:name="_Toc434998775"/>
      <w:r>
        <w:rPr>
          <w:noProof/>
        </w:rPr>
        <w:t>Projet de règlement du Conseil relatif à la répartition des possibilités de pêche au titre du protocole de mise en œuvre de l'accord de partenariat dans le domaine de la pêche durable entre l'Union européenne et la République du Liberia</w:t>
      </w:r>
      <w:bookmarkEnd w:id="12"/>
    </w:p>
    <w:p w14:paraId="6CE94E41" w14:textId="77777777" w:rsidR="000A46C4" w:rsidRPr="00686001" w:rsidRDefault="00075D15" w:rsidP="00643D86">
      <w:pPr>
        <w:rPr>
          <w:noProof/>
        </w:rPr>
      </w:pPr>
      <w:r w:rsidRPr="00686001">
        <w:rPr>
          <w:noProof/>
        </w:rPr>
        <w:t>Adoption</w:t>
      </w:r>
    </w:p>
    <w:p w14:paraId="52B36432" w14:textId="23B01B46" w:rsidR="00643D86" w:rsidRPr="00686001" w:rsidRDefault="00075D15" w:rsidP="00643D86">
      <w:r w:rsidRPr="00686001">
        <w:rPr>
          <w:noProof/>
        </w:rPr>
        <w:t>13495</w:t>
      </w:r>
      <w:r w:rsidRPr="00686001">
        <w:t xml:space="preserve">/15 PECHE 396 + ADD 1 13012/15 PECHE 360 </w:t>
      </w:r>
    </w:p>
    <w:p w14:paraId="52B36433" w14:textId="77777777" w:rsidR="00643D86" w:rsidRDefault="00075D15" w:rsidP="00643D86">
      <w:r>
        <w:rPr>
          <w:b/>
        </w:rPr>
        <w:t>Ansvarigt statsråd</w:t>
      </w:r>
      <w:r>
        <w:rPr>
          <w:b/>
        </w:rPr>
        <w:br/>
      </w:r>
      <w:r>
        <w:rPr>
          <w:noProof/>
        </w:rPr>
        <w:t>Sven-Erik Bucht</w:t>
      </w:r>
    </w:p>
    <w:p w14:paraId="64798269" w14:textId="77777777" w:rsidR="000A46C4" w:rsidRDefault="00075D15" w:rsidP="000A46C4">
      <w:r w:rsidRPr="00B44CE2">
        <w:rPr>
          <w:b/>
        </w:rPr>
        <w:t>Annotering</w:t>
      </w:r>
      <w:r>
        <w:rPr>
          <w:b/>
        </w:rPr>
        <w:br/>
      </w:r>
      <w:r>
        <w:rPr>
          <w:b/>
          <w:bCs/>
        </w:rPr>
        <w:t xml:space="preserve">Avsikt med behandlingen i rådet: </w:t>
      </w:r>
      <w:r>
        <w:t>Att godkänna förslag till rådets beslut om undertecknande av förslag på fiskemöjligheter.</w:t>
      </w:r>
    </w:p>
    <w:p w14:paraId="0C3B4E59" w14:textId="77777777" w:rsidR="000A46C4" w:rsidRDefault="00075D15" w:rsidP="000A46C4">
      <w:r>
        <w:rPr>
          <w:b/>
          <w:bCs/>
        </w:rPr>
        <w:t xml:space="preserve">Hur regeringen ställer sig till den blivande A-punkten: </w:t>
      </w:r>
      <w:r>
        <w:t>Regeringen kan ställa sig bakom förslaget.</w:t>
      </w:r>
    </w:p>
    <w:p w14:paraId="52B36437" w14:textId="617C6754" w:rsidR="00B421A0" w:rsidRDefault="00075D15" w:rsidP="000A46C4">
      <w:r>
        <w:rPr>
          <w:b/>
          <w:bCs/>
        </w:rPr>
        <w:t>Bakgrund:</w:t>
      </w:r>
      <w:r w:rsidR="000A46C4">
        <w:rPr>
          <w:b/>
          <w:bCs/>
        </w:rPr>
        <w:t xml:space="preserve"> </w:t>
      </w:r>
      <w:r>
        <w:t xml:space="preserve">Förslaget till protokoll mellan EU och Liberia löper på fem år. Den inledande artikeln hänvisar till att tillträdet till fiskeresurser i Liberias vatten endast beviljas utländska flottor i mån av tillgänglighet av ett överskott i enlighet med Artikel 62 i UNCLOS. Vidare anges att protokollet garanterar EU:s flottor prioriterat tillträde till tillgängliga överskott </w:t>
      </w:r>
      <w:r>
        <w:lastRenderedPageBreak/>
        <w:t>framför andra utländska flottor som fiskar på Liberias vatten. Samma artikel anger att samtliga tekniska bevarandeåtgärder som definieras i protokollets bilaga 1 också är tillämpliga på varje annan utländsk industriell flotta som verkar i liberiska vatten på tekniska villkor ”liknande” de som gäller för EU-flottan. Det erinras vidare i protokollet om avtalets exklusivitetsklausul, d.v.s. att EU-flaggade fartyg endast får fiska på Liberias vatten om de innehar en fiskelicens som utfärdats inom ramen för förevarande protokoll.</w:t>
      </w:r>
      <w:r>
        <w:br/>
        <w:t>Den årliga ekonomiska ersättningen är 715 000 euro för det första året, 650 000 euro för det andra, tredje och fjärde året och 585 000 euro för det femte året. Ersättningen avser följande:</w:t>
      </w:r>
      <w:r>
        <w:br/>
        <w:t>a) En referensfångstmängd på 6 500 ton, för vilken ett belopp kopplat till tillträdet på 357 500 euro har fastställts för det första året, 325 000 euro för det andra, tredje och fjärde året och 292 500 euro för det femte året.</w:t>
      </w:r>
      <w:r>
        <w:br/>
        <w:t>b) Ett stöd till utvecklingen av en sektoriell fiskeripolitik i Republiken Liberia på 357 500 för det första året, 325 000 euro för det andra, tredje och fjärde året och 292 500 euro för det femte året. Detta stöd bidrar till uppfyllandet av den nationella fiskeripolitikens mål och uppfyller i synnerhet Republiken Liberias behov av stöd till vetenskaplig forskning och icke-industriellt fiske samt till inspektion, kontroll och övervakning av fisket och för att bekämpa olagligt fiske.</w:t>
      </w:r>
    </w:p>
    <w:p w14:paraId="52B36439" w14:textId="77777777" w:rsidR="00643D86" w:rsidRDefault="00075D15" w:rsidP="00643D86">
      <w:pPr>
        <w:pStyle w:val="Rubrik1"/>
      </w:pPr>
      <w:bookmarkStart w:id="13" w:name="_Toc434998776"/>
      <w:r>
        <w:rPr>
          <w:noProof/>
        </w:rPr>
        <w:t>Proposition de règlement du Conseil établissant, pour 2016, les possibilités de pêche pour certains stocks halieutiques et groupes de stocks halieutiques de la mer Baltique</w:t>
      </w:r>
      <w:bookmarkEnd w:id="13"/>
    </w:p>
    <w:p w14:paraId="474016E3" w14:textId="77777777" w:rsidR="000A46C4" w:rsidRPr="00686001" w:rsidRDefault="00075D15" w:rsidP="00643D86">
      <w:pPr>
        <w:rPr>
          <w:noProof/>
        </w:rPr>
      </w:pPr>
      <w:r w:rsidRPr="00686001">
        <w:rPr>
          <w:noProof/>
        </w:rPr>
        <w:t>Adoption</w:t>
      </w:r>
    </w:p>
    <w:p w14:paraId="52B3643A" w14:textId="3ADB4333" w:rsidR="00643D86" w:rsidRPr="00686001" w:rsidRDefault="00075D15" w:rsidP="00643D86">
      <w:r w:rsidRPr="00686001">
        <w:rPr>
          <w:noProof/>
        </w:rPr>
        <w:t>13404</w:t>
      </w:r>
      <w:r w:rsidRPr="00686001">
        <w:t>/15 PECHE 388 + ADD 1</w:t>
      </w:r>
      <w:r w:rsidR="000A46C4" w:rsidRPr="00686001">
        <w:t xml:space="preserve"> </w:t>
      </w:r>
      <w:r w:rsidRPr="00686001">
        <w:t>13403/15 PECHE 387</w:t>
      </w:r>
    </w:p>
    <w:p w14:paraId="52B3643B" w14:textId="77777777" w:rsidR="00643D86" w:rsidRPr="00D517CC" w:rsidRDefault="00075D15" w:rsidP="00643D86">
      <w:r>
        <w:rPr>
          <w:b/>
        </w:rPr>
        <w:t>Ansvarigt statsråd</w:t>
      </w:r>
      <w:r>
        <w:rPr>
          <w:b/>
        </w:rPr>
        <w:br/>
      </w:r>
      <w:r w:rsidRPr="00D517CC">
        <w:t>Sven Erik Bucht</w:t>
      </w:r>
    </w:p>
    <w:p w14:paraId="52B3643C" w14:textId="77777777" w:rsidR="00643D86" w:rsidRPr="00643D86" w:rsidRDefault="00075D15" w:rsidP="00643D86">
      <w:r w:rsidRPr="00643D86">
        <w:rPr>
          <w:b/>
        </w:rPr>
        <w:t>Tidigare behandling i riksdagen</w:t>
      </w:r>
      <w:r>
        <w:rPr>
          <w:b/>
        </w:rPr>
        <w:br/>
      </w:r>
      <w:r>
        <w:rPr>
          <w:noProof/>
        </w:rPr>
        <w:t>2015-10-15</w:t>
      </w:r>
    </w:p>
    <w:p w14:paraId="52B3643D" w14:textId="77777777" w:rsidR="00643D86" w:rsidRPr="00643D86" w:rsidRDefault="00075D15" w:rsidP="00643D86">
      <w:r w:rsidRPr="00643D86">
        <w:rPr>
          <w:b/>
        </w:rPr>
        <w:t>Tidigare behandling vid rådsmöte</w:t>
      </w:r>
      <w:r>
        <w:rPr>
          <w:b/>
        </w:rPr>
        <w:br/>
      </w:r>
      <w:r>
        <w:rPr>
          <w:noProof/>
        </w:rPr>
        <w:t>2015-10-21</w:t>
      </w:r>
    </w:p>
    <w:p w14:paraId="6DA5EEAE" w14:textId="571BBD4C" w:rsidR="00677F63" w:rsidRPr="00677F63" w:rsidRDefault="00075D15" w:rsidP="00677F63">
      <w:pPr>
        <w:rPr>
          <w:bCs/>
        </w:rPr>
      </w:pPr>
      <w:r w:rsidRPr="00B44CE2">
        <w:rPr>
          <w:b/>
        </w:rPr>
        <w:t>Annotering</w:t>
      </w:r>
      <w:r w:rsidR="00677F63">
        <w:rPr>
          <w:b/>
        </w:rPr>
        <w:br/>
      </w:r>
      <w:r w:rsidR="00677F63" w:rsidRPr="00677F63">
        <w:rPr>
          <w:b/>
          <w:bCs/>
        </w:rPr>
        <w:t>Avsikt med behandlingen i rådet</w:t>
      </w:r>
      <w:r w:rsidR="00677F63" w:rsidRPr="00677F63">
        <w:rPr>
          <w:bCs/>
        </w:rPr>
        <w:t xml:space="preserve">: Den 2 september 2015 presenterade kommissionen ett förslag till förordning när det gäller fastställande av fiskemöjligheter i Östersjön för 2016. Förordningen reglerar i Östersjön arterna torsk, sill, skarpsill, lax och rödspätta. </w:t>
      </w:r>
    </w:p>
    <w:p w14:paraId="6D7C3C08" w14:textId="7B5FB367" w:rsidR="00677F63" w:rsidRPr="00677F63" w:rsidRDefault="00677F63" w:rsidP="00677F63">
      <w:pPr>
        <w:pStyle w:val="Normalwebb"/>
        <w:shd w:val="clear" w:color="auto" w:fill="FFFFFF"/>
        <w:ind w:left="714"/>
        <w:textAlignment w:val="top"/>
        <w:rPr>
          <w:rFonts w:eastAsia="Calibri"/>
          <w:bCs/>
          <w:sz w:val="22"/>
          <w:szCs w:val="22"/>
          <w:lang w:eastAsia="en-US"/>
        </w:rPr>
      </w:pPr>
      <w:r w:rsidRPr="00677F63">
        <w:rPr>
          <w:rFonts w:eastAsia="Calibri"/>
          <w:b/>
          <w:bCs/>
          <w:sz w:val="22"/>
          <w:szCs w:val="22"/>
          <w:lang w:eastAsia="en-US"/>
        </w:rPr>
        <w:t>Hur regeringen ställer sig till den blivande A-punkten:</w:t>
      </w:r>
      <w:r w:rsidRPr="00677F63">
        <w:rPr>
          <w:rFonts w:eastAsia="Calibri"/>
          <w:bCs/>
          <w:sz w:val="22"/>
          <w:szCs w:val="22"/>
          <w:lang w:eastAsia="en-US"/>
        </w:rPr>
        <w:t xml:space="preserve"> Regeringen anser att Sverige bör rösta ja till antagande av förordningen. </w:t>
      </w:r>
    </w:p>
    <w:p w14:paraId="7BF65A1C" w14:textId="4B86626E" w:rsidR="00677F63" w:rsidRPr="00677F63" w:rsidRDefault="00677F63" w:rsidP="00677F63">
      <w:pPr>
        <w:pStyle w:val="Normalwebb"/>
        <w:shd w:val="clear" w:color="auto" w:fill="FFFFFF"/>
        <w:ind w:left="714"/>
        <w:textAlignment w:val="top"/>
        <w:rPr>
          <w:rFonts w:eastAsia="Calibri"/>
          <w:bCs/>
          <w:sz w:val="22"/>
          <w:szCs w:val="22"/>
          <w:lang w:eastAsia="en-US"/>
        </w:rPr>
      </w:pPr>
      <w:r w:rsidRPr="00677F63">
        <w:rPr>
          <w:rFonts w:eastAsia="Calibri"/>
          <w:b/>
          <w:bCs/>
          <w:sz w:val="22"/>
          <w:szCs w:val="22"/>
          <w:lang w:eastAsia="en-US"/>
        </w:rPr>
        <w:t>Bakgrund</w:t>
      </w:r>
      <w:r w:rsidRPr="00677F63">
        <w:rPr>
          <w:rFonts w:eastAsia="Calibri"/>
          <w:bCs/>
          <w:sz w:val="22"/>
          <w:szCs w:val="22"/>
          <w:lang w:eastAsia="en-US"/>
        </w:rPr>
        <w:t xml:space="preserve">: Rådet nådde vid jordbruks- och fiskerådet den 22 oktober 2015 en politisk överenskommelse vad gäller fastställande av TAC- och kvoter i Östersjön för 2016. De svåraste frågorna rörde framförallt storleken på TAC för torsk både i det östra och i det västra torskförvaltningsområdet. Den slutliga kompromissen avseende de båda torskområdena innebar en minskning av fiskemöjligheterna med 20 procent jämfört med innevarande år. Vad gäller torsk kom rådet även överens om förstärkning av vissa kompletterande bevarandeåtgärder såsom förbättrad skydd under lekperioden för torsk i västra Östersjön. Vad gäller lax i Östersjön innebär överenskommelsen en oförändrad TAC, för skarpsill sänkts kvoten med 5,2 procent, för den västliga sillen ökas kvoten med 18 procent, för sill i </w:t>
      </w:r>
      <w:r w:rsidRPr="00677F63">
        <w:rPr>
          <w:rFonts w:eastAsia="Calibri"/>
          <w:bCs/>
          <w:sz w:val="22"/>
          <w:szCs w:val="22"/>
          <w:lang w:eastAsia="en-US"/>
        </w:rPr>
        <w:lastRenderedPageBreak/>
        <w:t xml:space="preserve">Rigabukten sänks kvoten med 10 procent, för sill i centrala Östersjön ökas kvoten med 8,6 procent, för sill i Bottenhavet och Bottenviken sänks kvoten med 24 procent och slutligen ökas kvoten för rödspotta med 18,3 procent. Vidare enades Östersjöländerna kring flera uttalanden, bl.a. ett åtagande att förbättra kunskaps- och dataunderlaget och informationsutbytet Östersjöländerna emellan avseende fritidsfisket på torsk och hur detta fiske regleras på nationell nivå. </w:t>
      </w:r>
    </w:p>
    <w:p w14:paraId="65AE34F4" w14:textId="3F140845" w:rsidR="00D517CC" w:rsidRPr="00D517CC" w:rsidRDefault="00D517CC" w:rsidP="00D517CC">
      <w:pPr>
        <w:pStyle w:val="Rubrik1"/>
        <w:spacing w:line="296" w:lineRule="exact"/>
        <w:ind w:right="102"/>
        <w:rPr>
          <w:noProof/>
        </w:rPr>
      </w:pPr>
      <w:bookmarkStart w:id="14" w:name="_Toc434998777"/>
      <w:r w:rsidRPr="00D517CC">
        <w:rPr>
          <w:noProof/>
        </w:rPr>
        <w:t>Förslag till Europaparlamentets och Rådets förordning om avelstekniska och genealogiska villkor för handel med och import till unionen av avelsdjur och avelsmaterial från dem. Förslag till Europaparlamentets och Rådets direktiv om ändring av direktiv om 89/608/EEG, 90/425/EEG och 91/496/EEG vad gäller hänvisning till avelsteknisk lagstiftning. Förberedelse för trilog.</w:t>
      </w:r>
      <w:bookmarkEnd w:id="14"/>
    </w:p>
    <w:p w14:paraId="67326F39" w14:textId="77777777" w:rsidR="00D517CC" w:rsidRDefault="00D517CC" w:rsidP="00D517CC">
      <w:pPr>
        <w:spacing w:after="0" w:line="296" w:lineRule="exact"/>
        <w:ind w:left="116" w:right="102"/>
        <w:rPr>
          <w:sz w:val="26"/>
          <w:szCs w:val="26"/>
        </w:rPr>
      </w:pPr>
    </w:p>
    <w:p w14:paraId="0369825F" w14:textId="5BE1EA40" w:rsidR="00D517CC" w:rsidRPr="00686001" w:rsidRDefault="00D517CC" w:rsidP="00D517CC">
      <w:pPr>
        <w:spacing w:after="0" w:line="240" w:lineRule="auto"/>
        <w:ind w:left="720" w:right="-20"/>
        <w:rPr>
          <w:bCs/>
          <w:lang w:val="en-US"/>
        </w:rPr>
      </w:pPr>
      <w:r w:rsidRPr="00686001">
        <w:rPr>
          <w:bCs/>
          <w:lang w:val="en-US"/>
        </w:rPr>
        <w:t>13709/15 AGRI 571 VETER 93 AGRILEG 209 ANIMAUX 58 CODEC 1465 + ADD 1 + ADD 2</w:t>
      </w:r>
    </w:p>
    <w:p w14:paraId="01BB26FF" w14:textId="77777777" w:rsidR="00D517CC" w:rsidRPr="00686001" w:rsidRDefault="00D517CC" w:rsidP="00D517CC">
      <w:pPr>
        <w:spacing w:after="0" w:line="240" w:lineRule="auto"/>
        <w:ind w:left="116" w:right="-20"/>
        <w:rPr>
          <w:sz w:val="26"/>
          <w:szCs w:val="26"/>
          <w:lang w:val="en-US"/>
        </w:rPr>
      </w:pPr>
    </w:p>
    <w:p w14:paraId="2615D36C" w14:textId="77777777" w:rsidR="00D517CC" w:rsidRDefault="00D517CC" w:rsidP="00D517CC">
      <w:pPr>
        <w:spacing w:after="0" w:line="240" w:lineRule="auto"/>
        <w:ind w:left="116" w:right="-20" w:firstLine="604"/>
        <w:rPr>
          <w:rFonts w:ascii="OrigGarmnd BT" w:eastAsia="OrigGarmnd BT" w:hAnsi="OrigGarmnd BT" w:cs="OrigGarmnd BT"/>
          <w:b/>
          <w:bCs/>
          <w:spacing w:val="1"/>
          <w:sz w:val="24"/>
          <w:szCs w:val="24"/>
        </w:rPr>
      </w:pPr>
      <w:r w:rsidRPr="00D517CC">
        <w:rPr>
          <w:b/>
          <w:bCs/>
        </w:rPr>
        <w:t>Ansvarigt statsråd</w:t>
      </w:r>
      <w:r>
        <w:rPr>
          <w:rFonts w:ascii="OrigGarmnd BT" w:eastAsia="OrigGarmnd BT" w:hAnsi="OrigGarmnd BT" w:cs="OrigGarmnd BT"/>
          <w:b/>
          <w:bCs/>
          <w:sz w:val="24"/>
          <w:szCs w:val="24"/>
        </w:rPr>
        <w:t>:</w:t>
      </w:r>
      <w:r>
        <w:rPr>
          <w:rFonts w:ascii="OrigGarmnd BT" w:eastAsia="OrigGarmnd BT" w:hAnsi="OrigGarmnd BT" w:cs="OrigGarmnd BT"/>
          <w:b/>
          <w:bCs/>
          <w:spacing w:val="1"/>
          <w:sz w:val="24"/>
          <w:szCs w:val="24"/>
        </w:rPr>
        <w:t xml:space="preserve"> </w:t>
      </w:r>
    </w:p>
    <w:p w14:paraId="03D3A5C2" w14:textId="2E5CA18A" w:rsidR="00D517CC" w:rsidRPr="00D517CC" w:rsidRDefault="00D517CC" w:rsidP="00D517CC">
      <w:pPr>
        <w:spacing w:after="0" w:line="240" w:lineRule="auto"/>
        <w:ind w:left="720" w:right="-20"/>
        <w:rPr>
          <w:bCs/>
        </w:rPr>
      </w:pPr>
      <w:r w:rsidRPr="00D517CC">
        <w:rPr>
          <w:bCs/>
        </w:rPr>
        <w:t>Sven-Erik Bucht</w:t>
      </w:r>
    </w:p>
    <w:p w14:paraId="698AC1E4" w14:textId="77777777" w:rsidR="00D517CC" w:rsidRDefault="00D517CC" w:rsidP="00D517CC">
      <w:pPr>
        <w:spacing w:before="16" w:after="0" w:line="280" w:lineRule="exact"/>
        <w:ind w:left="1318"/>
        <w:rPr>
          <w:sz w:val="28"/>
          <w:szCs w:val="28"/>
        </w:rPr>
      </w:pPr>
    </w:p>
    <w:p w14:paraId="32ADF3AA" w14:textId="77777777" w:rsidR="00D517CC" w:rsidRDefault="00D517CC" w:rsidP="00D517CC">
      <w:pPr>
        <w:spacing w:after="0" w:line="240" w:lineRule="auto"/>
        <w:ind w:left="720" w:right="-20"/>
        <w:rPr>
          <w:rFonts w:ascii="OrigGarmnd BT" w:eastAsia="OrigGarmnd BT" w:hAnsi="OrigGarmnd BT" w:cs="OrigGarmnd BT"/>
          <w:b/>
          <w:bCs/>
          <w:sz w:val="24"/>
          <w:szCs w:val="24"/>
        </w:rPr>
      </w:pPr>
      <w:r w:rsidRPr="00D517CC">
        <w:rPr>
          <w:b/>
          <w:bCs/>
        </w:rPr>
        <w:t>Tidigare behandling i EU-nämnden</w:t>
      </w:r>
      <w:r>
        <w:rPr>
          <w:rFonts w:ascii="OrigGarmnd BT" w:eastAsia="OrigGarmnd BT" w:hAnsi="OrigGarmnd BT" w:cs="OrigGarmnd BT"/>
          <w:b/>
          <w:bCs/>
          <w:sz w:val="24"/>
          <w:szCs w:val="24"/>
        </w:rPr>
        <w:t xml:space="preserve">: </w:t>
      </w:r>
    </w:p>
    <w:p w14:paraId="0B3D446F" w14:textId="56699401" w:rsidR="00D517CC" w:rsidRPr="00D517CC" w:rsidRDefault="00D517CC" w:rsidP="00D517CC">
      <w:pPr>
        <w:spacing w:after="0" w:line="240" w:lineRule="auto"/>
        <w:ind w:left="720" w:right="-20"/>
        <w:rPr>
          <w:bCs/>
        </w:rPr>
      </w:pPr>
      <w:r w:rsidRPr="00D517CC">
        <w:rPr>
          <w:bCs/>
        </w:rPr>
        <w:t>Lägesrapport 2014-12-12</w:t>
      </w:r>
    </w:p>
    <w:p w14:paraId="487704C8" w14:textId="77777777" w:rsidR="00D517CC" w:rsidRDefault="00D517CC" w:rsidP="00D517CC">
      <w:pPr>
        <w:spacing w:before="15" w:after="0" w:line="280" w:lineRule="exact"/>
        <w:ind w:left="1318"/>
        <w:rPr>
          <w:sz w:val="28"/>
          <w:szCs w:val="28"/>
        </w:rPr>
      </w:pPr>
    </w:p>
    <w:p w14:paraId="2B5FBCA3" w14:textId="77777777" w:rsidR="00D517CC" w:rsidRDefault="00D517CC" w:rsidP="00D517CC">
      <w:pPr>
        <w:spacing w:after="0" w:line="240" w:lineRule="auto"/>
        <w:ind w:left="720" w:right="-20"/>
        <w:rPr>
          <w:rFonts w:ascii="OrigGarmnd BT" w:eastAsia="OrigGarmnd BT" w:hAnsi="OrigGarmnd BT" w:cs="OrigGarmnd BT"/>
          <w:b/>
          <w:bCs/>
          <w:spacing w:val="-2"/>
          <w:sz w:val="24"/>
          <w:szCs w:val="24"/>
        </w:rPr>
      </w:pPr>
      <w:r w:rsidRPr="00D517CC">
        <w:rPr>
          <w:b/>
          <w:bCs/>
        </w:rPr>
        <w:t>Tidigare behandling i rådet</w:t>
      </w:r>
      <w:r>
        <w:rPr>
          <w:rFonts w:ascii="OrigGarmnd BT" w:eastAsia="OrigGarmnd BT" w:hAnsi="OrigGarmnd BT" w:cs="OrigGarmnd BT"/>
          <w:b/>
          <w:bCs/>
          <w:sz w:val="24"/>
          <w:szCs w:val="24"/>
        </w:rPr>
        <w:t>:</w:t>
      </w:r>
      <w:r>
        <w:rPr>
          <w:rFonts w:ascii="OrigGarmnd BT" w:eastAsia="OrigGarmnd BT" w:hAnsi="OrigGarmnd BT" w:cs="OrigGarmnd BT"/>
          <w:b/>
          <w:bCs/>
          <w:spacing w:val="-2"/>
          <w:sz w:val="24"/>
          <w:szCs w:val="24"/>
        </w:rPr>
        <w:t xml:space="preserve"> </w:t>
      </w:r>
    </w:p>
    <w:p w14:paraId="18FF37D0" w14:textId="12D47DA1" w:rsidR="00D517CC" w:rsidRPr="00D517CC" w:rsidRDefault="00D517CC" w:rsidP="00D517CC">
      <w:pPr>
        <w:spacing w:after="0" w:line="240" w:lineRule="auto"/>
        <w:ind w:left="720" w:right="-20"/>
        <w:rPr>
          <w:bCs/>
        </w:rPr>
      </w:pPr>
      <w:r w:rsidRPr="00D517CC">
        <w:rPr>
          <w:bCs/>
        </w:rPr>
        <w:t>Lägesrapport 2014-12-15 (Jordbruks- och fiskerådet)</w:t>
      </w:r>
    </w:p>
    <w:p w14:paraId="120CE129" w14:textId="77777777" w:rsidR="00D517CC" w:rsidRPr="00D517CC" w:rsidRDefault="00D517CC" w:rsidP="00D517CC">
      <w:pPr>
        <w:spacing w:before="15" w:after="0" w:line="280" w:lineRule="exact"/>
        <w:ind w:left="1318"/>
        <w:rPr>
          <w:bCs/>
        </w:rPr>
      </w:pPr>
    </w:p>
    <w:p w14:paraId="13269706" w14:textId="77777777" w:rsidR="00D517CC" w:rsidRPr="00D517CC" w:rsidRDefault="00D517CC" w:rsidP="00D517CC">
      <w:pPr>
        <w:spacing w:after="0" w:line="283" w:lineRule="exact"/>
        <w:ind w:left="720" w:right="-20"/>
        <w:rPr>
          <w:b/>
          <w:bCs/>
        </w:rPr>
      </w:pPr>
      <w:r w:rsidRPr="00D517CC">
        <w:rPr>
          <w:b/>
          <w:bCs/>
        </w:rPr>
        <w:t>Annotering:</w:t>
      </w:r>
    </w:p>
    <w:p w14:paraId="2255110F" w14:textId="77777777" w:rsidR="00D517CC" w:rsidRPr="00D517CC" w:rsidRDefault="00D517CC" w:rsidP="00D517CC">
      <w:pPr>
        <w:spacing w:before="16" w:after="0" w:line="240" w:lineRule="auto"/>
        <w:ind w:left="720" w:right="-20"/>
        <w:rPr>
          <w:bCs/>
        </w:rPr>
      </w:pPr>
      <w:r w:rsidRPr="00D517CC">
        <w:rPr>
          <w:b/>
          <w:bCs/>
        </w:rPr>
        <w:t>Avsikt med behandlingen i rådet</w:t>
      </w:r>
      <w:r>
        <w:rPr>
          <w:rFonts w:ascii="OrigGarmnd BT" w:eastAsia="OrigGarmnd BT" w:hAnsi="OrigGarmnd BT" w:cs="OrigGarmnd BT"/>
          <w:b/>
          <w:bCs/>
          <w:sz w:val="24"/>
          <w:szCs w:val="24"/>
        </w:rPr>
        <w:t>:</w:t>
      </w:r>
      <w:r>
        <w:rPr>
          <w:rFonts w:ascii="OrigGarmnd BT" w:eastAsia="OrigGarmnd BT" w:hAnsi="OrigGarmnd BT" w:cs="OrigGarmnd BT"/>
          <w:b/>
          <w:bCs/>
          <w:spacing w:val="3"/>
          <w:sz w:val="24"/>
          <w:szCs w:val="24"/>
        </w:rPr>
        <w:t xml:space="preserve"> </w:t>
      </w:r>
      <w:r w:rsidRPr="00D517CC">
        <w:rPr>
          <w:bCs/>
        </w:rPr>
        <w:t xml:space="preserve">Ordförandeskapet kommer efterfråga mandat från </w:t>
      </w:r>
      <w:proofErr w:type="spellStart"/>
      <w:r w:rsidRPr="00D517CC">
        <w:rPr>
          <w:bCs/>
        </w:rPr>
        <w:t>Coreper</w:t>
      </w:r>
      <w:proofErr w:type="spellEnd"/>
      <w:r w:rsidRPr="00D517CC">
        <w:rPr>
          <w:bCs/>
        </w:rPr>
        <w:t xml:space="preserve"> om att inleda informellt trepartssamtal med Europarlamentet.</w:t>
      </w:r>
    </w:p>
    <w:p w14:paraId="347C42EB" w14:textId="77777777" w:rsidR="00D517CC" w:rsidRDefault="00D517CC" w:rsidP="00D517CC">
      <w:pPr>
        <w:spacing w:before="16" w:after="0" w:line="240" w:lineRule="auto"/>
        <w:ind w:left="720" w:right="-20"/>
        <w:rPr>
          <w:sz w:val="28"/>
          <w:szCs w:val="28"/>
        </w:rPr>
      </w:pPr>
    </w:p>
    <w:p w14:paraId="1E1FFC60" w14:textId="77777777" w:rsidR="00D517CC" w:rsidRPr="00D517CC" w:rsidRDefault="00D517CC" w:rsidP="00D517CC">
      <w:pPr>
        <w:spacing w:after="0" w:line="296" w:lineRule="exact"/>
        <w:ind w:left="720" w:right="143"/>
        <w:rPr>
          <w:bCs/>
        </w:rPr>
      </w:pPr>
      <w:r w:rsidRPr="00D517CC">
        <w:rPr>
          <w:b/>
          <w:bCs/>
        </w:rPr>
        <w:t>Hur regeringen ställer sig till den blivande A-punkten:</w:t>
      </w:r>
      <w:r>
        <w:rPr>
          <w:rFonts w:ascii="OrigGarmnd BT" w:eastAsia="OrigGarmnd BT" w:hAnsi="OrigGarmnd BT" w:cs="OrigGarmnd BT"/>
          <w:b/>
          <w:bCs/>
          <w:spacing w:val="-1"/>
          <w:sz w:val="24"/>
          <w:szCs w:val="24"/>
        </w:rPr>
        <w:t xml:space="preserve"> </w:t>
      </w:r>
      <w:r w:rsidRPr="00D517CC">
        <w:rPr>
          <w:bCs/>
        </w:rPr>
        <w:t xml:space="preserve">Sverige kan stödja att ordförandeskapet får mandat att inleda informella trepartssamtal med Europaparlamentet.  </w:t>
      </w:r>
    </w:p>
    <w:p w14:paraId="4C21C1E5" w14:textId="77777777" w:rsidR="00D517CC" w:rsidRDefault="00D517CC" w:rsidP="00D517CC">
      <w:pPr>
        <w:spacing w:after="0" w:line="296" w:lineRule="exact"/>
        <w:ind w:left="720" w:right="143"/>
        <w:rPr>
          <w:sz w:val="28"/>
          <w:szCs w:val="28"/>
        </w:rPr>
      </w:pPr>
    </w:p>
    <w:p w14:paraId="461851EC" w14:textId="77777777" w:rsidR="00D517CC" w:rsidRPr="00D517CC" w:rsidRDefault="00D517CC" w:rsidP="00D517CC">
      <w:pPr>
        <w:ind w:left="746"/>
        <w:rPr>
          <w:bCs/>
        </w:rPr>
      </w:pPr>
      <w:r w:rsidRPr="00D517CC">
        <w:rPr>
          <w:b/>
          <w:bCs/>
        </w:rPr>
        <w:t>Bakgrund:</w:t>
      </w:r>
      <w:r>
        <w:rPr>
          <w:rFonts w:ascii="OrigGarmnd BT" w:eastAsia="OrigGarmnd BT" w:hAnsi="OrigGarmnd BT" w:cs="OrigGarmnd BT"/>
          <w:b/>
          <w:bCs/>
          <w:spacing w:val="-1"/>
          <w:sz w:val="24"/>
          <w:szCs w:val="24"/>
        </w:rPr>
        <w:t xml:space="preserve"> </w:t>
      </w:r>
      <w:r w:rsidRPr="00D517CC">
        <w:rPr>
          <w:bCs/>
        </w:rPr>
        <w:t xml:space="preserve">Den 11 februari 2014 presenterade </w:t>
      </w:r>
      <w:proofErr w:type="spellStart"/>
      <w:r w:rsidRPr="00D517CC">
        <w:rPr>
          <w:bCs/>
        </w:rPr>
        <w:t>Kommissonen</w:t>
      </w:r>
      <w:proofErr w:type="spellEnd"/>
      <w:r w:rsidRPr="00D517CC">
        <w:rPr>
          <w:bCs/>
        </w:rPr>
        <w:t xml:space="preserve"> ett förslag till rådsförordning på det </w:t>
      </w:r>
      <w:proofErr w:type="spellStart"/>
      <w:r w:rsidRPr="00D517CC">
        <w:rPr>
          <w:bCs/>
        </w:rPr>
        <w:t>zootekniska</w:t>
      </w:r>
      <w:proofErr w:type="spellEnd"/>
      <w:r w:rsidRPr="00D517CC">
        <w:rPr>
          <w:bCs/>
        </w:rPr>
        <w:t xml:space="preserve"> området som ska ersätta befintlig lagstiftning på detta område. Detta för att se till att unionsbestämmelserna om djuravel tillämpas enhetligt och för att undvika hinder till följd av skillnader i det nationella införlivandet av direktiv. Sverige har fått gehör för sina synpunkter under förhandlingarna, som har varit väldigt tekniska till sin karaktär. Det råder stor enighet bland medlemsländerna, vilka samtliga har lämnat sitt stöd till ordförandeskapets nuvarande förslag. </w:t>
      </w:r>
    </w:p>
    <w:p w14:paraId="2E0B9B82" w14:textId="77777777" w:rsidR="00D517CC" w:rsidRPr="00D517CC" w:rsidRDefault="00D517CC" w:rsidP="00D517CC">
      <w:pPr>
        <w:spacing w:after="0" w:line="296" w:lineRule="exact"/>
        <w:ind w:left="720" w:right="275"/>
        <w:rPr>
          <w:bCs/>
        </w:rPr>
      </w:pPr>
      <w:r w:rsidRPr="00D517CC">
        <w:rPr>
          <w:bCs/>
        </w:rPr>
        <w:t>Europaparlamentets förslag är i hög grad i linje med de förslag som kommit fram under arbetet i rådsarbetsgruppen.</w:t>
      </w:r>
    </w:p>
    <w:p w14:paraId="52B36441" w14:textId="77777777" w:rsidR="00B421A0" w:rsidRDefault="00B421A0">
      <w:pPr>
        <w:spacing w:after="280" w:afterAutospacing="1"/>
      </w:pPr>
    </w:p>
    <w:p w14:paraId="52B36442" w14:textId="5E67E626" w:rsidR="00D517CC" w:rsidRPr="00D517CC" w:rsidRDefault="00D517CC">
      <w:pPr>
        <w:ind w:left="0"/>
        <w:rPr>
          <w:b/>
          <w:bCs/>
        </w:rPr>
      </w:pPr>
      <w:r w:rsidRPr="00D517CC">
        <w:rPr>
          <w:b/>
          <w:bCs/>
        </w:rPr>
        <w:br w:type="page"/>
      </w:r>
    </w:p>
    <w:p w14:paraId="05609C6C" w14:textId="6E550D53" w:rsidR="00D517CC" w:rsidRPr="00136216" w:rsidRDefault="00136216" w:rsidP="003B0975">
      <w:pPr>
        <w:pStyle w:val="RKnormal"/>
        <w:ind w:left="720"/>
        <w:rPr>
          <w:rFonts w:ascii="Arial" w:hAnsi="Arial" w:cs="Arial"/>
          <w:b/>
          <w:sz w:val="28"/>
        </w:rPr>
      </w:pPr>
      <w:r>
        <w:rPr>
          <w:rFonts w:ascii="Arial" w:hAnsi="Arial" w:cs="Arial"/>
          <w:b/>
          <w:sz w:val="28"/>
        </w:rPr>
        <w:lastRenderedPageBreak/>
        <w:t>Färdigförhandlad II frå</w:t>
      </w:r>
      <w:r w:rsidR="00D517CC" w:rsidRPr="00136216">
        <w:rPr>
          <w:rFonts w:ascii="Arial" w:hAnsi="Arial" w:cs="Arial"/>
          <w:b/>
          <w:sz w:val="28"/>
        </w:rPr>
        <w:t xml:space="preserve">n möte </w:t>
      </w:r>
      <w:r>
        <w:rPr>
          <w:rFonts w:ascii="Arial" w:hAnsi="Arial" w:cs="Arial"/>
          <w:b/>
          <w:sz w:val="28"/>
        </w:rPr>
        <w:t xml:space="preserve">i </w:t>
      </w:r>
      <w:proofErr w:type="spellStart"/>
      <w:r>
        <w:rPr>
          <w:rFonts w:ascii="Arial" w:hAnsi="Arial" w:cs="Arial"/>
          <w:b/>
          <w:sz w:val="28"/>
        </w:rPr>
        <w:t>Coreper</w:t>
      </w:r>
      <w:proofErr w:type="spellEnd"/>
      <w:r>
        <w:rPr>
          <w:rFonts w:ascii="Arial" w:hAnsi="Arial" w:cs="Arial"/>
          <w:b/>
          <w:sz w:val="28"/>
        </w:rPr>
        <w:t xml:space="preserve"> I den </w:t>
      </w:r>
      <w:r w:rsidR="00D517CC" w:rsidRPr="00136216">
        <w:rPr>
          <w:rFonts w:ascii="Arial" w:hAnsi="Arial" w:cs="Arial"/>
          <w:b/>
          <w:sz w:val="28"/>
        </w:rPr>
        <w:t>11 nov</w:t>
      </w:r>
      <w:r>
        <w:rPr>
          <w:rFonts w:ascii="Arial" w:hAnsi="Arial" w:cs="Arial"/>
          <w:b/>
          <w:sz w:val="28"/>
        </w:rPr>
        <w:t>ember 2015 som kan tas som a-punkt vid kommande rådsmöte.</w:t>
      </w:r>
    </w:p>
    <w:p w14:paraId="665D83EB" w14:textId="77777777" w:rsidR="00D517CC" w:rsidRDefault="00D517CC" w:rsidP="003B0975">
      <w:pPr>
        <w:pStyle w:val="RKnormal"/>
        <w:ind w:left="720"/>
      </w:pPr>
    </w:p>
    <w:p w14:paraId="3DBEB72B" w14:textId="72E8501E" w:rsidR="00D517CC" w:rsidRPr="00136216" w:rsidRDefault="00D517CC" w:rsidP="00136216">
      <w:pPr>
        <w:pStyle w:val="Rubrik1"/>
        <w:rPr>
          <w:noProof/>
        </w:rPr>
      </w:pPr>
      <w:bookmarkStart w:id="15" w:name="_Toc434998778"/>
      <w:r w:rsidRPr="00136216">
        <w:rPr>
          <w:noProof/>
        </w:rPr>
        <w:t>Projet de règlement du Parlement européen et du Conseil relatif aux nouveaux aliments, modifiant le règlement (EU) n° 1169/2011 du Parlement européen et du Conseil et abrogeant le règlement (CE) n° 258/97 du Parlement européen et du Conseil et le règlement (CE) n°1852/2001 de la Commission (première lecture) (délibération législative)</w:t>
      </w:r>
      <w:r w:rsidR="00136216">
        <w:rPr>
          <w:noProof/>
        </w:rPr>
        <w:t xml:space="preserve"> </w:t>
      </w:r>
      <w:r w:rsidRPr="00136216">
        <w:rPr>
          <w:noProof/>
        </w:rPr>
        <w:t>Préparation en vue de l'adoption de l'acte législatif</w:t>
      </w:r>
      <w:bookmarkEnd w:id="15"/>
    </w:p>
    <w:p w14:paraId="5885CC14" w14:textId="77777777" w:rsidR="00D517CC" w:rsidRPr="0003027C" w:rsidRDefault="00D517CC" w:rsidP="003B0975">
      <w:pPr>
        <w:pStyle w:val="RKnormal"/>
        <w:ind w:left="720"/>
      </w:pPr>
    </w:p>
    <w:p w14:paraId="490D8352" w14:textId="07584918" w:rsidR="00D517CC" w:rsidRPr="00686001" w:rsidRDefault="00D517CC" w:rsidP="003B0975">
      <w:pPr>
        <w:pStyle w:val="RKnormal"/>
        <w:ind w:left="720"/>
        <w:rPr>
          <w:b/>
          <w:bCs/>
          <w:lang w:val="en-US"/>
        </w:rPr>
      </w:pPr>
      <w:r w:rsidRPr="00136216">
        <w:rPr>
          <w:rFonts w:ascii="Times New Roman" w:eastAsia="Calibri" w:hAnsi="Times New Roman"/>
          <w:noProof/>
          <w:sz w:val="22"/>
          <w:szCs w:val="22"/>
          <w:lang w:val="en-US"/>
        </w:rPr>
        <w:t>13638/15 DENLEG 139 AGRI 563 CODEC 1454 PE-CONS 38/15 DENLEG 90 AGRI 362 CODEC 956</w:t>
      </w:r>
    </w:p>
    <w:p w14:paraId="2673CB1D" w14:textId="77777777" w:rsidR="00D517CC" w:rsidRPr="00686001" w:rsidRDefault="00D517CC" w:rsidP="003B0975">
      <w:pPr>
        <w:pStyle w:val="RKnormal"/>
        <w:ind w:left="2138"/>
        <w:rPr>
          <w:lang w:val="en-US"/>
        </w:rPr>
      </w:pPr>
    </w:p>
    <w:p w14:paraId="4343E7B5" w14:textId="77777777" w:rsidR="00D517CC" w:rsidRPr="00136216" w:rsidRDefault="00D517CC" w:rsidP="00136216">
      <w:pPr>
        <w:rPr>
          <w:noProof/>
          <w:lang w:val="en-US"/>
        </w:rPr>
      </w:pPr>
      <w:r w:rsidRPr="00136216">
        <w:rPr>
          <w:b/>
          <w:noProof/>
          <w:lang w:val="en-US"/>
        </w:rPr>
        <w:t>Ansvarigt statsråd:</w:t>
      </w:r>
      <w:r w:rsidRPr="00136216">
        <w:rPr>
          <w:noProof/>
          <w:lang w:val="en-US"/>
        </w:rPr>
        <w:t xml:space="preserve"> Sven-Erik Bucht</w:t>
      </w:r>
    </w:p>
    <w:p w14:paraId="3485955B" w14:textId="77777777" w:rsidR="00D517CC" w:rsidRPr="00686001" w:rsidRDefault="00D517CC" w:rsidP="003B0975">
      <w:pPr>
        <w:pStyle w:val="RKnormal"/>
        <w:ind w:left="720"/>
        <w:rPr>
          <w:rFonts w:ascii="Times New Roman" w:eastAsia="Calibri" w:hAnsi="Times New Roman"/>
          <w:noProof/>
          <w:sz w:val="22"/>
          <w:szCs w:val="22"/>
        </w:rPr>
      </w:pPr>
      <w:r w:rsidRPr="00686001">
        <w:rPr>
          <w:rFonts w:ascii="Times New Roman" w:eastAsia="Calibri" w:hAnsi="Times New Roman"/>
          <w:b/>
          <w:noProof/>
          <w:sz w:val="22"/>
          <w:szCs w:val="22"/>
        </w:rPr>
        <w:t>Tidigare behandling i riksdagen</w:t>
      </w:r>
      <w:r w:rsidRPr="00686001">
        <w:rPr>
          <w:rFonts w:ascii="Times New Roman" w:eastAsia="Calibri" w:hAnsi="Times New Roman"/>
          <w:noProof/>
          <w:sz w:val="22"/>
          <w:szCs w:val="22"/>
        </w:rPr>
        <w:t>: Frågan var föremål för särskild överläggning i Miljö- och Jordbruksutskottet 2014-03-20.</w:t>
      </w:r>
    </w:p>
    <w:p w14:paraId="556073CE" w14:textId="77777777" w:rsidR="00811981" w:rsidRPr="00686001" w:rsidRDefault="00811981" w:rsidP="003B0975">
      <w:pPr>
        <w:pStyle w:val="RKnormal"/>
        <w:ind w:left="720"/>
        <w:rPr>
          <w:rFonts w:ascii="Times New Roman" w:eastAsia="Calibri" w:hAnsi="Times New Roman"/>
          <w:b/>
          <w:noProof/>
          <w:sz w:val="22"/>
          <w:szCs w:val="22"/>
        </w:rPr>
      </w:pPr>
    </w:p>
    <w:p w14:paraId="03BF8853" w14:textId="70477A47" w:rsidR="00D517CC" w:rsidRPr="00686001" w:rsidRDefault="00811981" w:rsidP="003B0975">
      <w:pPr>
        <w:pStyle w:val="RKnormal"/>
        <w:ind w:left="720"/>
        <w:rPr>
          <w:rFonts w:ascii="Times New Roman" w:eastAsia="Calibri" w:hAnsi="Times New Roman"/>
          <w:b/>
          <w:noProof/>
          <w:sz w:val="22"/>
          <w:szCs w:val="22"/>
        </w:rPr>
      </w:pPr>
      <w:r w:rsidRPr="00686001">
        <w:rPr>
          <w:rFonts w:ascii="Times New Roman" w:eastAsia="Calibri" w:hAnsi="Times New Roman"/>
          <w:b/>
          <w:noProof/>
          <w:sz w:val="22"/>
          <w:szCs w:val="22"/>
        </w:rPr>
        <w:t>Annotering</w:t>
      </w:r>
    </w:p>
    <w:p w14:paraId="12FA273A" w14:textId="77777777" w:rsidR="00D517CC" w:rsidRPr="00686001" w:rsidRDefault="00D517CC" w:rsidP="003B0975">
      <w:pPr>
        <w:pStyle w:val="RKnormal"/>
        <w:ind w:left="720"/>
        <w:rPr>
          <w:rFonts w:ascii="Times New Roman" w:eastAsia="Calibri" w:hAnsi="Times New Roman"/>
          <w:noProof/>
          <w:sz w:val="22"/>
          <w:szCs w:val="22"/>
        </w:rPr>
      </w:pPr>
      <w:r w:rsidRPr="00686001">
        <w:rPr>
          <w:rFonts w:ascii="Times New Roman" w:eastAsia="Calibri" w:hAnsi="Times New Roman"/>
          <w:b/>
          <w:noProof/>
          <w:sz w:val="22"/>
          <w:szCs w:val="22"/>
        </w:rPr>
        <w:t>Avsikt med behandlingen i rådet</w:t>
      </w:r>
      <w:r w:rsidRPr="00686001">
        <w:rPr>
          <w:rFonts w:ascii="Times New Roman" w:eastAsia="Calibri" w:hAnsi="Times New Roman"/>
          <w:noProof/>
          <w:sz w:val="22"/>
          <w:szCs w:val="22"/>
        </w:rPr>
        <w:t>: Rådet föreslås anta den slutliga överenskommelsen mellan rådet och Europaparlamentet vad gäller förslaget till ny förordning om nya livsmedel.</w:t>
      </w:r>
    </w:p>
    <w:p w14:paraId="21BF916C" w14:textId="77777777" w:rsidR="00D517CC" w:rsidRPr="00686001" w:rsidRDefault="00D517CC" w:rsidP="003B0975">
      <w:pPr>
        <w:pStyle w:val="RKnormal"/>
        <w:ind w:left="720"/>
        <w:rPr>
          <w:rFonts w:ascii="Times New Roman" w:eastAsia="Calibri" w:hAnsi="Times New Roman"/>
          <w:noProof/>
          <w:sz w:val="22"/>
          <w:szCs w:val="22"/>
        </w:rPr>
      </w:pPr>
    </w:p>
    <w:p w14:paraId="5C8AF510" w14:textId="49EC2074" w:rsidR="00D517CC" w:rsidRPr="00686001" w:rsidRDefault="00D517CC" w:rsidP="003B0975">
      <w:pPr>
        <w:pStyle w:val="RKnormal"/>
        <w:ind w:left="720"/>
        <w:rPr>
          <w:rFonts w:ascii="Times New Roman" w:eastAsia="Calibri" w:hAnsi="Times New Roman"/>
          <w:noProof/>
          <w:sz w:val="22"/>
          <w:szCs w:val="22"/>
        </w:rPr>
      </w:pPr>
      <w:r w:rsidRPr="00686001">
        <w:rPr>
          <w:rFonts w:ascii="Times New Roman" w:eastAsia="Calibri" w:hAnsi="Times New Roman"/>
          <w:b/>
          <w:noProof/>
          <w:sz w:val="22"/>
          <w:szCs w:val="22"/>
        </w:rPr>
        <w:t>Hur regeringen ställer sig till den blivande A-punkten:</w:t>
      </w:r>
      <w:r w:rsidRPr="00686001">
        <w:rPr>
          <w:rFonts w:ascii="Times New Roman" w:eastAsia="Calibri" w:hAnsi="Times New Roman"/>
          <w:noProof/>
          <w:sz w:val="22"/>
          <w:szCs w:val="22"/>
        </w:rPr>
        <w:t xml:space="preserve"> Regeringen kan ställa sig bakom den slutliga överenskommelsen.</w:t>
      </w:r>
    </w:p>
    <w:p w14:paraId="4C35E056" w14:textId="1D2A74E4" w:rsidR="003B0975" w:rsidRPr="00686001" w:rsidRDefault="003B0975" w:rsidP="003B0975">
      <w:pPr>
        <w:pStyle w:val="RKnormal"/>
        <w:ind w:left="720"/>
        <w:rPr>
          <w:rFonts w:ascii="Times New Roman" w:eastAsia="Calibri" w:hAnsi="Times New Roman"/>
          <w:noProof/>
          <w:sz w:val="22"/>
          <w:szCs w:val="22"/>
        </w:rPr>
      </w:pPr>
    </w:p>
    <w:p w14:paraId="76944A2C" w14:textId="77777777" w:rsidR="00686001" w:rsidRDefault="00D517CC" w:rsidP="00686001">
      <w:pPr>
        <w:pStyle w:val="RKnormal"/>
      </w:pPr>
      <w:r w:rsidRPr="00686001">
        <w:rPr>
          <w:b/>
          <w:noProof/>
        </w:rPr>
        <w:t>Bakgrund</w:t>
      </w:r>
      <w:r w:rsidRPr="00686001">
        <w:rPr>
          <w:noProof/>
        </w:rPr>
        <w:t xml:space="preserve">: Förslaget om nya livsmedel presenterades i december 2013. Förhandlingen med EP har varit svår, inte minst rörande kloning av djur, nanomaterial och delegerade eller genomförandeakter vid upprättandet av förteckningen av godkända nya livsmedel. Den 28 oktober 2015 antog EP sin ståndpunkt som i princip överensstämde med den text som rådet enats om vid Coreper den 10 juni 2015. En skillnad är att EP har ändrat i rådets förslag till en skälsats som beskriver under vilka omständigheter som kommissionen får genomförandebefogenheter vid uppdaterandet av unionslistan av godkända livsmedel från tredje land. EP har istället antagit KOM:s ursprungsförslag för denna skälsats. Sverige har inte haft några synpunkter på denna skrivning under förhandlingen. Antar rådet den slutliga överenskommelsen blir det en förstaläsningsöverenskommelse som innebär att ett centraliserat godkännandeförfarande ska genomföras, vilket kommer att innebära större säkerhet för de som söker godkännande för nya livsmedel samt att </w:t>
      </w:r>
      <w:r w:rsidR="00686001" w:rsidRPr="00686001">
        <w:t>förfarandet både blir förenklat och förkortat, framförallt för sökanden från tredje land.</w:t>
      </w:r>
    </w:p>
    <w:p w14:paraId="654BBFC3" w14:textId="2D7B846E" w:rsidR="00FB32B9" w:rsidRPr="00686001" w:rsidRDefault="00686001" w:rsidP="00D517CC">
      <w:pPr>
        <w:spacing w:after="280" w:afterAutospacing="1"/>
        <w:rPr>
          <w:noProof/>
        </w:rPr>
      </w:pPr>
      <w:bookmarkStart w:id="16" w:name="_GoBack"/>
      <w:bookmarkEnd w:id="16"/>
    </w:p>
    <w:bookmarkEnd w:id="0"/>
    <w:p w14:paraId="52B36443" w14:textId="3E3C0721" w:rsidR="005206D0" w:rsidRPr="00686001" w:rsidRDefault="005206D0" w:rsidP="00643D86">
      <w:pPr>
        <w:ind w:left="0"/>
        <w:rPr>
          <w:noProof/>
        </w:rPr>
      </w:pPr>
    </w:p>
    <w:p w14:paraId="1FEA4273" w14:textId="7903F7DC" w:rsidR="005206D0" w:rsidRPr="00686001" w:rsidRDefault="005206D0" w:rsidP="005206D0"/>
    <w:p w14:paraId="2848BB11" w14:textId="093D56AB" w:rsidR="005206D0" w:rsidRPr="00686001" w:rsidRDefault="005206D0">
      <w:pPr>
        <w:ind w:left="0"/>
      </w:pPr>
      <w:r w:rsidRPr="00686001">
        <w:br w:type="page"/>
      </w:r>
    </w:p>
    <w:p w14:paraId="18AF67CA" w14:textId="3F38A161" w:rsidR="005206D0" w:rsidRPr="005206D0" w:rsidRDefault="005206D0" w:rsidP="005206D0">
      <w:pPr>
        <w:pStyle w:val="RKnormal"/>
        <w:ind w:left="714"/>
        <w:rPr>
          <w:rFonts w:ascii="Arial" w:hAnsi="Arial" w:cs="Arial"/>
          <w:b/>
          <w:sz w:val="28"/>
        </w:rPr>
      </w:pPr>
      <w:r w:rsidRPr="005206D0">
        <w:rPr>
          <w:rFonts w:ascii="Arial" w:hAnsi="Arial" w:cs="Arial"/>
          <w:b/>
          <w:sz w:val="28"/>
        </w:rPr>
        <w:lastRenderedPageBreak/>
        <w:t>Trolig A-punkt inför kommande rådsmöten som godkändes vid SJK måndagen den 9 november 2015, vecka 46</w:t>
      </w:r>
    </w:p>
    <w:p w14:paraId="1C2D7C10" w14:textId="77777777" w:rsidR="005206D0" w:rsidRPr="005206D0" w:rsidRDefault="005206D0" w:rsidP="005206D0">
      <w:pPr>
        <w:pStyle w:val="RKnormal"/>
        <w:ind w:left="714"/>
        <w:rPr>
          <w:rFonts w:ascii="Arial" w:hAnsi="Arial" w:cs="Arial"/>
          <w:b/>
          <w:sz w:val="28"/>
        </w:rPr>
      </w:pPr>
    </w:p>
    <w:p w14:paraId="6CEDD514" w14:textId="6751DE9A" w:rsidR="005206D0" w:rsidRPr="005206D0" w:rsidRDefault="005206D0" w:rsidP="00811981">
      <w:pPr>
        <w:pStyle w:val="Rubrik1"/>
        <w:rPr>
          <w:noProof/>
        </w:rPr>
      </w:pPr>
      <w:bookmarkStart w:id="17" w:name="_Toc434998779"/>
      <w:r w:rsidRPr="005206D0">
        <w:rPr>
          <w:noProof/>
        </w:rPr>
        <w:t>Europarlamentets och rådets förordning (EU) 2015/… om upphävande av rådets direktiv 76/621/EEG om högsta tillåtna halt av erukasyra i oljor och fetter och rådets förordning (EG) nr 320/2006 om inrättande av en tillfällig ordning för omstrukturering av sockerindustrin.</w:t>
      </w:r>
      <w:bookmarkEnd w:id="17"/>
      <w:r w:rsidRPr="005206D0">
        <w:rPr>
          <w:noProof/>
        </w:rPr>
        <w:t xml:space="preserve"> </w:t>
      </w:r>
    </w:p>
    <w:p w14:paraId="7B1459B9" w14:textId="77777777" w:rsidR="005206D0" w:rsidRPr="0003027C" w:rsidRDefault="005206D0" w:rsidP="005206D0">
      <w:pPr>
        <w:pStyle w:val="RKnormal"/>
        <w:ind w:left="714"/>
      </w:pPr>
    </w:p>
    <w:p w14:paraId="56C2F8FB" w14:textId="2410D780" w:rsidR="005206D0" w:rsidRPr="0003027C" w:rsidRDefault="005206D0" w:rsidP="005206D0">
      <w:pPr>
        <w:pStyle w:val="RKnormal"/>
        <w:ind w:left="714"/>
        <w:rPr>
          <w:b/>
          <w:bCs/>
        </w:rPr>
      </w:pPr>
      <w:r w:rsidRPr="00D65AC6">
        <w:t>CODEC 1239 AGRI 545 AGRIORG 79 AGRIFIN 92</w:t>
      </w:r>
    </w:p>
    <w:p w14:paraId="10D688E2" w14:textId="77777777" w:rsidR="005206D0" w:rsidRPr="0003027C" w:rsidRDefault="005206D0" w:rsidP="005206D0">
      <w:pPr>
        <w:pStyle w:val="RKnormal"/>
        <w:ind w:left="2132"/>
      </w:pPr>
    </w:p>
    <w:p w14:paraId="114DF576" w14:textId="77777777" w:rsidR="005206D0" w:rsidRPr="0003027C" w:rsidRDefault="005206D0" w:rsidP="00811981">
      <w:r w:rsidRPr="00811981">
        <w:rPr>
          <w:b/>
          <w:noProof/>
        </w:rPr>
        <w:t>Ansvarigt statsråd</w:t>
      </w:r>
      <w:r w:rsidRPr="0003027C">
        <w:t xml:space="preserve">: </w:t>
      </w:r>
      <w:r>
        <w:t>Sven-Erik Bucht</w:t>
      </w:r>
    </w:p>
    <w:p w14:paraId="5FA75F34" w14:textId="77777777" w:rsidR="005206D0" w:rsidRPr="005206D0" w:rsidRDefault="005206D0" w:rsidP="005206D0">
      <w:pPr>
        <w:pStyle w:val="RKnormal"/>
        <w:ind w:left="714"/>
        <w:rPr>
          <w:rFonts w:ascii="Times New Roman" w:eastAsia="Calibri" w:hAnsi="Times New Roman"/>
          <w:bCs/>
          <w:noProof/>
          <w:sz w:val="22"/>
          <w:szCs w:val="28"/>
        </w:rPr>
      </w:pPr>
      <w:r w:rsidRPr="005206D0">
        <w:rPr>
          <w:rFonts w:ascii="Times New Roman" w:eastAsia="Calibri" w:hAnsi="Times New Roman"/>
          <w:b/>
          <w:bCs/>
          <w:noProof/>
          <w:sz w:val="22"/>
          <w:szCs w:val="28"/>
        </w:rPr>
        <w:t>Avsikt med behandlingen i rådet</w:t>
      </w:r>
      <w:r w:rsidRPr="0003027C">
        <w:rPr>
          <w:b/>
        </w:rPr>
        <w:t>:</w:t>
      </w:r>
      <w:r>
        <w:rPr>
          <w:b/>
        </w:rPr>
        <w:t xml:space="preserve"> </w:t>
      </w:r>
      <w:r w:rsidRPr="005206D0">
        <w:rPr>
          <w:rFonts w:ascii="Times New Roman" w:eastAsia="Calibri" w:hAnsi="Times New Roman"/>
          <w:bCs/>
          <w:noProof/>
          <w:sz w:val="22"/>
          <w:szCs w:val="28"/>
        </w:rPr>
        <w:t>Rådet föreslås anta rubricerad förordning.</w:t>
      </w:r>
    </w:p>
    <w:p w14:paraId="32FC2BC7" w14:textId="77777777" w:rsidR="005206D0" w:rsidRPr="005206D0" w:rsidRDefault="005206D0" w:rsidP="005206D0">
      <w:pPr>
        <w:pStyle w:val="RKnormal"/>
        <w:ind w:left="714"/>
      </w:pPr>
    </w:p>
    <w:p w14:paraId="158423CC" w14:textId="11C740E2" w:rsidR="005206D0" w:rsidRPr="00865CF4" w:rsidRDefault="005206D0" w:rsidP="005206D0">
      <w:pPr>
        <w:pStyle w:val="RKnormal"/>
        <w:ind w:left="714"/>
      </w:pPr>
      <w:r w:rsidRPr="005206D0">
        <w:rPr>
          <w:rFonts w:ascii="Times New Roman" w:eastAsia="Calibri" w:hAnsi="Times New Roman"/>
          <w:b/>
          <w:bCs/>
          <w:noProof/>
          <w:sz w:val="22"/>
          <w:szCs w:val="28"/>
        </w:rPr>
        <w:t>Hur regeringen ställer sig till den blivande A-punkten:</w:t>
      </w:r>
      <w:r>
        <w:rPr>
          <w:rFonts w:ascii="Times New Roman" w:eastAsia="Calibri" w:hAnsi="Times New Roman"/>
          <w:b/>
          <w:bCs/>
          <w:noProof/>
          <w:sz w:val="22"/>
          <w:szCs w:val="28"/>
        </w:rPr>
        <w:t xml:space="preserve"> </w:t>
      </w:r>
      <w:r>
        <w:t>Regeringen avser att rösta ja till att rådet antar förordningen.</w:t>
      </w:r>
    </w:p>
    <w:p w14:paraId="095E0535" w14:textId="77777777" w:rsidR="005206D0" w:rsidRPr="005206D0" w:rsidRDefault="005206D0" w:rsidP="005206D0">
      <w:pPr>
        <w:pStyle w:val="RKnormal"/>
        <w:ind w:left="714"/>
        <w:rPr>
          <w:rFonts w:ascii="Times New Roman" w:eastAsia="Calibri" w:hAnsi="Times New Roman"/>
          <w:b/>
          <w:bCs/>
          <w:noProof/>
          <w:sz w:val="22"/>
          <w:szCs w:val="28"/>
        </w:rPr>
      </w:pPr>
    </w:p>
    <w:p w14:paraId="76FA694A" w14:textId="77777777" w:rsidR="005206D0" w:rsidRPr="0003027C" w:rsidRDefault="005206D0" w:rsidP="005206D0">
      <w:pPr>
        <w:pStyle w:val="RKnormal"/>
        <w:ind w:left="714"/>
      </w:pPr>
      <w:r w:rsidRPr="005206D0">
        <w:rPr>
          <w:rFonts w:ascii="Times New Roman" w:eastAsia="Calibri" w:hAnsi="Times New Roman"/>
          <w:b/>
          <w:bCs/>
          <w:noProof/>
          <w:sz w:val="22"/>
          <w:szCs w:val="28"/>
        </w:rPr>
        <w:t>Bakgrund:</w:t>
      </w:r>
      <w:r w:rsidRPr="003B0046">
        <w:t xml:space="preserve"> </w:t>
      </w:r>
      <w:r>
        <w:t xml:space="preserve">Kommissionen har lagt fram ett förslag till förordning som upphäver rådets direktiv om högsta tillåtna halt av </w:t>
      </w:r>
      <w:proofErr w:type="spellStart"/>
      <w:r>
        <w:t>eurkasyra</w:t>
      </w:r>
      <w:proofErr w:type="spellEnd"/>
      <w:r>
        <w:t xml:space="preserve"> i oljor och fetter och som upphäver rådets förordning om inrättande av en tillfällig ordning för omstrukturering av sockerindustrin eftersom båda dessa rättsakter är obsoleta. </w:t>
      </w:r>
      <w:r w:rsidRPr="003B0046">
        <w:t xml:space="preserve">Innehållet i direktivet om högsta tillåtna halt av </w:t>
      </w:r>
      <w:proofErr w:type="spellStart"/>
      <w:r w:rsidRPr="003B0046">
        <w:t>erukasyra</w:t>
      </w:r>
      <w:proofErr w:type="spellEnd"/>
      <w:r w:rsidRPr="003B0046">
        <w:t xml:space="preserve"> har överförts till kommissionens förordning </w:t>
      </w:r>
      <w:r>
        <w:t xml:space="preserve">(EG) nr </w:t>
      </w:r>
      <w:r w:rsidRPr="003B0046">
        <w:t>1881/2006. Den tillfälliga ordningen för omstrukturering i sockersektorn gällde endast under regleringsåret 2009/2010</w:t>
      </w:r>
      <w:r>
        <w:t>, i</w:t>
      </w:r>
      <w:r w:rsidRPr="003B0046">
        <w:t xml:space="preserve"> övrigt ingår regleringarna om socker i </w:t>
      </w:r>
      <w:r>
        <w:t xml:space="preserve">Europaparlamentets och rådets </w:t>
      </w:r>
      <w:r w:rsidRPr="003B0046">
        <w:t xml:space="preserve">förordning </w:t>
      </w:r>
      <w:r>
        <w:t xml:space="preserve">(EU) nr </w:t>
      </w:r>
      <w:r w:rsidRPr="003B0046">
        <w:t>1308/2013.</w:t>
      </w:r>
      <w:r>
        <w:t xml:space="preserve"> Kommissionen anför att för att säkerställa säkerhet och klarhet i rättsligt avseende bör dessa rättsakter upphävas. </w:t>
      </w:r>
    </w:p>
    <w:p w14:paraId="7FA62E12" w14:textId="77777777" w:rsidR="005206D0" w:rsidRPr="0003027C" w:rsidRDefault="005206D0" w:rsidP="005206D0">
      <w:pPr>
        <w:pStyle w:val="Brdtext"/>
        <w:spacing w:line="300" w:lineRule="exact"/>
        <w:outlineLvl w:val="0"/>
        <w:rPr>
          <w:b/>
        </w:rPr>
      </w:pPr>
    </w:p>
    <w:p w14:paraId="11328948" w14:textId="77777777" w:rsidR="00643D86" w:rsidRPr="00686001" w:rsidRDefault="00686001" w:rsidP="005206D0"/>
    <w:sectPr w:rsidR="00643D86" w:rsidRPr="00686001"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36455" w14:textId="77777777" w:rsidR="00E5745C" w:rsidRDefault="00075D15">
      <w:pPr>
        <w:spacing w:after="0" w:line="240" w:lineRule="auto"/>
      </w:pPr>
      <w:r>
        <w:separator/>
      </w:r>
    </w:p>
  </w:endnote>
  <w:endnote w:type="continuationSeparator" w:id="0">
    <w:p w14:paraId="52B36457" w14:textId="77777777" w:rsidR="00E5745C" w:rsidRDefault="00075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Times New Roman"/>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36451" w14:textId="77777777" w:rsidR="00E5745C" w:rsidRDefault="00075D15">
      <w:pPr>
        <w:spacing w:after="0" w:line="240" w:lineRule="auto"/>
      </w:pPr>
      <w:r>
        <w:separator/>
      </w:r>
    </w:p>
  </w:footnote>
  <w:footnote w:type="continuationSeparator" w:id="0">
    <w:p w14:paraId="52B36453" w14:textId="77777777" w:rsidR="00E5745C" w:rsidRDefault="00075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531800"/>
      <w:docPartObj>
        <w:docPartGallery w:val="Page Numbers (Top of Page)"/>
        <w:docPartUnique/>
      </w:docPartObj>
    </w:sdtPr>
    <w:sdtEndPr/>
    <w:sdtContent>
      <w:p w14:paraId="4496A802" w14:textId="4E160B66" w:rsidR="000A46C4" w:rsidRDefault="000A46C4">
        <w:pPr>
          <w:pStyle w:val="Sidhuvud"/>
          <w:jc w:val="right"/>
        </w:pPr>
        <w:r>
          <w:fldChar w:fldCharType="begin"/>
        </w:r>
        <w:r>
          <w:instrText>PAGE   \* MERGEFORMAT</w:instrText>
        </w:r>
        <w:r>
          <w:fldChar w:fldCharType="separate"/>
        </w:r>
        <w:r w:rsidR="00686001">
          <w:rPr>
            <w:noProof/>
          </w:rPr>
          <w:t>12</w:t>
        </w:r>
        <w:r>
          <w:fldChar w:fldCharType="end"/>
        </w:r>
      </w:p>
    </w:sdtContent>
  </w:sdt>
  <w:p w14:paraId="52B36445" w14:textId="77777777" w:rsidR="006F1C0D" w:rsidRDefault="00686001"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536"/>
      <w:gridCol w:w="4536"/>
    </w:tblGrid>
    <w:tr w:rsidR="00B421A0" w14:paraId="52B3644B" w14:textId="77777777" w:rsidTr="006E71D7">
      <w:tc>
        <w:tcPr>
          <w:tcW w:w="4606" w:type="dxa"/>
        </w:tcPr>
        <w:p w14:paraId="52B36446" w14:textId="77777777" w:rsidR="006E71D7" w:rsidRDefault="00075D15" w:rsidP="00752770">
          <w:pPr>
            <w:pStyle w:val="Sidhuvud"/>
            <w:ind w:left="0"/>
          </w:pPr>
          <w:r>
            <w:rPr>
              <w:noProof/>
              <w:lang w:eastAsia="sv-SE"/>
            </w:rPr>
            <w:drawing>
              <wp:inline distT="0" distB="0" distL="0" distR="0" wp14:anchorId="52B36451" wp14:editId="52B3645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2B36447" w14:textId="77777777" w:rsidR="00FB32B9" w:rsidRDefault="00686001" w:rsidP="00FB32B9">
          <w:pPr>
            <w:ind w:right="916"/>
            <w:rPr>
              <w:rFonts w:ascii="TradeGothic" w:hAnsi="TradeGothic"/>
              <w:b/>
            </w:rPr>
          </w:pPr>
        </w:p>
        <w:p w14:paraId="52B36448" w14:textId="77777777" w:rsidR="00FB32B9" w:rsidRDefault="00075D15" w:rsidP="00FB32B9">
          <w:pPr>
            <w:ind w:right="916"/>
          </w:pPr>
          <w:r>
            <w:rPr>
              <w:rFonts w:ascii="TradeGothic" w:hAnsi="TradeGothic"/>
              <w:b/>
            </w:rPr>
            <w:t>Promemoria</w:t>
          </w:r>
        </w:p>
        <w:p w14:paraId="52B36449" w14:textId="77777777" w:rsidR="00FB32B9" w:rsidRDefault="00686001" w:rsidP="00FB32B9">
          <w:pPr>
            <w:jc w:val="right"/>
          </w:pPr>
        </w:p>
        <w:p w14:paraId="52B3644A" w14:textId="5281226E" w:rsidR="006E71D7" w:rsidRDefault="00075D15" w:rsidP="00FB32B9">
          <w:pPr>
            <w:ind w:right="916"/>
          </w:pPr>
          <w:r>
            <w:rPr>
              <w:rFonts w:ascii="TradeGothic" w:hAnsi="TradeGothic"/>
              <w:b/>
              <w:noProof/>
            </w:rPr>
            <w:t>2015-11-1</w:t>
          </w:r>
          <w:r w:rsidR="000A46C4">
            <w:rPr>
              <w:rFonts w:ascii="TradeGothic" w:hAnsi="TradeGothic"/>
              <w:b/>
              <w:noProof/>
            </w:rPr>
            <w:t>1</w:t>
          </w:r>
          <w:r w:rsidRPr="00934953">
            <w:t xml:space="preserve"> </w:t>
          </w:r>
        </w:p>
      </w:tc>
    </w:tr>
  </w:tbl>
  <w:p w14:paraId="52B3644C" w14:textId="77777777" w:rsidR="00FB32B9" w:rsidRDefault="00686001" w:rsidP="00FB32B9">
    <w:pPr>
      <w:pStyle w:val="Avsndare"/>
      <w:framePr w:w="0" w:hRule="auto" w:hSpace="0" w:wrap="auto" w:vAnchor="margin" w:hAnchor="text" w:xAlign="left" w:yAlign="inline"/>
      <w:rPr>
        <w:b/>
        <w:i w:val="0"/>
        <w:sz w:val="22"/>
      </w:rPr>
    </w:pPr>
  </w:p>
  <w:p w14:paraId="52B3644D" w14:textId="77777777" w:rsidR="00FB32B9" w:rsidRDefault="00075D15" w:rsidP="00FB32B9">
    <w:pPr>
      <w:pStyle w:val="Avsndare"/>
      <w:framePr w:w="0" w:hRule="auto" w:hSpace="0" w:wrap="auto" w:vAnchor="margin" w:hAnchor="text" w:xAlign="left" w:yAlign="inline"/>
      <w:rPr>
        <w:b/>
        <w:i w:val="0"/>
        <w:sz w:val="22"/>
      </w:rPr>
    </w:pPr>
    <w:r>
      <w:rPr>
        <w:b/>
        <w:i w:val="0"/>
        <w:sz w:val="22"/>
      </w:rPr>
      <w:t>Statsrådsberedningen</w:t>
    </w:r>
  </w:p>
  <w:p w14:paraId="52B3644E" w14:textId="77777777" w:rsidR="00FB32B9" w:rsidRDefault="00686001" w:rsidP="00FB32B9">
    <w:pPr>
      <w:pStyle w:val="Avsndare"/>
      <w:framePr w:w="0" w:hRule="auto" w:hSpace="0" w:wrap="auto" w:vAnchor="margin" w:hAnchor="text" w:xAlign="left" w:yAlign="inline"/>
    </w:pPr>
  </w:p>
  <w:p w14:paraId="52B3644F" w14:textId="77777777" w:rsidR="00FB32B9" w:rsidRDefault="00075D15" w:rsidP="00FB32B9">
    <w:pPr>
      <w:pStyle w:val="Avsndare"/>
      <w:framePr w:w="0" w:hRule="auto" w:hSpace="0" w:wrap="auto" w:vAnchor="margin" w:hAnchor="text" w:xAlign="left" w:yAlign="inline"/>
    </w:pPr>
    <w:r>
      <w:t>EU-kansliet</w:t>
    </w:r>
  </w:p>
  <w:p w14:paraId="52B36450" w14:textId="77777777" w:rsidR="0012376B" w:rsidRDefault="0068600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6347E"/>
    <w:multiLevelType w:val="hybridMultilevel"/>
    <w:tmpl w:val="94589DCC"/>
    <w:lvl w:ilvl="0" w:tplc="B3B6DB7A">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15:restartNumberingAfterBreak="0">
    <w:nsid w:val="6A410AE9"/>
    <w:multiLevelType w:val="hybridMultilevel"/>
    <w:tmpl w:val="5E0C4660"/>
    <w:lvl w:ilvl="0" w:tplc="56C89DA8">
      <w:start w:val="1"/>
      <w:numFmt w:val="decimal"/>
      <w:pStyle w:val="Rubrik1"/>
      <w:lvlText w:val="%1."/>
      <w:lvlJc w:val="left"/>
      <w:pPr>
        <w:ind w:left="720" w:hanging="360"/>
      </w:pPr>
    </w:lvl>
    <w:lvl w:ilvl="1" w:tplc="DD662314" w:tentative="1">
      <w:start w:val="1"/>
      <w:numFmt w:val="lowerLetter"/>
      <w:lvlText w:val="%2."/>
      <w:lvlJc w:val="left"/>
      <w:pPr>
        <w:ind w:left="1440" w:hanging="360"/>
      </w:pPr>
    </w:lvl>
    <w:lvl w:ilvl="2" w:tplc="06403694" w:tentative="1">
      <w:start w:val="1"/>
      <w:numFmt w:val="lowerRoman"/>
      <w:lvlText w:val="%3."/>
      <w:lvlJc w:val="right"/>
      <w:pPr>
        <w:ind w:left="2160" w:hanging="180"/>
      </w:pPr>
    </w:lvl>
    <w:lvl w:ilvl="3" w:tplc="5308C138" w:tentative="1">
      <w:start w:val="1"/>
      <w:numFmt w:val="decimal"/>
      <w:lvlText w:val="%4."/>
      <w:lvlJc w:val="left"/>
      <w:pPr>
        <w:ind w:left="2880" w:hanging="360"/>
      </w:pPr>
    </w:lvl>
    <w:lvl w:ilvl="4" w:tplc="02A613A8" w:tentative="1">
      <w:start w:val="1"/>
      <w:numFmt w:val="lowerLetter"/>
      <w:lvlText w:val="%5."/>
      <w:lvlJc w:val="left"/>
      <w:pPr>
        <w:ind w:left="3600" w:hanging="360"/>
      </w:pPr>
    </w:lvl>
    <w:lvl w:ilvl="5" w:tplc="60B2E82A" w:tentative="1">
      <w:start w:val="1"/>
      <w:numFmt w:val="lowerRoman"/>
      <w:lvlText w:val="%6."/>
      <w:lvlJc w:val="right"/>
      <w:pPr>
        <w:ind w:left="4320" w:hanging="180"/>
      </w:pPr>
    </w:lvl>
    <w:lvl w:ilvl="6" w:tplc="3DBCAF48" w:tentative="1">
      <w:start w:val="1"/>
      <w:numFmt w:val="decimal"/>
      <w:lvlText w:val="%7."/>
      <w:lvlJc w:val="left"/>
      <w:pPr>
        <w:ind w:left="5040" w:hanging="360"/>
      </w:pPr>
    </w:lvl>
    <w:lvl w:ilvl="7" w:tplc="0B7876AA" w:tentative="1">
      <w:start w:val="1"/>
      <w:numFmt w:val="lowerLetter"/>
      <w:lvlText w:val="%8."/>
      <w:lvlJc w:val="left"/>
      <w:pPr>
        <w:ind w:left="5760" w:hanging="360"/>
      </w:pPr>
    </w:lvl>
    <w:lvl w:ilvl="8" w:tplc="EF94B57C" w:tentative="1">
      <w:start w:val="1"/>
      <w:numFmt w:val="lowerRoman"/>
      <w:lvlText w:val="%9."/>
      <w:lvlJc w:val="right"/>
      <w:pPr>
        <w:ind w:left="6480" w:hanging="180"/>
      </w:pPr>
    </w:lvl>
  </w:abstractNum>
  <w:abstractNum w:abstractNumId="2" w15:restartNumberingAfterBreak="0">
    <w:nsid w:val="73990993"/>
    <w:multiLevelType w:val="hybridMultilevel"/>
    <w:tmpl w:val="3BD822EE"/>
    <w:lvl w:ilvl="0" w:tplc="27B487DA">
      <w:start w:val="1"/>
      <w:numFmt w:val="decimal"/>
      <w:lvlText w:val="%1."/>
      <w:lvlJc w:val="left"/>
      <w:pPr>
        <w:ind w:left="360" w:hanging="360"/>
      </w:pPr>
      <w:rPr>
        <w:b w:val="0"/>
      </w:rPr>
    </w:lvl>
    <w:lvl w:ilvl="1" w:tplc="1C94A4CC" w:tentative="1">
      <w:start w:val="1"/>
      <w:numFmt w:val="lowerLetter"/>
      <w:lvlText w:val="%2."/>
      <w:lvlJc w:val="left"/>
      <w:pPr>
        <w:ind w:left="1080" w:hanging="360"/>
      </w:pPr>
    </w:lvl>
    <w:lvl w:ilvl="2" w:tplc="CE94BE16" w:tentative="1">
      <w:start w:val="1"/>
      <w:numFmt w:val="lowerRoman"/>
      <w:lvlText w:val="%3."/>
      <w:lvlJc w:val="right"/>
      <w:pPr>
        <w:ind w:left="1800" w:hanging="180"/>
      </w:pPr>
    </w:lvl>
    <w:lvl w:ilvl="3" w:tplc="FE76A434" w:tentative="1">
      <w:start w:val="1"/>
      <w:numFmt w:val="decimal"/>
      <w:lvlText w:val="%4."/>
      <w:lvlJc w:val="left"/>
      <w:pPr>
        <w:ind w:left="2520" w:hanging="360"/>
      </w:pPr>
    </w:lvl>
    <w:lvl w:ilvl="4" w:tplc="D4B497EE" w:tentative="1">
      <w:start w:val="1"/>
      <w:numFmt w:val="lowerLetter"/>
      <w:lvlText w:val="%5."/>
      <w:lvlJc w:val="left"/>
      <w:pPr>
        <w:ind w:left="3240" w:hanging="360"/>
      </w:pPr>
    </w:lvl>
    <w:lvl w:ilvl="5" w:tplc="10D871E2" w:tentative="1">
      <w:start w:val="1"/>
      <w:numFmt w:val="lowerRoman"/>
      <w:lvlText w:val="%6."/>
      <w:lvlJc w:val="right"/>
      <w:pPr>
        <w:ind w:left="3960" w:hanging="180"/>
      </w:pPr>
    </w:lvl>
    <w:lvl w:ilvl="6" w:tplc="88A6BCE8" w:tentative="1">
      <w:start w:val="1"/>
      <w:numFmt w:val="decimal"/>
      <w:lvlText w:val="%7."/>
      <w:lvlJc w:val="left"/>
      <w:pPr>
        <w:ind w:left="4680" w:hanging="360"/>
      </w:pPr>
    </w:lvl>
    <w:lvl w:ilvl="7" w:tplc="97261F9C" w:tentative="1">
      <w:start w:val="1"/>
      <w:numFmt w:val="lowerLetter"/>
      <w:lvlText w:val="%8."/>
      <w:lvlJc w:val="left"/>
      <w:pPr>
        <w:ind w:left="5400" w:hanging="360"/>
      </w:pPr>
    </w:lvl>
    <w:lvl w:ilvl="8" w:tplc="0E8A3E8A" w:tentative="1">
      <w:start w:val="1"/>
      <w:numFmt w:val="lowerRoman"/>
      <w:lvlText w:val="%9."/>
      <w:lvlJc w:val="right"/>
      <w:pPr>
        <w:ind w:left="6120" w:hanging="180"/>
      </w:pPr>
    </w:lvl>
  </w:abstractNum>
  <w:num w:numId="1">
    <w:abstractNumId w:val="2"/>
  </w:num>
  <w:num w:numId="2">
    <w:abstractNumId w:val="1"/>
  </w:num>
  <w:num w:numId="3">
    <w:abstractNumId w:val="1"/>
  </w:num>
  <w:num w:numId="4">
    <w:abstractNumId w:val="1"/>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A0"/>
    <w:rsid w:val="00075D15"/>
    <w:rsid w:val="000A46C4"/>
    <w:rsid w:val="00136216"/>
    <w:rsid w:val="003B0975"/>
    <w:rsid w:val="005206D0"/>
    <w:rsid w:val="00671FB8"/>
    <w:rsid w:val="00677F63"/>
    <w:rsid w:val="00686001"/>
    <w:rsid w:val="00811981"/>
    <w:rsid w:val="009C6B33"/>
    <w:rsid w:val="00B421A0"/>
    <w:rsid w:val="00BF0720"/>
    <w:rsid w:val="00D517CC"/>
    <w:rsid w:val="00D76206"/>
    <w:rsid w:val="00E5745C"/>
    <w:rsid w:val="00EE3B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63A5"/>
  <w15:docId w15:val="{5F4397DB-2EC3-44B5-A16D-5F7169AE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D517CC"/>
    <w:pPr>
      <w:tabs>
        <w:tab w:val="left" w:pos="2835"/>
      </w:tabs>
      <w:spacing w:after="0" w:line="240" w:lineRule="atLeast"/>
      <w:ind w:left="0"/>
    </w:pPr>
    <w:rPr>
      <w:rFonts w:ascii="OrigGarmnd BT" w:eastAsia="Times New Roman" w:hAnsi="OrigGarmnd BT"/>
      <w:sz w:val="24"/>
      <w:szCs w:val="20"/>
    </w:rPr>
  </w:style>
  <w:style w:type="character" w:styleId="Betoning">
    <w:name w:val="Emphasis"/>
    <w:qFormat/>
    <w:rsid w:val="00D517CC"/>
    <w:rPr>
      <w:i/>
      <w:iCs/>
    </w:rPr>
  </w:style>
  <w:style w:type="paragraph" w:styleId="Liststycke">
    <w:name w:val="List Paragraph"/>
    <w:basedOn w:val="Normal"/>
    <w:uiPriority w:val="34"/>
    <w:qFormat/>
    <w:rsid w:val="00075D15"/>
    <w:pPr>
      <w:ind w:left="720"/>
      <w:contextualSpacing/>
    </w:pPr>
  </w:style>
  <w:style w:type="paragraph" w:styleId="Normalwebb">
    <w:name w:val="Normal (Web)"/>
    <w:basedOn w:val="Normal"/>
    <w:uiPriority w:val="99"/>
    <w:semiHidden/>
    <w:unhideWhenUsed/>
    <w:rsid w:val="00677F63"/>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43785">
      <w:bodyDiv w:val="1"/>
      <w:marLeft w:val="0"/>
      <w:marRight w:val="0"/>
      <w:marTop w:val="0"/>
      <w:marBottom w:val="0"/>
      <w:divBdr>
        <w:top w:val="none" w:sz="0" w:space="0" w:color="auto"/>
        <w:left w:val="none" w:sz="0" w:space="0" w:color="auto"/>
        <w:bottom w:val="none" w:sz="0" w:space="0" w:color="auto"/>
        <w:right w:val="none" w:sz="0" w:space="0" w:color="auto"/>
      </w:divBdr>
      <w:divsChild>
        <w:div w:id="1105226409">
          <w:marLeft w:val="0"/>
          <w:marRight w:val="0"/>
          <w:marTop w:val="0"/>
          <w:marBottom w:val="0"/>
          <w:divBdr>
            <w:top w:val="none" w:sz="0" w:space="0" w:color="auto"/>
            <w:left w:val="none" w:sz="0" w:space="0" w:color="auto"/>
            <w:bottom w:val="none" w:sz="0" w:space="0" w:color="auto"/>
            <w:right w:val="none" w:sz="0" w:space="0" w:color="auto"/>
          </w:divBdr>
          <w:divsChild>
            <w:div w:id="1366447789">
              <w:marLeft w:val="0"/>
              <w:marRight w:val="0"/>
              <w:marTop w:val="0"/>
              <w:marBottom w:val="0"/>
              <w:divBdr>
                <w:top w:val="none" w:sz="0" w:space="0" w:color="auto"/>
                <w:left w:val="none" w:sz="0" w:space="0" w:color="auto"/>
                <w:bottom w:val="none" w:sz="0" w:space="0" w:color="auto"/>
                <w:right w:val="none" w:sz="0" w:space="0" w:color="auto"/>
              </w:divBdr>
              <w:divsChild>
                <w:div w:id="1208951219">
                  <w:marLeft w:val="0"/>
                  <w:marRight w:val="0"/>
                  <w:marTop w:val="0"/>
                  <w:marBottom w:val="0"/>
                  <w:divBdr>
                    <w:top w:val="none" w:sz="0" w:space="0" w:color="auto"/>
                    <w:left w:val="none" w:sz="0" w:space="0" w:color="auto"/>
                    <w:bottom w:val="none" w:sz="0" w:space="0" w:color="auto"/>
                    <w:right w:val="none" w:sz="0" w:space="0" w:color="auto"/>
                  </w:divBdr>
                  <w:divsChild>
                    <w:div w:id="229778153">
                      <w:marLeft w:val="0"/>
                      <w:marRight w:val="0"/>
                      <w:marTop w:val="0"/>
                      <w:marBottom w:val="0"/>
                      <w:divBdr>
                        <w:top w:val="none" w:sz="0" w:space="0" w:color="auto"/>
                        <w:left w:val="none" w:sz="0" w:space="0" w:color="auto"/>
                        <w:bottom w:val="none" w:sz="0" w:space="0" w:color="auto"/>
                        <w:right w:val="none" w:sz="0" w:space="0" w:color="auto"/>
                      </w:divBdr>
                      <w:divsChild>
                        <w:div w:id="1247108773">
                          <w:marLeft w:val="2325"/>
                          <w:marRight w:val="0"/>
                          <w:marTop w:val="0"/>
                          <w:marBottom w:val="0"/>
                          <w:divBdr>
                            <w:top w:val="none" w:sz="0" w:space="0" w:color="auto"/>
                            <w:left w:val="none" w:sz="0" w:space="0" w:color="auto"/>
                            <w:bottom w:val="none" w:sz="0" w:space="0" w:color="auto"/>
                            <w:right w:val="none" w:sz="0" w:space="0" w:color="auto"/>
                          </w:divBdr>
                          <w:divsChild>
                            <w:div w:id="225343618">
                              <w:marLeft w:val="0"/>
                              <w:marRight w:val="0"/>
                              <w:marTop w:val="0"/>
                              <w:marBottom w:val="0"/>
                              <w:divBdr>
                                <w:top w:val="none" w:sz="0" w:space="0" w:color="auto"/>
                                <w:left w:val="none" w:sz="0" w:space="0" w:color="auto"/>
                                <w:bottom w:val="none" w:sz="0" w:space="0" w:color="auto"/>
                                <w:right w:val="none" w:sz="0" w:space="0" w:color="auto"/>
                              </w:divBdr>
                              <w:divsChild>
                                <w:div w:id="234515814">
                                  <w:marLeft w:val="0"/>
                                  <w:marRight w:val="0"/>
                                  <w:marTop w:val="0"/>
                                  <w:marBottom w:val="0"/>
                                  <w:divBdr>
                                    <w:top w:val="none" w:sz="0" w:space="0" w:color="auto"/>
                                    <w:left w:val="none" w:sz="0" w:space="0" w:color="auto"/>
                                    <w:bottom w:val="none" w:sz="0" w:space="0" w:color="auto"/>
                                    <w:right w:val="none" w:sz="0" w:space="0" w:color="auto"/>
                                  </w:divBdr>
                                  <w:divsChild>
                                    <w:div w:id="178201453">
                                      <w:marLeft w:val="0"/>
                                      <w:marRight w:val="0"/>
                                      <w:marTop w:val="0"/>
                                      <w:marBottom w:val="0"/>
                                      <w:divBdr>
                                        <w:top w:val="none" w:sz="0" w:space="0" w:color="auto"/>
                                        <w:left w:val="none" w:sz="0" w:space="0" w:color="auto"/>
                                        <w:bottom w:val="none" w:sz="0" w:space="0" w:color="auto"/>
                                        <w:right w:val="none" w:sz="0" w:space="0" w:color="auto"/>
                                      </w:divBdr>
                                      <w:divsChild>
                                        <w:div w:id="1775174633">
                                          <w:marLeft w:val="480"/>
                                          <w:marRight w:val="0"/>
                                          <w:marTop w:val="0"/>
                                          <w:marBottom w:val="0"/>
                                          <w:divBdr>
                                            <w:top w:val="none" w:sz="0" w:space="0" w:color="auto"/>
                                            <w:left w:val="none" w:sz="0" w:space="0" w:color="auto"/>
                                            <w:bottom w:val="none" w:sz="0" w:space="0" w:color="auto"/>
                                            <w:right w:val="none" w:sz="0" w:space="0" w:color="auto"/>
                                          </w:divBdr>
                                          <w:divsChild>
                                            <w:div w:id="465313960">
                                              <w:marLeft w:val="0"/>
                                              <w:marRight w:val="0"/>
                                              <w:marTop w:val="0"/>
                                              <w:marBottom w:val="0"/>
                                              <w:divBdr>
                                                <w:top w:val="none" w:sz="0" w:space="0" w:color="auto"/>
                                                <w:left w:val="none" w:sz="0" w:space="0" w:color="auto"/>
                                                <w:bottom w:val="none" w:sz="0" w:space="0" w:color="auto"/>
                                                <w:right w:val="none" w:sz="0" w:space="0" w:color="auto"/>
                                              </w:divBdr>
                                              <w:divsChild>
                                                <w:div w:id="613098456">
                                                  <w:marLeft w:val="0"/>
                                                  <w:marRight w:val="0"/>
                                                  <w:marTop w:val="0"/>
                                                  <w:marBottom w:val="0"/>
                                                  <w:divBdr>
                                                    <w:top w:val="none" w:sz="0" w:space="0" w:color="auto"/>
                                                    <w:left w:val="none" w:sz="0" w:space="0" w:color="auto"/>
                                                    <w:bottom w:val="none" w:sz="0" w:space="0" w:color="auto"/>
                                                    <w:right w:val="none" w:sz="0" w:space="0" w:color="auto"/>
                                                  </w:divBdr>
                                                  <w:divsChild>
                                                    <w:div w:id="526529060">
                                                      <w:marLeft w:val="0"/>
                                                      <w:marRight w:val="0"/>
                                                      <w:marTop w:val="0"/>
                                                      <w:marBottom w:val="0"/>
                                                      <w:divBdr>
                                                        <w:top w:val="none" w:sz="0" w:space="0" w:color="auto"/>
                                                        <w:left w:val="none" w:sz="0" w:space="0" w:color="auto"/>
                                                        <w:bottom w:val="none" w:sz="0" w:space="0" w:color="auto"/>
                                                        <w:right w:val="none" w:sz="0" w:space="0" w:color="auto"/>
                                                      </w:divBdr>
                                                      <w:divsChild>
                                                        <w:div w:id="1173646811">
                                                          <w:marLeft w:val="0"/>
                                                          <w:marRight w:val="0"/>
                                                          <w:marTop w:val="0"/>
                                                          <w:marBottom w:val="0"/>
                                                          <w:divBdr>
                                                            <w:top w:val="none" w:sz="0" w:space="0" w:color="auto"/>
                                                            <w:left w:val="none" w:sz="0" w:space="0" w:color="auto"/>
                                                            <w:bottom w:val="none" w:sz="0" w:space="0" w:color="auto"/>
                                                            <w:right w:val="none" w:sz="0" w:space="0" w:color="auto"/>
                                                          </w:divBdr>
                                                          <w:divsChild>
                                                            <w:div w:id="782379977">
                                                              <w:marLeft w:val="0"/>
                                                              <w:marRight w:val="0"/>
                                                              <w:marTop w:val="0"/>
                                                              <w:marBottom w:val="0"/>
                                                              <w:divBdr>
                                                                <w:top w:val="none" w:sz="0" w:space="0" w:color="auto"/>
                                                                <w:left w:val="none" w:sz="0" w:space="0" w:color="auto"/>
                                                                <w:bottom w:val="none" w:sz="0" w:space="0" w:color="auto"/>
                                                                <w:right w:val="none" w:sz="0" w:space="0" w:color="auto"/>
                                                              </w:divBdr>
                                                              <w:divsChild>
                                                                <w:div w:id="498809181">
                                                                  <w:marLeft w:val="0"/>
                                                                  <w:marRight w:val="0"/>
                                                                  <w:marTop w:val="0"/>
                                                                  <w:marBottom w:val="0"/>
                                                                  <w:divBdr>
                                                                    <w:top w:val="none" w:sz="0" w:space="0" w:color="auto"/>
                                                                    <w:left w:val="none" w:sz="0" w:space="0" w:color="auto"/>
                                                                    <w:bottom w:val="none" w:sz="0" w:space="0" w:color="auto"/>
                                                                    <w:right w:val="none" w:sz="0" w:space="0" w:color="auto"/>
                                                                  </w:divBdr>
                                                                  <w:divsChild>
                                                                    <w:div w:id="785270479">
                                                                      <w:marLeft w:val="0"/>
                                                                      <w:marRight w:val="0"/>
                                                                      <w:marTop w:val="96"/>
                                                                      <w:marBottom w:val="0"/>
                                                                      <w:divBdr>
                                                                        <w:top w:val="none" w:sz="0" w:space="0" w:color="auto"/>
                                                                        <w:left w:val="none" w:sz="0" w:space="0" w:color="auto"/>
                                                                        <w:bottom w:val="none" w:sz="0" w:space="0" w:color="auto"/>
                                                                        <w:right w:val="none" w:sz="0" w:space="0" w:color="auto"/>
                                                                      </w:divBdr>
                                                                      <w:divsChild>
                                                                        <w:div w:id="1630820900">
                                                                          <w:marLeft w:val="0"/>
                                                                          <w:marRight w:val="0"/>
                                                                          <w:marTop w:val="72"/>
                                                                          <w:marBottom w:val="0"/>
                                                                          <w:divBdr>
                                                                            <w:top w:val="none" w:sz="0" w:space="0" w:color="auto"/>
                                                                            <w:left w:val="none" w:sz="0" w:space="0" w:color="auto"/>
                                                                            <w:bottom w:val="none" w:sz="0" w:space="0" w:color="auto"/>
                                                                            <w:right w:val="none" w:sz="0" w:space="0" w:color="auto"/>
                                                                          </w:divBdr>
                                                                          <w:divsChild>
                                                                            <w:div w:id="1782140422">
                                                                              <w:marLeft w:val="0"/>
                                                                              <w:marRight w:val="0"/>
                                                                              <w:marTop w:val="0"/>
                                                                              <w:marBottom w:val="0"/>
                                                                              <w:divBdr>
                                                                                <w:top w:val="none" w:sz="0" w:space="0" w:color="auto"/>
                                                                                <w:left w:val="none" w:sz="0" w:space="0" w:color="auto"/>
                                                                                <w:bottom w:val="none" w:sz="0" w:space="0" w:color="auto"/>
                                                                                <w:right w:val="none" w:sz="0" w:space="0" w:color="auto"/>
                                                                              </w:divBdr>
                                                                              <w:divsChild>
                                                                                <w:div w:id="11962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815603">
      <w:bodyDiv w:val="1"/>
      <w:marLeft w:val="0"/>
      <w:marRight w:val="0"/>
      <w:marTop w:val="0"/>
      <w:marBottom w:val="0"/>
      <w:divBdr>
        <w:top w:val="none" w:sz="0" w:space="0" w:color="auto"/>
        <w:left w:val="none" w:sz="0" w:space="0" w:color="auto"/>
        <w:bottom w:val="none" w:sz="0" w:space="0" w:color="auto"/>
        <w:right w:val="none" w:sz="0" w:space="0" w:color="auto"/>
      </w:divBdr>
      <w:divsChild>
        <w:div w:id="513152661">
          <w:marLeft w:val="0"/>
          <w:marRight w:val="0"/>
          <w:marTop w:val="0"/>
          <w:marBottom w:val="0"/>
          <w:divBdr>
            <w:top w:val="none" w:sz="0" w:space="0" w:color="auto"/>
            <w:left w:val="none" w:sz="0" w:space="0" w:color="auto"/>
            <w:bottom w:val="none" w:sz="0" w:space="0" w:color="auto"/>
            <w:right w:val="none" w:sz="0" w:space="0" w:color="auto"/>
          </w:divBdr>
          <w:divsChild>
            <w:div w:id="1212616045">
              <w:marLeft w:val="0"/>
              <w:marRight w:val="0"/>
              <w:marTop w:val="0"/>
              <w:marBottom w:val="0"/>
              <w:divBdr>
                <w:top w:val="none" w:sz="0" w:space="0" w:color="auto"/>
                <w:left w:val="none" w:sz="0" w:space="0" w:color="auto"/>
                <w:bottom w:val="none" w:sz="0" w:space="0" w:color="auto"/>
                <w:right w:val="none" w:sz="0" w:space="0" w:color="auto"/>
              </w:divBdr>
              <w:divsChild>
                <w:div w:id="1050573411">
                  <w:marLeft w:val="0"/>
                  <w:marRight w:val="0"/>
                  <w:marTop w:val="0"/>
                  <w:marBottom w:val="0"/>
                  <w:divBdr>
                    <w:top w:val="none" w:sz="0" w:space="0" w:color="auto"/>
                    <w:left w:val="none" w:sz="0" w:space="0" w:color="auto"/>
                    <w:bottom w:val="none" w:sz="0" w:space="0" w:color="auto"/>
                    <w:right w:val="none" w:sz="0" w:space="0" w:color="auto"/>
                  </w:divBdr>
                  <w:divsChild>
                    <w:div w:id="1654212861">
                      <w:marLeft w:val="0"/>
                      <w:marRight w:val="0"/>
                      <w:marTop w:val="0"/>
                      <w:marBottom w:val="0"/>
                      <w:divBdr>
                        <w:top w:val="none" w:sz="0" w:space="0" w:color="auto"/>
                        <w:left w:val="none" w:sz="0" w:space="0" w:color="auto"/>
                        <w:bottom w:val="none" w:sz="0" w:space="0" w:color="auto"/>
                        <w:right w:val="none" w:sz="0" w:space="0" w:color="auto"/>
                      </w:divBdr>
                      <w:divsChild>
                        <w:div w:id="1164708494">
                          <w:marLeft w:val="2325"/>
                          <w:marRight w:val="0"/>
                          <w:marTop w:val="0"/>
                          <w:marBottom w:val="0"/>
                          <w:divBdr>
                            <w:top w:val="none" w:sz="0" w:space="0" w:color="auto"/>
                            <w:left w:val="none" w:sz="0" w:space="0" w:color="auto"/>
                            <w:bottom w:val="none" w:sz="0" w:space="0" w:color="auto"/>
                            <w:right w:val="none" w:sz="0" w:space="0" w:color="auto"/>
                          </w:divBdr>
                          <w:divsChild>
                            <w:div w:id="1632445417">
                              <w:marLeft w:val="0"/>
                              <w:marRight w:val="0"/>
                              <w:marTop w:val="0"/>
                              <w:marBottom w:val="0"/>
                              <w:divBdr>
                                <w:top w:val="none" w:sz="0" w:space="0" w:color="auto"/>
                                <w:left w:val="none" w:sz="0" w:space="0" w:color="auto"/>
                                <w:bottom w:val="none" w:sz="0" w:space="0" w:color="auto"/>
                                <w:right w:val="none" w:sz="0" w:space="0" w:color="auto"/>
                              </w:divBdr>
                              <w:divsChild>
                                <w:div w:id="365646916">
                                  <w:marLeft w:val="0"/>
                                  <w:marRight w:val="0"/>
                                  <w:marTop w:val="0"/>
                                  <w:marBottom w:val="0"/>
                                  <w:divBdr>
                                    <w:top w:val="none" w:sz="0" w:space="0" w:color="auto"/>
                                    <w:left w:val="none" w:sz="0" w:space="0" w:color="auto"/>
                                    <w:bottom w:val="none" w:sz="0" w:space="0" w:color="auto"/>
                                    <w:right w:val="none" w:sz="0" w:space="0" w:color="auto"/>
                                  </w:divBdr>
                                  <w:divsChild>
                                    <w:div w:id="1396582764">
                                      <w:marLeft w:val="0"/>
                                      <w:marRight w:val="0"/>
                                      <w:marTop w:val="0"/>
                                      <w:marBottom w:val="0"/>
                                      <w:divBdr>
                                        <w:top w:val="none" w:sz="0" w:space="0" w:color="auto"/>
                                        <w:left w:val="none" w:sz="0" w:space="0" w:color="auto"/>
                                        <w:bottom w:val="none" w:sz="0" w:space="0" w:color="auto"/>
                                        <w:right w:val="none" w:sz="0" w:space="0" w:color="auto"/>
                                      </w:divBdr>
                                      <w:divsChild>
                                        <w:div w:id="1951669018">
                                          <w:marLeft w:val="480"/>
                                          <w:marRight w:val="0"/>
                                          <w:marTop w:val="0"/>
                                          <w:marBottom w:val="0"/>
                                          <w:divBdr>
                                            <w:top w:val="none" w:sz="0" w:space="0" w:color="auto"/>
                                            <w:left w:val="none" w:sz="0" w:space="0" w:color="auto"/>
                                            <w:bottom w:val="none" w:sz="0" w:space="0" w:color="auto"/>
                                            <w:right w:val="none" w:sz="0" w:space="0" w:color="auto"/>
                                          </w:divBdr>
                                          <w:divsChild>
                                            <w:div w:id="1202860612">
                                              <w:marLeft w:val="0"/>
                                              <w:marRight w:val="0"/>
                                              <w:marTop w:val="0"/>
                                              <w:marBottom w:val="0"/>
                                              <w:divBdr>
                                                <w:top w:val="none" w:sz="0" w:space="0" w:color="auto"/>
                                                <w:left w:val="none" w:sz="0" w:space="0" w:color="auto"/>
                                                <w:bottom w:val="none" w:sz="0" w:space="0" w:color="auto"/>
                                                <w:right w:val="none" w:sz="0" w:space="0" w:color="auto"/>
                                              </w:divBdr>
                                              <w:divsChild>
                                                <w:div w:id="899097004">
                                                  <w:marLeft w:val="0"/>
                                                  <w:marRight w:val="0"/>
                                                  <w:marTop w:val="0"/>
                                                  <w:marBottom w:val="0"/>
                                                  <w:divBdr>
                                                    <w:top w:val="none" w:sz="0" w:space="0" w:color="auto"/>
                                                    <w:left w:val="none" w:sz="0" w:space="0" w:color="auto"/>
                                                    <w:bottom w:val="none" w:sz="0" w:space="0" w:color="auto"/>
                                                    <w:right w:val="none" w:sz="0" w:space="0" w:color="auto"/>
                                                  </w:divBdr>
                                                  <w:divsChild>
                                                    <w:div w:id="287787848">
                                                      <w:marLeft w:val="0"/>
                                                      <w:marRight w:val="0"/>
                                                      <w:marTop w:val="0"/>
                                                      <w:marBottom w:val="0"/>
                                                      <w:divBdr>
                                                        <w:top w:val="none" w:sz="0" w:space="0" w:color="auto"/>
                                                        <w:left w:val="none" w:sz="0" w:space="0" w:color="auto"/>
                                                        <w:bottom w:val="none" w:sz="0" w:space="0" w:color="auto"/>
                                                        <w:right w:val="none" w:sz="0" w:space="0" w:color="auto"/>
                                                      </w:divBdr>
                                                      <w:divsChild>
                                                        <w:div w:id="1579755223">
                                                          <w:marLeft w:val="0"/>
                                                          <w:marRight w:val="0"/>
                                                          <w:marTop w:val="0"/>
                                                          <w:marBottom w:val="0"/>
                                                          <w:divBdr>
                                                            <w:top w:val="none" w:sz="0" w:space="0" w:color="auto"/>
                                                            <w:left w:val="none" w:sz="0" w:space="0" w:color="auto"/>
                                                            <w:bottom w:val="none" w:sz="0" w:space="0" w:color="auto"/>
                                                            <w:right w:val="none" w:sz="0" w:space="0" w:color="auto"/>
                                                          </w:divBdr>
                                                          <w:divsChild>
                                                            <w:div w:id="119999575">
                                                              <w:marLeft w:val="0"/>
                                                              <w:marRight w:val="0"/>
                                                              <w:marTop w:val="0"/>
                                                              <w:marBottom w:val="0"/>
                                                              <w:divBdr>
                                                                <w:top w:val="none" w:sz="0" w:space="0" w:color="auto"/>
                                                                <w:left w:val="none" w:sz="0" w:space="0" w:color="auto"/>
                                                                <w:bottom w:val="none" w:sz="0" w:space="0" w:color="auto"/>
                                                                <w:right w:val="none" w:sz="0" w:space="0" w:color="auto"/>
                                                              </w:divBdr>
                                                              <w:divsChild>
                                                                <w:div w:id="378821695">
                                                                  <w:marLeft w:val="0"/>
                                                                  <w:marRight w:val="0"/>
                                                                  <w:marTop w:val="0"/>
                                                                  <w:marBottom w:val="0"/>
                                                                  <w:divBdr>
                                                                    <w:top w:val="none" w:sz="0" w:space="0" w:color="auto"/>
                                                                    <w:left w:val="none" w:sz="0" w:space="0" w:color="auto"/>
                                                                    <w:bottom w:val="none" w:sz="0" w:space="0" w:color="auto"/>
                                                                    <w:right w:val="none" w:sz="0" w:space="0" w:color="auto"/>
                                                                  </w:divBdr>
                                                                  <w:divsChild>
                                                                    <w:div w:id="549801229">
                                                                      <w:marLeft w:val="0"/>
                                                                      <w:marRight w:val="0"/>
                                                                      <w:marTop w:val="96"/>
                                                                      <w:marBottom w:val="0"/>
                                                                      <w:divBdr>
                                                                        <w:top w:val="none" w:sz="0" w:space="0" w:color="auto"/>
                                                                        <w:left w:val="none" w:sz="0" w:space="0" w:color="auto"/>
                                                                        <w:bottom w:val="none" w:sz="0" w:space="0" w:color="auto"/>
                                                                        <w:right w:val="none" w:sz="0" w:space="0" w:color="auto"/>
                                                                      </w:divBdr>
                                                                      <w:divsChild>
                                                                        <w:div w:id="879821848">
                                                                          <w:marLeft w:val="0"/>
                                                                          <w:marRight w:val="0"/>
                                                                          <w:marTop w:val="72"/>
                                                                          <w:marBottom w:val="0"/>
                                                                          <w:divBdr>
                                                                            <w:top w:val="none" w:sz="0" w:space="0" w:color="auto"/>
                                                                            <w:left w:val="none" w:sz="0" w:space="0" w:color="auto"/>
                                                                            <w:bottom w:val="none" w:sz="0" w:space="0" w:color="auto"/>
                                                                            <w:right w:val="none" w:sz="0" w:space="0" w:color="auto"/>
                                                                          </w:divBdr>
                                                                          <w:divsChild>
                                                                            <w:div w:id="1549759317">
                                                                              <w:marLeft w:val="0"/>
                                                                              <w:marRight w:val="0"/>
                                                                              <w:marTop w:val="0"/>
                                                                              <w:marBottom w:val="0"/>
                                                                              <w:divBdr>
                                                                                <w:top w:val="none" w:sz="0" w:space="0" w:color="auto"/>
                                                                                <w:left w:val="none" w:sz="0" w:space="0" w:color="auto"/>
                                                                                <w:bottom w:val="none" w:sz="0" w:space="0" w:color="auto"/>
                                                                                <w:right w:val="none" w:sz="0" w:space="0" w:color="auto"/>
                                                                              </w:divBdr>
                                                                              <w:divsChild>
                                                                                <w:div w:id="18879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74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JE6N4JFJXNNF-9-69950</_dlc_DocId>
    <_dlc_DocIdUrl xmlns="8b66ae41-1ec6-402e-b662-35d1932ca064">
      <Url>http://rkdhs-sb/enhet/EUKansli/_layouts/DocIdRedir.aspx?ID=JE6N4JFJXNNF-9-69950</Url>
      <Description>JE6N4JFJXNNF-9-69950</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0E4F1-9999-4D3F-8D33-71D7FC109E29}">
  <ds:schemaRefs>
    <ds:schemaRef ds:uri="http://schemas.microsoft.com/sharepoint/v3/contenttype/forms"/>
  </ds:schemaRefs>
</ds:datastoreItem>
</file>

<file path=customXml/itemProps2.xml><?xml version="1.0" encoding="utf-8"?>
<ds:datastoreItem xmlns:ds="http://schemas.openxmlformats.org/officeDocument/2006/customXml" ds:itemID="{B789FC34-0E2D-4B95-8E25-13CD395E4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80DDE5-4547-473E-828A-8E9B2AC69727}">
  <ds:schemaRefs>
    <ds:schemaRef ds:uri="http://schemas.microsoft.com/sharepoint/events"/>
  </ds:schemaRefs>
</ds:datastoreItem>
</file>

<file path=customXml/itemProps4.xml><?xml version="1.0" encoding="utf-8"?>
<ds:datastoreItem xmlns:ds="http://schemas.openxmlformats.org/officeDocument/2006/customXml" ds:itemID="{2C3E1994-3333-4B87-AFA8-00E4DD1FD961}">
  <ds:schemaRefs>
    <ds:schemaRef ds:uri="http://schemas.microsoft.com/office/2006/metadata/customXsn"/>
  </ds:schemaRefs>
</ds:datastoreItem>
</file>

<file path=customXml/itemProps5.xml><?xml version="1.0" encoding="utf-8"?>
<ds:datastoreItem xmlns:ds="http://schemas.openxmlformats.org/officeDocument/2006/customXml" ds:itemID="{2B788B97-6460-4C25-A1CC-15941F462209}">
  <ds:schemaRefs>
    <ds:schemaRef ds:uri="http://schemas.microsoft.com/sharepoint/v3/contenttype/forms/url"/>
  </ds:schemaRefs>
</ds:datastoreItem>
</file>

<file path=customXml/itemProps6.xml><?xml version="1.0" encoding="utf-8"?>
<ds:datastoreItem xmlns:ds="http://schemas.openxmlformats.org/officeDocument/2006/customXml" ds:itemID="{F7E73F7E-1B1C-4F6C-A36E-A7A1B96ACE3C}">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7.xml><?xml version="1.0" encoding="utf-8"?>
<ds:datastoreItem xmlns:ds="http://schemas.openxmlformats.org/officeDocument/2006/customXml" ds:itemID="{9226009D-6DDB-460F-A9FA-DCC20F269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4467</Words>
  <Characters>26000</Characters>
  <Application>Microsoft Office Word</Application>
  <DocSecurity>0</DocSecurity>
  <Lines>500</Lines>
  <Paragraphs>179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3</cp:revision>
  <dcterms:created xsi:type="dcterms:W3CDTF">2015-11-11T12:29:00Z</dcterms:created>
  <dcterms:modified xsi:type="dcterms:W3CDTF">2015-11-12T09:19:00Z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597f8a05-beef-476d-b637-73c555598a78</vt:lpwstr>
  </property>
</Properties>
</file>