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D33DC8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33DC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D33DC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D33DC8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D33DC8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33DC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D33DC8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D33DC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D33DC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33DC8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33DC8" w:rsidRDefault="00672025" w:rsidP="007242A3">
            <w:pPr>
              <w:framePr w:w="5035" w:h="1644" w:wrap="notBeside" w:vAnchor="page" w:hAnchor="page" w:x="6573" w:y="721"/>
            </w:pPr>
            <w:r w:rsidRPr="00D33DC8">
              <w:t>2010-11-1</w:t>
            </w:r>
            <w:r w:rsidR="00163BC4" w:rsidRPr="00D33DC8">
              <w:t>9</w:t>
            </w:r>
          </w:p>
        </w:tc>
        <w:tc>
          <w:tcPr>
            <w:tcW w:w="2999" w:type="dxa"/>
            <w:gridSpan w:val="2"/>
          </w:tcPr>
          <w:p w:rsidR="006E4E11" w:rsidRPr="00D33DC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33DC8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33DC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D33DC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33DC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33DC8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33DC8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D33DC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33D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33DC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33DC8" w:rsidRDefault="00DE0900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33DC8">
              <w:rPr>
                <w:bCs/>
                <w:iCs/>
              </w:rPr>
              <w:t>Polisenheten</w:t>
            </w:r>
          </w:p>
          <w:p w:rsidR="00DE0900" w:rsidRPr="00D33DC8" w:rsidRDefault="00DE09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33DC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33D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33DC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33D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33DC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33D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33DC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33D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33DC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33D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33DC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33D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D33DC8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D33DC8" w:rsidRDefault="001D63FD" w:rsidP="00DE090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D33DC8">
        <w:t>R</w:t>
      </w:r>
      <w:r w:rsidR="0025666C" w:rsidRPr="00D33DC8">
        <w:t>ådets möte (rättsliga och inrikes frågor)</w:t>
      </w:r>
      <w:r w:rsidR="00DE0900" w:rsidRPr="00D33DC8">
        <w:t xml:space="preserve"> den </w:t>
      </w:r>
      <w:r w:rsidR="0046475D" w:rsidRPr="00D33DC8">
        <w:t xml:space="preserve">2-3 december </w:t>
      </w:r>
      <w:r w:rsidR="00DE0900" w:rsidRPr="00D33DC8">
        <w:t>2010</w:t>
      </w:r>
    </w:p>
    <w:p w:rsidR="001D63FD" w:rsidRPr="00D33DC8" w:rsidRDefault="00DE0900">
      <w:pPr>
        <w:pStyle w:val="RKnormal"/>
      </w:pPr>
      <w:r w:rsidRPr="00D33DC8">
        <w:t>D</w:t>
      </w:r>
      <w:r w:rsidR="004C0753" w:rsidRPr="00D33DC8">
        <w:t>agordningspunkt 12</w:t>
      </w:r>
    </w:p>
    <w:p w:rsidR="00672025" w:rsidRPr="00D33DC8" w:rsidRDefault="00672025" w:rsidP="004C0753">
      <w:pPr>
        <w:pStyle w:val="RKnormal"/>
        <w:rPr>
          <w:rFonts w:ascii="TradeGothic" w:hAnsi="TradeGothic"/>
          <w:b/>
          <w:sz w:val="22"/>
          <w:szCs w:val="22"/>
        </w:rPr>
      </w:pPr>
    </w:p>
    <w:p w:rsidR="004C0753" w:rsidRPr="00D33DC8" w:rsidRDefault="001D63FD" w:rsidP="004C0753">
      <w:pPr>
        <w:pStyle w:val="RKnormal"/>
      </w:pPr>
      <w:r w:rsidRPr="00D33DC8">
        <w:t>Rubrik:</w:t>
      </w:r>
      <w:r w:rsidR="00DE0900" w:rsidRPr="00D33DC8">
        <w:t xml:space="preserve"> </w:t>
      </w:r>
      <w:r w:rsidR="004C0753" w:rsidRPr="00D33DC8">
        <w:rPr>
          <w:color w:val="000000"/>
        </w:rPr>
        <w:t xml:space="preserve"> </w:t>
      </w:r>
      <w:r w:rsidR="004C0753" w:rsidRPr="00D33DC8">
        <w:t>Rådets slutsatser om kampen mot brott begångna av rörliga (kringresande) kriminella grupper</w:t>
      </w:r>
    </w:p>
    <w:p w:rsidR="001D63FD" w:rsidRPr="00D33DC8" w:rsidRDefault="001D63FD">
      <w:pPr>
        <w:pStyle w:val="RKnormal"/>
      </w:pPr>
    </w:p>
    <w:p w:rsidR="00DE0900" w:rsidRPr="00D33DC8" w:rsidRDefault="001D63FD" w:rsidP="00DE0900">
      <w:pPr>
        <w:pStyle w:val="EntRefer"/>
        <w:rPr>
          <w:rFonts w:ascii="OrigGarmnd BT" w:hAnsi="OrigGarmnd BT"/>
          <w:b w:val="0"/>
          <w:lang w:val="sv-SE"/>
        </w:rPr>
      </w:pPr>
      <w:r w:rsidRPr="00D33DC8">
        <w:rPr>
          <w:rFonts w:ascii="OrigGarmnd BT" w:hAnsi="OrigGarmnd BT"/>
          <w:b w:val="0"/>
          <w:sz w:val="22"/>
          <w:szCs w:val="22"/>
          <w:lang w:val="sv-SE"/>
        </w:rPr>
        <w:t>Dokument:</w:t>
      </w:r>
      <w:r w:rsidR="00DE0900" w:rsidRPr="00D33DC8">
        <w:rPr>
          <w:rFonts w:ascii="OrigGarmnd BT" w:hAnsi="OrigGarmnd BT"/>
          <w:b w:val="0"/>
          <w:lang w:val="sv-SE"/>
        </w:rPr>
        <w:t xml:space="preserve"> </w:t>
      </w:r>
      <w:r w:rsidR="004C0753" w:rsidRPr="00D33DC8">
        <w:rPr>
          <w:rFonts w:ascii="OrigGarmnd BT" w:hAnsi="OrigGarmnd BT"/>
          <w:b w:val="0"/>
          <w:lang w:val="sv-SE"/>
        </w:rPr>
        <w:t xml:space="preserve"> 15875/10 GENVAL 19 ENFOPOL 314</w:t>
      </w:r>
      <w:bookmarkStart w:id="1" w:name="CoteRev"/>
      <w:bookmarkStart w:id="2" w:name="CoteSec"/>
      <w:bookmarkEnd w:id="1"/>
      <w:bookmarkEnd w:id="2"/>
      <w:r w:rsidR="00287E99" w:rsidRPr="00D33DC8">
        <w:rPr>
          <w:rFonts w:ascii="OrigGarmnd BT" w:hAnsi="OrigGarmnd BT"/>
          <w:b w:val="0"/>
          <w:lang w:val="sv-SE"/>
        </w:rPr>
        <w:t xml:space="preserve"> (bifogas)</w:t>
      </w:r>
    </w:p>
    <w:p w:rsidR="00DE0900" w:rsidRPr="00D33DC8" w:rsidRDefault="00DE0900" w:rsidP="00DE0900">
      <w:pPr>
        <w:pStyle w:val="EntRefer"/>
        <w:rPr>
          <w:rFonts w:ascii="OrigGarmnd BT" w:hAnsi="OrigGarmnd BT"/>
          <w:b w:val="0"/>
          <w:lang w:val="sv-SE"/>
        </w:rPr>
      </w:pPr>
    </w:p>
    <w:p w:rsidR="00DE0900" w:rsidRPr="00D33DC8" w:rsidRDefault="00672025" w:rsidP="004C0753">
      <w:pPr>
        <w:pStyle w:val="EntRefer"/>
        <w:rPr>
          <w:rFonts w:ascii="OrigGarmnd BT" w:hAnsi="OrigGarmnd BT"/>
          <w:b w:val="0"/>
          <w:lang w:val="sv-SE"/>
        </w:rPr>
      </w:pPr>
      <w:r w:rsidRPr="00D33DC8">
        <w:rPr>
          <w:rFonts w:ascii="OrigGarmnd BT" w:hAnsi="OrigGarmnd BT"/>
          <w:b w:val="0"/>
          <w:lang w:val="sv-SE"/>
        </w:rPr>
        <w:t>Tidigare dokument</w:t>
      </w:r>
      <w:r w:rsidRPr="00D33DC8">
        <w:rPr>
          <w:lang w:val="sv-SE"/>
        </w:rPr>
        <w:t xml:space="preserve">: </w:t>
      </w:r>
      <w:r w:rsidR="004C0753" w:rsidRPr="00D33DC8">
        <w:rPr>
          <w:rFonts w:ascii="OrigGarmnd BT" w:hAnsi="OrigGarmnd BT"/>
          <w:b w:val="0"/>
          <w:lang w:val="sv-SE"/>
        </w:rPr>
        <w:t>14277/1/10 REV 1 GENVAL 12 ENFOPOL 270</w:t>
      </w:r>
    </w:p>
    <w:p w:rsidR="004C0753" w:rsidRPr="00D33DC8" w:rsidRDefault="004C0753">
      <w:pPr>
        <w:pStyle w:val="RKnormal"/>
      </w:pPr>
    </w:p>
    <w:p w:rsidR="00672025" w:rsidRPr="00D33DC8" w:rsidRDefault="001D63FD">
      <w:pPr>
        <w:pStyle w:val="RKnormal"/>
        <w:rPr>
          <w:rFonts w:ascii="TradeGothic" w:hAnsi="TradeGothic"/>
          <w:b/>
          <w:sz w:val="22"/>
          <w:szCs w:val="22"/>
        </w:rPr>
      </w:pPr>
      <w:r w:rsidRPr="00D33DC8">
        <w:rPr>
          <w:rFonts w:ascii="TradeGothic" w:hAnsi="TradeGothic"/>
          <w:b/>
          <w:sz w:val="22"/>
          <w:szCs w:val="22"/>
        </w:rPr>
        <w:t>Tidigare behandlad vid samråd med EU-nämnden:</w:t>
      </w:r>
      <w:r w:rsidR="00672025" w:rsidRPr="00D33DC8">
        <w:rPr>
          <w:rFonts w:ascii="TradeGothic" w:hAnsi="TradeGothic"/>
          <w:b/>
          <w:sz w:val="22"/>
          <w:szCs w:val="22"/>
        </w:rPr>
        <w:t xml:space="preserve"> </w:t>
      </w:r>
    </w:p>
    <w:p w:rsidR="00F34A6F" w:rsidRPr="00D33DC8" w:rsidRDefault="00F34A6F">
      <w:pPr>
        <w:pStyle w:val="RKnormal"/>
        <w:rPr>
          <w:rFonts w:ascii="TradeGothic" w:hAnsi="TradeGothic"/>
          <w:b/>
          <w:sz w:val="22"/>
          <w:szCs w:val="22"/>
        </w:rPr>
      </w:pPr>
    </w:p>
    <w:p w:rsidR="004C0753" w:rsidRPr="00D33DC8" w:rsidRDefault="00672025">
      <w:pPr>
        <w:pStyle w:val="RKnormal"/>
      </w:pPr>
      <w:r w:rsidRPr="00D33DC8">
        <w:t xml:space="preserve">Den </w:t>
      </w:r>
      <w:r w:rsidR="004C0753" w:rsidRPr="00D33DC8">
        <w:t xml:space="preserve">22 juli och 1 oktober 2010 (skriftlig respektive muntlig återrapportering från det informella ministermötet för rättsliga och inrikes frågor </w:t>
      </w:r>
      <w:r w:rsidRPr="00D33DC8">
        <w:t xml:space="preserve">den 14-16 juli 2010 i Bryssel). </w:t>
      </w:r>
    </w:p>
    <w:p w:rsidR="001D63FD" w:rsidRPr="00D33DC8" w:rsidRDefault="001D63FD">
      <w:pPr>
        <w:pStyle w:val="RKrubrik"/>
      </w:pPr>
      <w:r w:rsidRPr="00D33DC8">
        <w:t>Bakgrund (inkl. syftet med behandlingen i rådet)</w:t>
      </w:r>
    </w:p>
    <w:p w:rsidR="001D63FD" w:rsidRPr="00D33DC8" w:rsidRDefault="001D63FD">
      <w:pPr>
        <w:pStyle w:val="RKnormal"/>
      </w:pPr>
    </w:p>
    <w:p w:rsidR="00845834" w:rsidRPr="00D33DC8" w:rsidRDefault="0025666C">
      <w:pPr>
        <w:pStyle w:val="RKnormal"/>
        <w:rPr>
          <w:color w:val="000000"/>
        </w:rPr>
      </w:pPr>
      <w:r w:rsidRPr="00D33DC8">
        <w:t>Vid det i</w:t>
      </w:r>
      <w:r w:rsidR="00672025" w:rsidRPr="00D33DC8">
        <w:t xml:space="preserve">nformella </w:t>
      </w:r>
      <w:r w:rsidRPr="00D33DC8">
        <w:t>ministermötet för rättsliga och inrikes frågor den 14-16</w:t>
      </w:r>
      <w:r w:rsidR="00672025" w:rsidRPr="00D33DC8">
        <w:t xml:space="preserve"> juli i </w:t>
      </w:r>
      <w:r w:rsidRPr="00D33DC8">
        <w:t xml:space="preserve">år i </w:t>
      </w:r>
      <w:r w:rsidR="00672025" w:rsidRPr="00D33DC8">
        <w:t xml:space="preserve">Bryssel diskuterades </w:t>
      </w:r>
      <w:r w:rsidRPr="00D33DC8">
        <w:t>strategin för inre säkerhet i EU</w:t>
      </w:r>
      <w:r w:rsidR="00672025" w:rsidRPr="00D33DC8">
        <w:t xml:space="preserve"> och inom ramen för den var kringr</w:t>
      </w:r>
      <w:r w:rsidR="00163BC4" w:rsidRPr="00D33DC8">
        <w:t>esande grupper en av de frågor</w:t>
      </w:r>
      <w:r w:rsidR="00672025" w:rsidRPr="00D33DC8">
        <w:t xml:space="preserve"> som man fokuserade på. </w:t>
      </w:r>
      <w:r w:rsidR="00672025" w:rsidRPr="00D33DC8">
        <w:rPr>
          <w:color w:val="000000"/>
        </w:rPr>
        <w:t>Vad gällde de kringresande grupperna diskuterade man bland annat behovet av en gemens</w:t>
      </w:r>
      <w:r w:rsidRPr="00D33DC8">
        <w:rPr>
          <w:color w:val="000000"/>
        </w:rPr>
        <w:t>am definition i EU av fenomenet</w:t>
      </w:r>
      <w:r w:rsidR="00672025" w:rsidRPr="00D33DC8">
        <w:rPr>
          <w:color w:val="000000"/>
        </w:rPr>
        <w:t xml:space="preserve"> samt den oroande utvecklingen av brott som utförs av kringresande grupper. </w:t>
      </w:r>
    </w:p>
    <w:p w:rsidR="00672025" w:rsidRPr="00D33DC8" w:rsidRDefault="00672025">
      <w:pPr>
        <w:pStyle w:val="RKnormal"/>
      </w:pPr>
    </w:p>
    <w:p w:rsidR="004C0753" w:rsidRPr="00D33DC8" w:rsidRDefault="00A36DAB" w:rsidP="004C0753">
      <w:pPr>
        <w:pStyle w:val="RKnormal"/>
      </w:pPr>
      <w:r w:rsidRPr="00D33DC8">
        <w:rPr>
          <w:szCs w:val="24"/>
        </w:rPr>
        <w:t xml:space="preserve">Ordförandeskapet har initierat </w:t>
      </w:r>
      <w:r w:rsidR="004C0753" w:rsidRPr="00D33DC8">
        <w:rPr>
          <w:szCs w:val="24"/>
        </w:rPr>
        <w:t xml:space="preserve">ett </w:t>
      </w:r>
      <w:r w:rsidRPr="00D33DC8">
        <w:rPr>
          <w:szCs w:val="24"/>
        </w:rPr>
        <w:t>utkast till rådsslutsatser om kampe</w:t>
      </w:r>
      <w:r w:rsidR="00A8175B" w:rsidRPr="00D33DC8">
        <w:rPr>
          <w:szCs w:val="24"/>
        </w:rPr>
        <w:t>n mot brott som begås av kringresande</w:t>
      </w:r>
      <w:r w:rsidRPr="00D33DC8">
        <w:rPr>
          <w:szCs w:val="24"/>
        </w:rPr>
        <w:t xml:space="preserve"> kriminella grupper.</w:t>
      </w:r>
      <w:r w:rsidR="004C0753" w:rsidRPr="00D33DC8">
        <w:rPr>
          <w:szCs w:val="24"/>
        </w:rPr>
        <w:t xml:space="preserve"> </w:t>
      </w:r>
      <w:r w:rsidR="004C0753" w:rsidRPr="00D33DC8">
        <w:t xml:space="preserve">I rådsslutsatserna uppmanas bl.a. medlemsländerna att stödja polisiära och rättsliga utredningar med en internationell dimension och ägna särskilt intresse åt gränsöverskridande finansiella utredningar, </w:t>
      </w:r>
      <w:r w:rsidR="004C0753" w:rsidRPr="00D33DC8">
        <w:rPr>
          <w:szCs w:val="24"/>
        </w:rPr>
        <w:t xml:space="preserve">att bättre </w:t>
      </w:r>
      <w:r w:rsidR="004C0753" w:rsidRPr="00D33DC8">
        <w:t>utnyttja befintliga europeiska instrument och verktyg för informat</w:t>
      </w:r>
      <w:r w:rsidR="004C0753" w:rsidRPr="00D33DC8">
        <w:lastRenderedPageBreak/>
        <w:t>ionsutbyte samt inrätta ett informellt nätverk av kontaktpunkter för administrativa åtgärder.</w:t>
      </w:r>
    </w:p>
    <w:p w:rsidR="004C0753" w:rsidRPr="00D33DC8" w:rsidRDefault="004C0753" w:rsidP="004C0753">
      <w:pPr>
        <w:pStyle w:val="RKnormal"/>
      </w:pPr>
    </w:p>
    <w:p w:rsidR="004C0753" w:rsidRPr="00D33DC8" w:rsidRDefault="00845834" w:rsidP="004C0753">
      <w:pPr>
        <w:pStyle w:val="RKnormal"/>
      </w:pPr>
      <w:r w:rsidRPr="00D33DC8">
        <w:t>Rådet förväntas vid sitt möte den 2-3 december godkänna förslaget till rådsslutsatser.</w:t>
      </w:r>
    </w:p>
    <w:p w:rsidR="00AD306E" w:rsidRPr="00D33DC8" w:rsidRDefault="00A36DAB" w:rsidP="00AD306E">
      <w:pPr>
        <w:pStyle w:val="RKnormal"/>
        <w:rPr>
          <w:szCs w:val="24"/>
        </w:rPr>
      </w:pPr>
      <w:r w:rsidRPr="00D33DC8">
        <w:rPr>
          <w:szCs w:val="24"/>
        </w:rPr>
        <w:t xml:space="preserve"> </w:t>
      </w:r>
    </w:p>
    <w:p w:rsidR="001D63FD" w:rsidRPr="00D33DC8" w:rsidRDefault="001D63FD">
      <w:pPr>
        <w:pStyle w:val="RKrubrik"/>
      </w:pPr>
      <w:r w:rsidRPr="00D33DC8">
        <w:t>Rättslig grund och beslutsförfarande</w:t>
      </w:r>
    </w:p>
    <w:p w:rsidR="001D63FD" w:rsidRPr="00D33DC8" w:rsidRDefault="00A36DAB">
      <w:pPr>
        <w:pStyle w:val="RKnormal"/>
      </w:pPr>
      <w:r w:rsidRPr="00D33DC8">
        <w:t>-----</w:t>
      </w:r>
    </w:p>
    <w:p w:rsidR="001D63FD" w:rsidRPr="00D33DC8" w:rsidRDefault="001D63FD">
      <w:pPr>
        <w:pStyle w:val="RKrubrik"/>
        <w:rPr>
          <w:i/>
          <w:iCs/>
        </w:rPr>
      </w:pPr>
      <w:r w:rsidRPr="00D33DC8">
        <w:rPr>
          <w:i/>
          <w:iCs/>
        </w:rPr>
        <w:t>Svensk ståndpunkt</w:t>
      </w:r>
    </w:p>
    <w:p w:rsidR="0025666C" w:rsidRPr="00D33DC8" w:rsidRDefault="00163BC4">
      <w:pPr>
        <w:pStyle w:val="RKnormal"/>
      </w:pPr>
      <w:r w:rsidRPr="00D33DC8">
        <w:t>Sverige</w:t>
      </w:r>
      <w:r w:rsidR="00AD306E" w:rsidRPr="00D33DC8">
        <w:t xml:space="preserve"> välkomn</w:t>
      </w:r>
      <w:r w:rsidR="00156F68" w:rsidRPr="00D33DC8">
        <w:t xml:space="preserve">ar ordförandeskapets initiativ och stödjer de förslag som </w:t>
      </w:r>
      <w:r w:rsidR="0025666C" w:rsidRPr="00D33DC8">
        <w:t xml:space="preserve">förs fram i </w:t>
      </w:r>
      <w:r w:rsidR="00156F68" w:rsidRPr="00D33DC8">
        <w:t xml:space="preserve">rådsslutsatserna. </w:t>
      </w:r>
      <w:r w:rsidR="00AD306E" w:rsidRPr="00D33DC8">
        <w:t>Frågorna som är i fokus gäller brott av organiserad na</w:t>
      </w:r>
      <w:r w:rsidR="00156F68" w:rsidRPr="00D33DC8">
        <w:t>tur såsom organiserade bedrägerier</w:t>
      </w:r>
      <w:r w:rsidR="00AD306E" w:rsidRPr="00D33DC8">
        <w:t xml:space="preserve">, skimming, organiserade stölder etc. </w:t>
      </w:r>
      <w:r w:rsidR="00EE7BF9" w:rsidRPr="00D33DC8">
        <w:t xml:space="preserve">Vi stödjer att man på </w:t>
      </w:r>
      <w:r w:rsidR="00AD306E" w:rsidRPr="00D33DC8">
        <w:t xml:space="preserve">EU-nivå vill ta ett samlat grepp kring dessa brott. </w:t>
      </w:r>
    </w:p>
    <w:p w:rsidR="0025666C" w:rsidRPr="00D33DC8" w:rsidRDefault="0025666C">
      <w:pPr>
        <w:pStyle w:val="RKnormal"/>
      </w:pPr>
    </w:p>
    <w:p w:rsidR="0025666C" w:rsidRPr="00D33DC8" w:rsidRDefault="00AD306E">
      <w:pPr>
        <w:pStyle w:val="RKnormal"/>
      </w:pPr>
      <w:r w:rsidRPr="00D33DC8">
        <w:t>Förslaget om att inrätta ett informellt nätverk av kontaktpunkter för administrativa åtgärder är också intressant, inte minst då man mellan länd</w:t>
      </w:r>
      <w:r w:rsidR="00EE7BF9" w:rsidRPr="00D33DC8">
        <w:t xml:space="preserve">erna kan utbyta information om hur man med </w:t>
      </w:r>
      <w:r w:rsidR="00166896" w:rsidRPr="00D33DC8">
        <w:t>administrativa åtgärder kan</w:t>
      </w:r>
      <w:r w:rsidR="00EE7BF9" w:rsidRPr="00D33DC8">
        <w:t xml:space="preserve"> </w:t>
      </w:r>
      <w:r w:rsidR="00166896" w:rsidRPr="00D33DC8">
        <w:t xml:space="preserve">bidra till </w:t>
      </w:r>
      <w:r w:rsidR="00EE7BF9" w:rsidRPr="00D33DC8">
        <w:t xml:space="preserve">att bekämpa dessa brott. </w:t>
      </w:r>
    </w:p>
    <w:p w:rsidR="0025666C" w:rsidRPr="00D33DC8" w:rsidRDefault="0025666C">
      <w:pPr>
        <w:pStyle w:val="RKnormal"/>
      </w:pPr>
    </w:p>
    <w:p w:rsidR="001D63FD" w:rsidRPr="00D33DC8" w:rsidRDefault="00845834">
      <w:pPr>
        <w:pStyle w:val="RKnormal"/>
      </w:pPr>
      <w:r w:rsidRPr="00D33DC8">
        <w:t>Sverige kan godkänna förslaget till rådsslutsatser.</w:t>
      </w:r>
    </w:p>
    <w:p w:rsidR="001D63FD" w:rsidRPr="00D33DC8" w:rsidRDefault="001D63FD">
      <w:pPr>
        <w:pStyle w:val="RKrubrik"/>
      </w:pPr>
      <w:r w:rsidRPr="00D33DC8">
        <w:t>Europaparlamentets inställning</w:t>
      </w:r>
    </w:p>
    <w:p w:rsidR="00A8175B" w:rsidRPr="00D33DC8" w:rsidRDefault="00A8175B" w:rsidP="00A8175B">
      <w:pPr>
        <w:pStyle w:val="RKnormal"/>
      </w:pPr>
      <w:r w:rsidRPr="00D33DC8">
        <w:t>-----</w:t>
      </w:r>
    </w:p>
    <w:p w:rsidR="001D63FD" w:rsidRPr="00D33DC8" w:rsidRDefault="00845834">
      <w:pPr>
        <w:pStyle w:val="RKrubrik"/>
        <w:rPr>
          <w:i/>
          <w:iCs/>
        </w:rPr>
      </w:pPr>
      <w:r w:rsidRPr="00D33DC8">
        <w:t xml:space="preserve"> </w:t>
      </w:r>
      <w:r w:rsidR="001D63FD" w:rsidRPr="00D33DC8">
        <w:rPr>
          <w:i/>
          <w:iCs/>
        </w:rPr>
        <w:t>Förslaget</w:t>
      </w:r>
    </w:p>
    <w:p w:rsidR="004C0753" w:rsidRPr="00D33DC8" w:rsidRDefault="004C0753" w:rsidP="004C0753">
      <w:pPr>
        <w:pStyle w:val="RKnormal"/>
        <w:rPr>
          <w:szCs w:val="24"/>
        </w:rPr>
      </w:pPr>
      <w:r w:rsidRPr="00D33DC8">
        <w:rPr>
          <w:szCs w:val="24"/>
        </w:rPr>
        <w:t xml:space="preserve">Några förslag i rådsslutsatserna som riktar sig till medlemsländerna är: </w:t>
      </w:r>
    </w:p>
    <w:p w:rsidR="004C0753" w:rsidRPr="00D33DC8" w:rsidRDefault="004C0753" w:rsidP="004C0753">
      <w:pPr>
        <w:pStyle w:val="RKnormal"/>
        <w:rPr>
          <w:szCs w:val="24"/>
        </w:rPr>
      </w:pPr>
      <w:r w:rsidRPr="00D33DC8">
        <w:rPr>
          <w:szCs w:val="24"/>
        </w:rPr>
        <w:t xml:space="preserve">- att </w:t>
      </w:r>
      <w:r w:rsidRPr="00D33DC8">
        <w:t>ta fram en administrativ strategi för att ta itu med brottsligheten, som ett komplement till förebyggande arbete samt insatser av polisen och rättsväsendet</w:t>
      </w:r>
      <w:r w:rsidRPr="00D33DC8">
        <w:rPr>
          <w:szCs w:val="24"/>
        </w:rPr>
        <w:t>;</w:t>
      </w:r>
    </w:p>
    <w:p w:rsidR="004C0753" w:rsidRPr="00D33DC8" w:rsidRDefault="004C0753" w:rsidP="004C0753">
      <w:pPr>
        <w:pStyle w:val="RKnormal"/>
      </w:pPr>
      <w:r w:rsidRPr="00D33DC8">
        <w:t>- att ge sitt stöd åt polisiära och rättsliga utredningar med en internationell dimension och ägna särskilt intresse åt gränsöverskridande finansiella utredningar, särskilt när det gäller penningtvätt och hantering av stöldgods;</w:t>
      </w:r>
    </w:p>
    <w:p w:rsidR="004C0753" w:rsidRPr="00D33DC8" w:rsidRDefault="004C0753" w:rsidP="004C0753">
      <w:pPr>
        <w:pStyle w:val="RKnormal"/>
      </w:pPr>
      <w:r w:rsidRPr="00D33DC8">
        <w:rPr>
          <w:szCs w:val="24"/>
        </w:rPr>
        <w:t xml:space="preserve">- att </w:t>
      </w:r>
      <w:r w:rsidRPr="00D33DC8">
        <w:t>utnyttja befintliga europeiska instrument och verktyg för informationsutbyte till fullo på strategisk, taktisk och operativ nivå;</w:t>
      </w:r>
    </w:p>
    <w:p w:rsidR="004C0753" w:rsidRPr="00D33DC8" w:rsidRDefault="004C0753" w:rsidP="004C0753">
      <w:pPr>
        <w:pStyle w:val="RKnormal"/>
      </w:pPr>
      <w:r w:rsidRPr="00D33DC8">
        <w:t>- att förbättra det bilaterala eller multilaterala samarbetet med tredjeländer, bland annat genom att vid behov ingå samförståndsavtal eller fördrag, särskilt i fråga om överföring av domar,</w:t>
      </w:r>
    </w:p>
    <w:p w:rsidR="004C0753" w:rsidRPr="00D33DC8" w:rsidRDefault="004C0753" w:rsidP="004C0753">
      <w:pPr>
        <w:pStyle w:val="RKnormal"/>
        <w:rPr>
          <w:kern w:val="2"/>
        </w:rPr>
      </w:pPr>
      <w:r w:rsidRPr="00D33DC8">
        <w:t xml:space="preserve">- att </w:t>
      </w:r>
      <w:r w:rsidRPr="00D33DC8">
        <w:rPr>
          <w:kern w:val="2"/>
        </w:rPr>
        <w:t>intensifiera insatserna i samarbete med den privata sektorn (offentlig</w:t>
      </w:r>
      <w:r w:rsidR="00156F68" w:rsidRPr="00D33DC8">
        <w:rPr>
          <w:kern w:val="2"/>
        </w:rPr>
        <w:t>t</w:t>
      </w:r>
      <w:r w:rsidRPr="00D33DC8">
        <w:rPr>
          <w:kern w:val="2"/>
        </w:rPr>
        <w:t>-privata partnerskap), icke-statliga organisationer och lokalsamhällen;</w:t>
      </w:r>
    </w:p>
    <w:p w:rsidR="004C0753" w:rsidRPr="00D33DC8" w:rsidRDefault="004C0753" w:rsidP="004C0753">
      <w:pPr>
        <w:pStyle w:val="RKnormal"/>
      </w:pPr>
      <w:r w:rsidRPr="00D33DC8">
        <w:rPr>
          <w:kern w:val="2"/>
        </w:rPr>
        <w:t xml:space="preserve">- att </w:t>
      </w:r>
      <w:r w:rsidRPr="00D33DC8">
        <w:t xml:space="preserve">utarbeta en säkerhetsbild/säkerhetsbeskrivning av fenomenet </w:t>
      </w:r>
      <w:r w:rsidR="00156F68" w:rsidRPr="00D33DC8">
        <w:t xml:space="preserve">kringresande </w:t>
      </w:r>
      <w:r w:rsidRPr="00D33DC8">
        <w:t xml:space="preserve">kriminella grupper som kan ligga till grund för operativa insatser; </w:t>
      </w:r>
    </w:p>
    <w:p w:rsidR="004C0753" w:rsidRPr="00D33DC8" w:rsidRDefault="004C0753" w:rsidP="004C0753">
      <w:pPr>
        <w:pStyle w:val="RKnormal"/>
      </w:pPr>
      <w:r w:rsidRPr="00D33DC8">
        <w:t xml:space="preserve">- att vid behov inrätta gemensamma utredningsgrupper; </w:t>
      </w:r>
    </w:p>
    <w:p w:rsidR="004C0753" w:rsidRPr="00D33DC8" w:rsidRDefault="004C0753" w:rsidP="004C0753">
      <w:pPr>
        <w:pStyle w:val="RKnormal"/>
      </w:pPr>
      <w:r w:rsidRPr="00D33DC8">
        <w:t>- stimulera till och inrätta ett informellt nätverk av kontaktpunkter för administrativa åtgärder, samt utse minst en kontaktpunkt för detta.</w:t>
      </w:r>
    </w:p>
    <w:p w:rsidR="004C0753" w:rsidRPr="00D33DC8" w:rsidRDefault="004C0753" w:rsidP="004C0753">
      <w:pPr>
        <w:pStyle w:val="RKnormal"/>
      </w:pPr>
    </w:p>
    <w:p w:rsidR="004C0753" w:rsidRPr="00D33DC8" w:rsidRDefault="004C0753" w:rsidP="004C0753">
      <w:pPr>
        <w:pStyle w:val="RKnormal"/>
        <w:rPr>
          <w:bCs/>
          <w:kern w:val="1"/>
        </w:rPr>
      </w:pPr>
      <w:r w:rsidRPr="00D33DC8">
        <w:t xml:space="preserve">Rådsslutsatserna riktar sig även till Europol och kommissionen. Europol uppmanas att </w:t>
      </w:r>
      <w:r w:rsidRPr="00D33DC8">
        <w:rPr>
          <w:kern w:val="1"/>
        </w:rPr>
        <w:t>utarbeta en läg</w:t>
      </w:r>
      <w:r w:rsidR="00156F68" w:rsidRPr="00D33DC8">
        <w:rPr>
          <w:kern w:val="1"/>
        </w:rPr>
        <w:t>esrapport om fenomenet</w:t>
      </w:r>
      <w:r w:rsidRPr="00D33DC8">
        <w:rPr>
          <w:kern w:val="1"/>
        </w:rPr>
        <w:t xml:space="preserve">, </w:t>
      </w:r>
      <w:r w:rsidRPr="00D33DC8">
        <w:t>anordna ett högnivåmöte om egendomsbrott</w:t>
      </w:r>
      <w:r w:rsidR="00156F68" w:rsidRPr="00D33DC8">
        <w:t xml:space="preserve"> </w:t>
      </w:r>
      <w:r w:rsidRPr="00D33DC8">
        <w:t xml:space="preserve">samt </w:t>
      </w:r>
      <w:r w:rsidRPr="00D33DC8">
        <w:rPr>
          <w:kern w:val="2"/>
        </w:rPr>
        <w:t xml:space="preserve">bidra till ett initiativ under ledning av medlemsstaterna om utarbetande och spridning av en europeisk operativ handbok om egendomsbrott. Kommissionen uppmanas även </w:t>
      </w:r>
      <w:r w:rsidRPr="00D33DC8">
        <w:t>föreslå ytterligare åtgärder inom ramen för meddelandet om en europeisk strategi för finansiella utredningar samt fina</w:t>
      </w:r>
      <w:r w:rsidR="00156F68" w:rsidRPr="00D33DC8">
        <w:t xml:space="preserve">nsiell analys och brottsanalys </w:t>
      </w:r>
      <w:r w:rsidRPr="00D33DC8">
        <w:t xml:space="preserve">och att undersöka </w:t>
      </w:r>
      <w:r w:rsidRPr="00D33DC8">
        <w:rPr>
          <w:bCs/>
          <w:kern w:val="1"/>
        </w:rPr>
        <w:t xml:space="preserve">möjligheterna att inrätta en fond för inre säkerhet för att främja genomförandet av </w:t>
      </w:r>
      <w:r w:rsidR="0025666C" w:rsidRPr="00D33DC8">
        <w:rPr>
          <w:bCs/>
          <w:kern w:val="1"/>
        </w:rPr>
        <w:t xml:space="preserve">en </w:t>
      </w:r>
      <w:r w:rsidRPr="00D33DC8">
        <w:rPr>
          <w:bCs/>
          <w:kern w:val="1"/>
        </w:rPr>
        <w:t>strategi för inre säkerhet i E</w:t>
      </w:r>
      <w:r w:rsidR="00163BC4" w:rsidRPr="00D33DC8">
        <w:rPr>
          <w:bCs/>
          <w:kern w:val="1"/>
        </w:rPr>
        <w:t>U</w:t>
      </w:r>
      <w:r w:rsidRPr="00D33DC8">
        <w:rPr>
          <w:bCs/>
          <w:kern w:val="1"/>
        </w:rPr>
        <w:t xml:space="preserve">. </w:t>
      </w:r>
    </w:p>
    <w:p w:rsidR="004C0753" w:rsidRPr="00D33DC8" w:rsidRDefault="004C0753" w:rsidP="004C0753">
      <w:pPr>
        <w:pStyle w:val="RKnormal"/>
        <w:rPr>
          <w:bCs/>
          <w:kern w:val="1"/>
        </w:rPr>
      </w:pPr>
    </w:p>
    <w:p w:rsidR="001D63FD" w:rsidRPr="00D33DC8" w:rsidRDefault="001D63FD">
      <w:pPr>
        <w:pStyle w:val="RKrubrik"/>
        <w:rPr>
          <w:i/>
          <w:iCs/>
        </w:rPr>
      </w:pPr>
      <w:r w:rsidRPr="00D33DC8">
        <w:rPr>
          <w:i/>
          <w:iCs/>
        </w:rPr>
        <w:t>Gällande svenska regler och förslagets effekter på dessa</w:t>
      </w:r>
    </w:p>
    <w:p w:rsidR="00845834" w:rsidRPr="00D33DC8" w:rsidRDefault="00A8175B">
      <w:pPr>
        <w:pStyle w:val="RKnormal"/>
      </w:pPr>
      <w:r w:rsidRPr="00D33DC8">
        <w:t>Rådsslutsatserna är inte bindande utan är en uppmaning till medlemsstaterna</w:t>
      </w:r>
      <w:r w:rsidR="0025666C" w:rsidRPr="00D33DC8">
        <w:t xml:space="preserve"> att vidta vissa åtgärder</w:t>
      </w:r>
      <w:r w:rsidRPr="00D33DC8">
        <w:t xml:space="preserve">. Förslaget om att inrätta ett </w:t>
      </w:r>
      <w:r w:rsidR="00EE7BF9" w:rsidRPr="00D33DC8">
        <w:t>informellt nätve</w:t>
      </w:r>
      <w:r w:rsidRPr="00D33DC8">
        <w:t xml:space="preserve">rk mellan administrativa och brottsbekämpande åtgärder </w:t>
      </w:r>
      <w:r w:rsidR="00156F68" w:rsidRPr="00D33DC8">
        <w:t xml:space="preserve">initierades på ett expertseminarium i juni i år, där man diskuterade behovet av administrativa åtgärder i det brottsförebyggande arbetet. Konkret skulle ett sådant nätverk </w:t>
      </w:r>
      <w:r w:rsidRPr="00D33DC8">
        <w:t>innebär</w:t>
      </w:r>
      <w:r w:rsidR="00156F68" w:rsidRPr="00D33DC8">
        <w:t>a</w:t>
      </w:r>
      <w:r w:rsidRPr="00D33DC8">
        <w:t xml:space="preserve"> att kontaktperson</w:t>
      </w:r>
      <w:r w:rsidR="00156F68" w:rsidRPr="00D33DC8">
        <w:t xml:space="preserve">er från medlemsländerna </w:t>
      </w:r>
      <w:r w:rsidRPr="00D33DC8">
        <w:t xml:space="preserve">i första hand </w:t>
      </w:r>
      <w:r w:rsidR="00156F68" w:rsidRPr="00D33DC8">
        <w:t xml:space="preserve">träffas regelbundet </w:t>
      </w:r>
      <w:r w:rsidRPr="00D33DC8">
        <w:t>för att utbyta information o</w:t>
      </w:r>
      <w:r w:rsidR="00FF633B" w:rsidRPr="00D33DC8">
        <w:t xml:space="preserve">ch erfarenheter kring administrativa åtgärder i det brottsförebyggande arbetet. </w:t>
      </w:r>
    </w:p>
    <w:p w:rsidR="001D63FD" w:rsidRPr="00D33DC8" w:rsidRDefault="001D63FD">
      <w:pPr>
        <w:pStyle w:val="RKrubrik"/>
      </w:pPr>
      <w:r w:rsidRPr="00D33DC8">
        <w:t>Ekonomiska konsekvenser</w:t>
      </w:r>
    </w:p>
    <w:p w:rsidR="00156F68" w:rsidRPr="00D33DC8" w:rsidRDefault="00156F68" w:rsidP="00AD306E">
      <w:pPr>
        <w:pStyle w:val="RKnormal"/>
      </w:pPr>
      <w:r w:rsidRPr="00D33DC8">
        <w:t xml:space="preserve">Möjligheter </w:t>
      </w:r>
      <w:r w:rsidR="0025666C" w:rsidRPr="00D33DC8">
        <w:t>till</w:t>
      </w:r>
      <w:r w:rsidRPr="00D33DC8">
        <w:t xml:space="preserve"> finansiering </w:t>
      </w:r>
      <w:r w:rsidR="0025666C" w:rsidRPr="00D33DC8">
        <w:t xml:space="preserve">för arbetet med föreslagna åtgärder </w:t>
      </w:r>
      <w:r w:rsidRPr="00D33DC8">
        <w:t xml:space="preserve">finns inom ramen för ISEC- ramverket (finansiering av kommissionen). </w:t>
      </w:r>
      <w:r w:rsidRPr="00D33DC8">
        <w:rPr>
          <w:rFonts w:cs="Helv"/>
          <w:color w:val="000000"/>
          <w:szCs w:val="24"/>
          <w:lang w:eastAsia="sv-SE"/>
        </w:rPr>
        <w:t xml:space="preserve">Eventuella övriga ekonomiska konsekvenser såväl nationellt som på EU-nivå ska hanteras inom befintliga </w:t>
      </w:r>
      <w:r w:rsidR="0025666C" w:rsidRPr="00D33DC8">
        <w:rPr>
          <w:rFonts w:cs="Helv"/>
          <w:color w:val="000000"/>
          <w:szCs w:val="24"/>
          <w:lang w:eastAsia="sv-SE"/>
        </w:rPr>
        <w:t>budget</w:t>
      </w:r>
      <w:r w:rsidRPr="00D33DC8">
        <w:rPr>
          <w:rFonts w:cs="Helv"/>
          <w:color w:val="000000"/>
          <w:szCs w:val="24"/>
          <w:lang w:eastAsia="sv-SE"/>
        </w:rPr>
        <w:t>ramar.</w:t>
      </w:r>
    </w:p>
    <w:p w:rsidR="001D63FD" w:rsidRPr="00D33DC8" w:rsidRDefault="001D63FD">
      <w:pPr>
        <w:pStyle w:val="RKnormal"/>
      </w:pPr>
    </w:p>
    <w:p w:rsidR="001D63FD" w:rsidRPr="00D33DC8" w:rsidRDefault="001D63FD" w:rsidP="00F34A6F">
      <w:pPr>
        <w:pStyle w:val="RKrubrik"/>
      </w:pPr>
      <w:r w:rsidRPr="00D33DC8">
        <w:t>Övrigt</w:t>
      </w:r>
    </w:p>
    <w:p w:rsidR="00845834" w:rsidRPr="00D33DC8" w:rsidRDefault="00F34A6F">
      <w:pPr>
        <w:pStyle w:val="RKnormal"/>
      </w:pPr>
      <w:r w:rsidRPr="00D33DC8">
        <w:rPr>
          <w:i/>
        </w:rPr>
        <w:t>Skimming:</w:t>
      </w:r>
      <w:r w:rsidRPr="00D33DC8">
        <w:t xml:space="preserve"> vardaglig benämning på en form av kreditkortsbedrägeri där någon olovligen använder en speciell avläsare för att kopiera innehållet i magnetremsan på ett kreditkort.</w:t>
      </w:r>
    </w:p>
    <w:p w:rsidR="00F34A6F" w:rsidRPr="00D33DC8" w:rsidRDefault="00F34A6F">
      <w:pPr>
        <w:pStyle w:val="RKnormal"/>
      </w:pPr>
    </w:p>
    <w:p w:rsidR="006E4E11" w:rsidRPr="00D33DC8" w:rsidRDefault="00F34A6F" w:rsidP="00FF633B">
      <w:pPr>
        <w:pStyle w:val="RKnormal"/>
      </w:pPr>
      <w:r w:rsidRPr="00D33DC8">
        <w:rPr>
          <w:i/>
        </w:rPr>
        <w:t>Administrativa åtgärder:</w:t>
      </w:r>
      <w:r w:rsidRPr="00D33DC8">
        <w:t xml:space="preserve"> </w:t>
      </w:r>
      <w:r w:rsidR="0025666C" w:rsidRPr="00D33DC8">
        <w:t>ett exempel på administrativ åtgärd är f</w:t>
      </w:r>
      <w:r w:rsidRPr="00D33DC8">
        <w:t>örvaltningsrättslig lagstiftning i Sverige som används för att försvåra för oseri</w:t>
      </w:r>
      <w:r w:rsidR="0025666C" w:rsidRPr="00D33DC8">
        <w:t xml:space="preserve">ösa personer, t.ex. </w:t>
      </w:r>
      <w:r w:rsidRPr="00D33DC8">
        <w:t xml:space="preserve">regler om vandelsprövning i alkohollagen (serveringstillstånd) och yrkestrafiklagen (taxi, åkeri etc.). </w:t>
      </w:r>
    </w:p>
    <w:p w:rsidR="006E4E11" w:rsidRPr="00D33DC8" w:rsidRDefault="006E4E11">
      <w:pPr>
        <w:pStyle w:val="RKnormal"/>
      </w:pPr>
    </w:p>
    <w:p w:rsidR="001D63FD" w:rsidRPr="00D33DC8" w:rsidRDefault="001D63FD">
      <w:pPr>
        <w:pStyle w:val="RKnormal"/>
      </w:pPr>
    </w:p>
    <w:sectPr w:rsidR="001D63FD" w:rsidRPr="00D33DC8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F68" w:rsidRPr="00D33DC8" w:rsidRDefault="00156F68">
      <w:r w:rsidRPr="00D33DC8">
        <w:separator/>
      </w:r>
    </w:p>
  </w:endnote>
  <w:endnote w:type="continuationSeparator" w:id="0">
    <w:p w:rsidR="00156F68" w:rsidRPr="00D33DC8" w:rsidRDefault="00156F68">
      <w:r w:rsidRPr="00D33D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F68" w:rsidRPr="00D33DC8" w:rsidRDefault="00156F68">
      <w:r w:rsidRPr="00D33DC8">
        <w:separator/>
      </w:r>
    </w:p>
  </w:footnote>
  <w:footnote w:type="continuationSeparator" w:id="0">
    <w:p w:rsidR="00156F68" w:rsidRPr="00D33DC8" w:rsidRDefault="00156F68">
      <w:r w:rsidRPr="00D33D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F68" w:rsidRPr="00D33DC8" w:rsidRDefault="00156F68">
    <w:pPr>
      <w:pStyle w:val="Sidhuvud"/>
      <w:framePr w:wrap="around" w:vAnchor="text" w:hAnchor="margin" w:xAlign="right" w:y="1"/>
      <w:rPr>
        <w:rStyle w:val="Sidnummer"/>
      </w:rPr>
    </w:pPr>
    <w:r w:rsidRPr="00D33DC8">
      <w:rPr>
        <w:rStyle w:val="Sidnummer"/>
      </w:rPr>
      <w:fldChar w:fldCharType="begin" w:fldLock="1"/>
    </w:r>
    <w:r w:rsidRPr="00D33DC8">
      <w:rPr>
        <w:rStyle w:val="Sidnummer"/>
      </w:rPr>
      <w:instrText xml:space="preserve">PAGE  </w:instrText>
    </w:r>
    <w:r w:rsidRPr="00D33DC8">
      <w:rPr>
        <w:rStyle w:val="Sidnummer"/>
      </w:rPr>
      <w:fldChar w:fldCharType="separate"/>
    </w:r>
    <w:r w:rsidR="00B7175E" w:rsidRPr="00D33DC8">
      <w:rPr>
        <w:rStyle w:val="Sidnummer"/>
      </w:rPr>
      <w:t>2</w:t>
    </w:r>
    <w:r w:rsidRPr="00D33DC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56F68" w:rsidRPr="00D33DC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56F68" w:rsidRPr="00D33DC8" w:rsidRDefault="00156F6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56F68" w:rsidRPr="00D33DC8" w:rsidRDefault="00156F68">
          <w:pPr>
            <w:pStyle w:val="Sidhuvud"/>
            <w:ind w:right="360"/>
          </w:pPr>
        </w:p>
      </w:tc>
      <w:tc>
        <w:tcPr>
          <w:tcW w:w="1525" w:type="dxa"/>
        </w:tcPr>
        <w:p w:rsidR="00156F68" w:rsidRPr="00D33DC8" w:rsidRDefault="00156F68">
          <w:pPr>
            <w:pStyle w:val="Sidhuvud"/>
            <w:ind w:right="360"/>
          </w:pPr>
        </w:p>
      </w:tc>
    </w:tr>
  </w:tbl>
  <w:p w:rsidR="00156F68" w:rsidRPr="00D33DC8" w:rsidRDefault="00156F6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F68" w:rsidRPr="00D33DC8" w:rsidRDefault="00156F68">
    <w:pPr>
      <w:pStyle w:val="Sidhuvud"/>
      <w:framePr w:wrap="around" w:vAnchor="text" w:hAnchor="margin" w:xAlign="right" w:y="1"/>
      <w:rPr>
        <w:rStyle w:val="Sidnummer"/>
      </w:rPr>
    </w:pPr>
    <w:r w:rsidRPr="00D33DC8">
      <w:rPr>
        <w:rStyle w:val="Sidnummer"/>
      </w:rPr>
      <w:fldChar w:fldCharType="begin" w:fldLock="1"/>
    </w:r>
    <w:r w:rsidRPr="00D33DC8">
      <w:rPr>
        <w:rStyle w:val="Sidnummer"/>
      </w:rPr>
      <w:instrText xml:space="preserve">PAGE  </w:instrText>
    </w:r>
    <w:r w:rsidRPr="00D33DC8">
      <w:rPr>
        <w:rStyle w:val="Sidnummer"/>
      </w:rPr>
      <w:fldChar w:fldCharType="separate"/>
    </w:r>
    <w:r w:rsidR="00B7175E" w:rsidRPr="00D33DC8">
      <w:rPr>
        <w:rStyle w:val="Sidnummer"/>
      </w:rPr>
      <w:t>3</w:t>
    </w:r>
    <w:r w:rsidRPr="00D33DC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56F68" w:rsidRPr="00D33DC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56F68" w:rsidRPr="00D33DC8" w:rsidRDefault="00156F6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56F68" w:rsidRPr="00D33DC8" w:rsidRDefault="00156F68">
          <w:pPr>
            <w:pStyle w:val="Sidhuvud"/>
            <w:ind w:right="360"/>
          </w:pPr>
        </w:p>
      </w:tc>
      <w:tc>
        <w:tcPr>
          <w:tcW w:w="1525" w:type="dxa"/>
        </w:tcPr>
        <w:p w:rsidR="00156F68" w:rsidRPr="00D33DC8" w:rsidRDefault="00156F68">
          <w:pPr>
            <w:pStyle w:val="Sidhuvud"/>
            <w:ind w:right="360"/>
          </w:pPr>
        </w:p>
      </w:tc>
    </w:tr>
  </w:tbl>
  <w:p w:rsidR="00156F68" w:rsidRPr="00D33DC8" w:rsidRDefault="00156F6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F68" w:rsidRPr="00D33DC8" w:rsidRDefault="00D33DC8">
    <w:pPr>
      <w:framePr w:w="2948" w:h="1321" w:hRule="exact" w:wrap="notBeside" w:vAnchor="page" w:hAnchor="page" w:x="1362" w:y="653"/>
    </w:pPr>
    <w:r w:rsidRPr="00D33DC8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6F68" w:rsidRPr="00D33DC8" w:rsidRDefault="00156F6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56F68" w:rsidRPr="00D33DC8" w:rsidRDefault="00156F68">
    <w:pPr>
      <w:rPr>
        <w:rFonts w:ascii="TradeGothic" w:hAnsi="TradeGothic"/>
        <w:b/>
        <w:bCs/>
        <w:spacing w:val="12"/>
        <w:sz w:val="22"/>
      </w:rPr>
    </w:pPr>
  </w:p>
  <w:p w:rsidR="00156F68" w:rsidRPr="00D33DC8" w:rsidRDefault="00156F6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56F68" w:rsidRPr="00D33DC8" w:rsidRDefault="00156F6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115B7F"/>
    <w:rsid w:val="00150384"/>
    <w:rsid w:val="00156F68"/>
    <w:rsid w:val="00163BC4"/>
    <w:rsid w:val="00166896"/>
    <w:rsid w:val="001805B7"/>
    <w:rsid w:val="001D63FD"/>
    <w:rsid w:val="0025666C"/>
    <w:rsid w:val="00287E99"/>
    <w:rsid w:val="003D1751"/>
    <w:rsid w:val="0046475D"/>
    <w:rsid w:val="004A328D"/>
    <w:rsid w:val="004B574D"/>
    <w:rsid w:val="004C0753"/>
    <w:rsid w:val="00672025"/>
    <w:rsid w:val="006E4E11"/>
    <w:rsid w:val="007242A3"/>
    <w:rsid w:val="00845834"/>
    <w:rsid w:val="00A36DAB"/>
    <w:rsid w:val="00A8175B"/>
    <w:rsid w:val="00AD306E"/>
    <w:rsid w:val="00B7175E"/>
    <w:rsid w:val="00D33DC8"/>
    <w:rsid w:val="00DE0900"/>
    <w:rsid w:val="00EC25F9"/>
    <w:rsid w:val="00EE7BF9"/>
    <w:rsid w:val="00F34A6F"/>
    <w:rsid w:val="00FF511D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137B5D-3512-4E8F-8993-E969428F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harCharCharCharCharCharCharChar1CharCharCharChar">
    <w:name w:val=" Char Char Char Char Char Char Char Char1 Char Char Char Char"/>
    <w:basedOn w:val="Normal"/>
    <w:rsid w:val="00DE0900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customStyle="1" w:styleId="CharCharCharCarCarCharCharChar">
    <w:name w:val=" Char Char Char Car Car Char Char Char"/>
    <w:basedOn w:val="Normal"/>
    <w:rsid w:val="00DE0900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customStyle="1" w:styleId="EntRefer">
    <w:name w:val="EntRefer"/>
    <w:basedOn w:val="Normal"/>
    <w:rsid w:val="00DE0900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character" w:styleId="Fotnotsreferens">
    <w:name w:val="footnote reference"/>
    <w:basedOn w:val="Standardstycketeckensnitt"/>
    <w:rsid w:val="00AD306E"/>
    <w:rPr>
      <w:b/>
      <w:vertAlign w:val="superscript"/>
    </w:rPr>
  </w:style>
  <w:style w:type="paragraph" w:styleId="Fotnotstext">
    <w:name w:val="footnote text"/>
    <w:basedOn w:val="Normal"/>
    <w:rsid w:val="00AD306E"/>
    <w:pPr>
      <w:widowControl w:val="0"/>
      <w:tabs>
        <w:tab w:val="left" w:pos="567"/>
      </w:tabs>
      <w:overflowPunct/>
      <w:autoSpaceDE/>
      <w:autoSpaceDN/>
      <w:adjustRightInd/>
      <w:spacing w:line="240" w:lineRule="auto"/>
      <w:ind w:left="567" w:hanging="567"/>
      <w:textAlignment w:val="auto"/>
    </w:pPr>
    <w:rPr>
      <w:rFonts w:ascii="Times New Roman" w:hAnsi="Times New Roman"/>
      <w:lang w:eastAsia="fr-BE"/>
    </w:rPr>
  </w:style>
  <w:style w:type="paragraph" w:styleId="Ballongtext">
    <w:name w:val="Balloon Text"/>
    <w:basedOn w:val="Normal"/>
    <w:semiHidden/>
    <w:rsid w:val="00B71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4910</Characters>
  <Application>Microsoft Office Word</Application>
  <DocSecurity>4</DocSecurity>
  <Lines>140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2010-11-22T12:29:00Z</cp:lastPrinted>
  <dcterms:created xsi:type="dcterms:W3CDTF">2025-12-18T03:51:00Z</dcterms:created>
  <dcterms:modified xsi:type="dcterms:W3CDTF">2025-12-18T03:51:00Z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