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234F8">
        <w:tc>
          <w:tcPr>
            <w:tcW w:w="2268" w:type="dxa"/>
          </w:tcPr>
          <w:p w:rsidR="001234F8" w:rsidRDefault="001234F8">
            <w:pPr>
              <w:framePr w:w="4400" w:h="1644" w:wrap="notBeside" w:vAnchor="page" w:hAnchor="page" w:x="6573" w:y="721"/>
              <w:rPr>
                <w:rFonts w:ascii="TradeGothic" w:hAnsi="TradeGothic"/>
                <w:i/>
                <w:sz w:val="18"/>
              </w:rPr>
            </w:pPr>
          </w:p>
        </w:tc>
        <w:tc>
          <w:tcPr>
            <w:tcW w:w="2347" w:type="dxa"/>
            <w:gridSpan w:val="2"/>
          </w:tcPr>
          <w:p w:rsidR="001234F8" w:rsidRDefault="001234F8">
            <w:pPr>
              <w:framePr w:w="4400" w:h="1644" w:wrap="notBeside" w:vAnchor="page" w:hAnchor="page" w:x="6573" w:y="721"/>
              <w:rPr>
                <w:rFonts w:ascii="TradeGothic" w:hAnsi="TradeGothic"/>
                <w:i/>
                <w:sz w:val="18"/>
              </w:rPr>
            </w:pPr>
          </w:p>
        </w:tc>
      </w:tr>
      <w:tr w:rsidR="001234F8">
        <w:tc>
          <w:tcPr>
            <w:tcW w:w="2268" w:type="dxa"/>
          </w:tcPr>
          <w:p w:rsidR="001234F8" w:rsidRDefault="001234F8">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1234F8" w:rsidRDefault="001234F8">
            <w:pPr>
              <w:framePr w:w="4400" w:h="1644" w:wrap="notBeside" w:vAnchor="page" w:hAnchor="page" w:x="6573" w:y="721"/>
              <w:rPr>
                <w:rFonts w:ascii="TradeGothic" w:hAnsi="TradeGothic"/>
                <w:b/>
              </w:rPr>
            </w:pPr>
          </w:p>
        </w:tc>
      </w:tr>
      <w:tr w:rsidR="001234F8">
        <w:trPr>
          <w:trHeight w:val="343"/>
        </w:trPr>
        <w:tc>
          <w:tcPr>
            <w:tcW w:w="3402" w:type="dxa"/>
            <w:gridSpan w:val="2"/>
          </w:tcPr>
          <w:p w:rsidR="001234F8" w:rsidRDefault="001234F8">
            <w:pPr>
              <w:framePr w:w="4400" w:h="1644" w:wrap="notBeside" w:vAnchor="page" w:hAnchor="page" w:x="6573" w:y="721"/>
            </w:pPr>
          </w:p>
        </w:tc>
        <w:tc>
          <w:tcPr>
            <w:tcW w:w="1213" w:type="dxa"/>
          </w:tcPr>
          <w:p w:rsidR="001234F8" w:rsidRDefault="001234F8">
            <w:pPr>
              <w:framePr w:w="4400" w:h="1644" w:wrap="notBeside" w:vAnchor="page" w:hAnchor="page" w:x="6573" w:y="721"/>
            </w:pPr>
          </w:p>
        </w:tc>
      </w:tr>
      <w:tr w:rsidR="001234F8">
        <w:tc>
          <w:tcPr>
            <w:tcW w:w="2268" w:type="dxa"/>
          </w:tcPr>
          <w:p w:rsidR="001234F8" w:rsidRDefault="001234F8">
            <w:pPr>
              <w:framePr w:w="4400" w:h="1644" w:wrap="notBeside" w:vAnchor="page" w:hAnchor="page" w:x="6573" w:y="721"/>
            </w:pPr>
            <w:r>
              <w:t>2012-04-05</w:t>
            </w:r>
          </w:p>
        </w:tc>
        <w:tc>
          <w:tcPr>
            <w:tcW w:w="2347" w:type="dxa"/>
            <w:gridSpan w:val="2"/>
          </w:tcPr>
          <w:p w:rsidR="001234F8" w:rsidRDefault="001234F8">
            <w:pPr>
              <w:framePr w:w="4400" w:h="1644" w:wrap="notBeside" w:vAnchor="page" w:hAnchor="page" w:x="6573" w:y="721"/>
            </w:pPr>
          </w:p>
        </w:tc>
      </w:tr>
      <w:tr w:rsidR="001234F8">
        <w:tc>
          <w:tcPr>
            <w:tcW w:w="2268" w:type="dxa"/>
          </w:tcPr>
          <w:p w:rsidR="001234F8" w:rsidRDefault="001234F8">
            <w:pPr>
              <w:framePr w:w="4400" w:h="1644" w:wrap="notBeside" w:vAnchor="page" w:hAnchor="page" w:x="6573" w:y="721"/>
            </w:pPr>
          </w:p>
        </w:tc>
        <w:tc>
          <w:tcPr>
            <w:tcW w:w="2347" w:type="dxa"/>
            <w:gridSpan w:val="2"/>
          </w:tcPr>
          <w:p w:rsidR="001234F8" w:rsidRDefault="001234F8">
            <w:pPr>
              <w:framePr w:w="4400" w:h="1644" w:wrap="notBeside" w:vAnchor="page" w:hAnchor="page" w:x="6573" w:y="721"/>
            </w:pPr>
          </w:p>
        </w:tc>
      </w:tr>
    </w:tbl>
    <w:tbl>
      <w:tblPr>
        <w:tblW w:w="0" w:type="auto"/>
        <w:tblLayout w:type="fixed"/>
        <w:tblLook w:val="0000"/>
      </w:tblPr>
      <w:tblGrid>
        <w:gridCol w:w="4911"/>
      </w:tblGrid>
      <w:tr w:rsidR="001234F8">
        <w:trPr>
          <w:trHeight w:val="2400"/>
        </w:trPr>
        <w:tc>
          <w:tcPr>
            <w:tcW w:w="4911" w:type="dxa"/>
          </w:tcPr>
          <w:p w:rsidR="001234F8" w:rsidRDefault="001234F8">
            <w:pPr>
              <w:pStyle w:val="Avsndare"/>
              <w:framePr w:h="2483" w:wrap="notBeside" w:x="1504"/>
              <w:rPr>
                <w:b/>
                <w:i w:val="0"/>
                <w:sz w:val="22"/>
              </w:rPr>
            </w:pPr>
            <w:r>
              <w:rPr>
                <w:b/>
                <w:i w:val="0"/>
                <w:sz w:val="22"/>
              </w:rPr>
              <w:t>Statsrådsberedningen</w:t>
            </w:r>
          </w:p>
          <w:p w:rsidR="001234F8" w:rsidRDefault="001234F8">
            <w:pPr>
              <w:pStyle w:val="Avsndare"/>
              <w:framePr w:h="2483" w:wrap="notBeside" w:x="1504"/>
            </w:pPr>
          </w:p>
          <w:p w:rsidR="001234F8" w:rsidRDefault="001234F8">
            <w:pPr>
              <w:pStyle w:val="Avsndare"/>
              <w:framePr w:h="2483" w:wrap="notBeside" w:x="1504"/>
            </w:pPr>
            <w:r>
              <w:t>EU-kansliet</w:t>
            </w:r>
          </w:p>
          <w:p w:rsidR="001234F8" w:rsidRDefault="001234F8">
            <w:pPr>
              <w:pStyle w:val="Avsndare"/>
              <w:framePr w:h="2483" w:wrap="notBeside" w:x="1504"/>
            </w:pPr>
          </w:p>
          <w:p w:rsidR="001234F8" w:rsidRDefault="001234F8">
            <w:pPr>
              <w:pStyle w:val="Avsndare"/>
              <w:framePr w:h="2483" w:wrap="notBeside" w:x="1504"/>
            </w:pPr>
          </w:p>
          <w:p w:rsidR="001234F8" w:rsidRDefault="001234F8">
            <w:pPr>
              <w:pStyle w:val="Avsndare"/>
              <w:framePr w:h="2483" w:wrap="notBeside" w:x="1504"/>
            </w:pPr>
          </w:p>
          <w:p w:rsidR="001234F8" w:rsidRDefault="001234F8">
            <w:pPr>
              <w:pStyle w:val="Avsndare"/>
              <w:framePr w:h="2483" w:wrap="notBeside" w:x="1504"/>
              <w:rPr>
                <w:b/>
                <w:i w:val="0"/>
                <w:sz w:val="22"/>
              </w:rPr>
            </w:pPr>
          </w:p>
        </w:tc>
      </w:tr>
    </w:tbl>
    <w:p w:rsidR="001234F8" w:rsidRDefault="001234F8">
      <w:pPr>
        <w:framePr w:w="4400" w:h="2523" w:wrap="notBeside" w:vAnchor="page" w:hAnchor="page" w:x="6453" w:y="2445"/>
        <w:ind w:left="142"/>
      </w:pPr>
    </w:p>
    <w:p w:rsidR="001234F8" w:rsidRDefault="001234F8">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14.</w:t>
      </w:r>
    </w:p>
    <w:p w:rsidR="001234F8" w:rsidRDefault="001234F8" w:rsidP="00E23B63">
      <w:pPr>
        <w:pStyle w:val="BodyText"/>
      </w:pPr>
    </w:p>
    <w:p w:rsidR="001234F8" w:rsidRDefault="001234F8" w:rsidP="00E23B63">
      <w:pPr>
        <w:pStyle w:val="BodyText"/>
      </w:pPr>
      <w:r>
        <w:t>Överlämnas för skriftligt samråd till onsdagen den 11 april 2012, kl 09.00</w:t>
      </w:r>
    </w:p>
    <w:p w:rsidR="001234F8" w:rsidRPr="00E23B63" w:rsidRDefault="001234F8" w:rsidP="00E23B63">
      <w:pPr>
        <w:pStyle w:val="BodyText"/>
      </w:pPr>
      <w:r>
        <w:br w:type="page"/>
      </w:r>
    </w:p>
    <w:p w:rsidR="001234F8" w:rsidRDefault="001234F8">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234F8" w:rsidRDefault="001234F8">
      <w:pPr>
        <w:pStyle w:val="TOC1"/>
        <w:tabs>
          <w:tab w:val="right" w:leader="dot" w:pos="7644"/>
        </w:tabs>
        <w:rPr>
          <w:rFonts w:ascii="Times New Roman" w:hAnsi="Times New Roman"/>
          <w:b w:val="0"/>
          <w:bCs w:val="0"/>
          <w:caps w:val="0"/>
          <w:noProof/>
          <w:szCs w:val="24"/>
          <w:lang w:eastAsia="sv-SE"/>
        </w:rPr>
      </w:pPr>
      <w:r>
        <w:rPr>
          <w:b w:val="0"/>
          <w:bCs w:val="0"/>
        </w:rPr>
        <w:fldChar w:fldCharType="begin"/>
      </w:r>
      <w:r>
        <w:rPr>
          <w:b w:val="0"/>
          <w:bCs w:val="0"/>
        </w:rPr>
        <w:instrText xml:space="preserve"> TOC \o "1-3" \h \z </w:instrText>
      </w:r>
      <w:r>
        <w:rPr>
          <w:b w:val="0"/>
          <w:bCs w:val="0"/>
        </w:rPr>
        <w:fldChar w:fldCharType="separate"/>
      </w:r>
      <w:hyperlink w:anchor="_Toc321381063" w:history="1">
        <w:r w:rsidRPr="00856B1D">
          <w:rPr>
            <w:rStyle w:val="Hyperlink"/>
            <w:noProof/>
          </w:rPr>
          <w:t>Frågor som lösts i förberedande instanser</w:t>
        </w:r>
        <w:r>
          <w:rPr>
            <w:noProof/>
            <w:webHidden/>
          </w:rPr>
          <w:tab/>
        </w:r>
        <w:r>
          <w:rPr>
            <w:noProof/>
            <w:webHidden/>
          </w:rPr>
          <w:fldChar w:fldCharType="begin"/>
        </w:r>
        <w:r>
          <w:rPr>
            <w:noProof/>
            <w:webHidden/>
          </w:rPr>
          <w:instrText xml:space="preserve"> PAGEREF _Toc321381063 \h </w:instrText>
        </w:r>
        <w:r>
          <w:rPr>
            <w:noProof/>
            <w:webHidden/>
          </w:rPr>
        </w:r>
        <w:r>
          <w:rPr>
            <w:noProof/>
            <w:webHidden/>
          </w:rPr>
          <w:fldChar w:fldCharType="separate"/>
        </w:r>
        <w:r>
          <w:rPr>
            <w:noProof/>
            <w:webHidden/>
          </w:rPr>
          <w:t>5</w:t>
        </w:r>
        <w:r>
          <w:rPr>
            <w:noProof/>
            <w:webHidden/>
          </w:rPr>
          <w:fldChar w:fldCharType="end"/>
        </w:r>
      </w:hyperlink>
    </w:p>
    <w:p w:rsidR="001234F8" w:rsidRDefault="001234F8">
      <w:pPr>
        <w:pStyle w:val="TOC1"/>
        <w:tabs>
          <w:tab w:val="right" w:leader="dot" w:pos="7644"/>
        </w:tabs>
        <w:rPr>
          <w:rFonts w:ascii="Times New Roman" w:hAnsi="Times New Roman"/>
          <w:b w:val="0"/>
          <w:bCs w:val="0"/>
          <w:caps w:val="0"/>
          <w:noProof/>
          <w:szCs w:val="24"/>
          <w:lang w:eastAsia="sv-SE"/>
        </w:rPr>
      </w:pPr>
      <w:hyperlink w:anchor="_Toc321381064" w:history="1">
        <w:r w:rsidRPr="00856B1D">
          <w:rPr>
            <w:rStyle w:val="Hyperlink"/>
            <w:noProof/>
          </w:rPr>
          <w:t>Troliga A-punkter inför kommande rådsmöten som godkändes vid Coreper I 2012-04-04.</w:t>
        </w:r>
        <w:r>
          <w:rPr>
            <w:noProof/>
            <w:webHidden/>
          </w:rPr>
          <w:tab/>
        </w:r>
        <w:r>
          <w:rPr>
            <w:noProof/>
            <w:webHidden/>
          </w:rPr>
          <w:fldChar w:fldCharType="begin"/>
        </w:r>
        <w:r>
          <w:rPr>
            <w:noProof/>
            <w:webHidden/>
          </w:rPr>
          <w:instrText xml:space="preserve"> PAGEREF _Toc321381064 \h </w:instrText>
        </w:r>
        <w:r>
          <w:rPr>
            <w:noProof/>
            <w:webHidden/>
          </w:rPr>
        </w:r>
        <w:r>
          <w:rPr>
            <w:noProof/>
            <w:webHidden/>
          </w:rPr>
          <w:fldChar w:fldCharType="separate"/>
        </w:r>
        <w:r>
          <w:rPr>
            <w:noProof/>
            <w:webHidden/>
          </w:rPr>
          <w:t>5</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65" w:history="1">
        <w:r w:rsidRPr="00856B1D">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_Toc321381065 \h </w:instrText>
        </w:r>
        <w:r>
          <w:rPr>
            <w:noProof/>
            <w:webHidden/>
          </w:rPr>
        </w:r>
        <w:r>
          <w:rPr>
            <w:noProof/>
            <w:webHidden/>
          </w:rPr>
          <w:fldChar w:fldCharType="separate"/>
        </w:r>
        <w:r>
          <w:rPr>
            <w:noProof/>
            <w:webHidden/>
          </w:rPr>
          <w:t>5</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66" w:history="1">
        <w:r w:rsidRPr="00856B1D">
          <w:rPr>
            <w:rStyle w:val="Hyperlink"/>
            <w:noProof/>
            <w:lang w:val="en-US"/>
          </w:rPr>
          <w:t>2. Consumption of EAGF appropriations for the period from 16 October 2011 to 31 January 2012- Information note for the Permanent Representatives Committee (Part 1)</w:t>
        </w:r>
        <w:r>
          <w:rPr>
            <w:noProof/>
            <w:webHidden/>
          </w:rPr>
          <w:tab/>
        </w:r>
        <w:r>
          <w:rPr>
            <w:noProof/>
            <w:webHidden/>
          </w:rPr>
          <w:fldChar w:fldCharType="begin"/>
        </w:r>
        <w:r>
          <w:rPr>
            <w:noProof/>
            <w:webHidden/>
          </w:rPr>
          <w:instrText xml:space="preserve"> PAGEREF _Toc321381066 \h </w:instrText>
        </w:r>
        <w:r>
          <w:rPr>
            <w:noProof/>
            <w:webHidden/>
          </w:rPr>
        </w:r>
        <w:r>
          <w:rPr>
            <w:noProof/>
            <w:webHidden/>
          </w:rPr>
          <w:fldChar w:fldCharType="separate"/>
        </w:r>
        <w:r>
          <w:rPr>
            <w:noProof/>
            <w:webHidden/>
          </w:rPr>
          <w:t>6</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67" w:history="1">
        <w:r w:rsidRPr="00856B1D">
          <w:rPr>
            <w:rStyle w:val="Hyperlink"/>
            <w:noProof/>
            <w:lang w:val="en-US"/>
          </w:rPr>
          <w:t>3. Advisory Committee on Freedom of Movement for Workers Appointment of Ms Anna ROBRA, German alternate member, in place of Ms Georgia HEINE who has resigned- Adoption</w:t>
        </w:r>
        <w:r>
          <w:rPr>
            <w:noProof/>
            <w:webHidden/>
          </w:rPr>
          <w:tab/>
        </w:r>
        <w:r>
          <w:rPr>
            <w:noProof/>
            <w:webHidden/>
          </w:rPr>
          <w:fldChar w:fldCharType="begin"/>
        </w:r>
        <w:r>
          <w:rPr>
            <w:noProof/>
            <w:webHidden/>
          </w:rPr>
          <w:instrText xml:space="preserve"> PAGEREF _Toc321381067 \h </w:instrText>
        </w:r>
        <w:r>
          <w:rPr>
            <w:noProof/>
            <w:webHidden/>
          </w:rPr>
        </w:r>
        <w:r>
          <w:rPr>
            <w:noProof/>
            <w:webHidden/>
          </w:rPr>
          <w:fldChar w:fldCharType="separate"/>
        </w:r>
        <w:r>
          <w:rPr>
            <w:noProof/>
            <w:webHidden/>
          </w:rPr>
          <w:t>6</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68" w:history="1">
        <w:r w:rsidRPr="00856B1D">
          <w:rPr>
            <w:rStyle w:val="Hyperlink"/>
            <w:noProof/>
            <w:lang w:val="en-US"/>
          </w:rPr>
          <w:t>4. Advisory Committee on Freedom of Movement for WorkersAppointment of Ms Carmen Eugenia BÂRSAN, German member, in place of Mr Stefan STRÄSSER who has resigned- Adoption</w:t>
        </w:r>
        <w:r>
          <w:rPr>
            <w:noProof/>
            <w:webHidden/>
          </w:rPr>
          <w:tab/>
        </w:r>
        <w:r>
          <w:rPr>
            <w:noProof/>
            <w:webHidden/>
          </w:rPr>
          <w:fldChar w:fldCharType="begin"/>
        </w:r>
        <w:r>
          <w:rPr>
            <w:noProof/>
            <w:webHidden/>
          </w:rPr>
          <w:instrText xml:space="preserve"> PAGEREF _Toc321381068 \h </w:instrText>
        </w:r>
        <w:r>
          <w:rPr>
            <w:noProof/>
            <w:webHidden/>
          </w:rPr>
        </w:r>
        <w:r>
          <w:rPr>
            <w:noProof/>
            <w:webHidden/>
          </w:rPr>
          <w:fldChar w:fldCharType="separate"/>
        </w:r>
        <w:r>
          <w:rPr>
            <w:noProof/>
            <w:webHidden/>
          </w:rPr>
          <w:t>7</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69" w:history="1">
        <w:r w:rsidRPr="00856B1D">
          <w:rPr>
            <w:rStyle w:val="Hyperlink"/>
            <w:noProof/>
          </w:rPr>
          <w:t xml:space="preserve">5. Commission Regulation (EU) No.../.. </w:t>
        </w:r>
        <w:r w:rsidRPr="00856B1D">
          <w:rPr>
            <w:rStyle w:val="Hyperlink"/>
            <w:noProof/>
            <w:lang w:val="en-US"/>
          </w:rPr>
          <w:t>of XXX implementing Directive 2009/125/EC of the European Parliament and of the Council with regard to ecodesign requirements for water pumps- Decision not to oppose adoption</w:t>
        </w:r>
        <w:r>
          <w:rPr>
            <w:noProof/>
            <w:webHidden/>
          </w:rPr>
          <w:tab/>
        </w:r>
        <w:r>
          <w:rPr>
            <w:noProof/>
            <w:webHidden/>
          </w:rPr>
          <w:fldChar w:fldCharType="begin"/>
        </w:r>
        <w:r>
          <w:rPr>
            <w:noProof/>
            <w:webHidden/>
          </w:rPr>
          <w:instrText xml:space="preserve"> PAGEREF _Toc321381069 \h </w:instrText>
        </w:r>
        <w:r>
          <w:rPr>
            <w:noProof/>
            <w:webHidden/>
          </w:rPr>
        </w:r>
        <w:r>
          <w:rPr>
            <w:noProof/>
            <w:webHidden/>
          </w:rPr>
          <w:fldChar w:fldCharType="separate"/>
        </w:r>
        <w:r>
          <w:rPr>
            <w:noProof/>
            <w:webHidden/>
          </w:rPr>
          <w:t>7</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0" w:history="1">
        <w:r w:rsidRPr="00856B1D">
          <w:rPr>
            <w:rStyle w:val="Hyperlink"/>
            <w:noProof/>
            <w:lang w:val="en-US"/>
          </w:rPr>
          <w:t>6. Commission Regulation (EU) No .../.. of XXX amending Annexes II and III to Regulation (EC) No 1072/2009 on common rules for access to the international road haulage market- Decision not to oppose the adoption</w:t>
        </w:r>
        <w:r>
          <w:rPr>
            <w:noProof/>
            <w:webHidden/>
          </w:rPr>
          <w:tab/>
        </w:r>
        <w:r>
          <w:rPr>
            <w:noProof/>
            <w:webHidden/>
          </w:rPr>
          <w:fldChar w:fldCharType="begin"/>
        </w:r>
        <w:r>
          <w:rPr>
            <w:noProof/>
            <w:webHidden/>
          </w:rPr>
          <w:instrText xml:space="preserve"> PAGEREF _Toc321381070 \h </w:instrText>
        </w:r>
        <w:r>
          <w:rPr>
            <w:noProof/>
            <w:webHidden/>
          </w:rPr>
        </w:r>
        <w:r>
          <w:rPr>
            <w:noProof/>
            <w:webHidden/>
          </w:rPr>
          <w:fldChar w:fldCharType="separate"/>
        </w:r>
        <w:r>
          <w:rPr>
            <w:noProof/>
            <w:webHidden/>
          </w:rPr>
          <w:t>8</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1" w:history="1">
        <w:r w:rsidRPr="00856B1D">
          <w:rPr>
            <w:rStyle w:val="Hyperlink"/>
            <w:noProof/>
          </w:rPr>
          <w:t xml:space="preserve">7. Commission Regulation (EU) No .../.. </w:t>
        </w:r>
        <w:r w:rsidRPr="00856B1D">
          <w:rPr>
            <w:rStyle w:val="Hyperlink"/>
            <w:noProof/>
            <w:lang w:val="en-US"/>
          </w:rPr>
          <w:t>of XXX amending Annex III to Regulation (EC) No 1071/2009 establishing common rules concerning the conditions to be complied with to pursue the occupation of road transport operator- Decision not to oppose the adoption</w:t>
        </w:r>
        <w:r>
          <w:rPr>
            <w:noProof/>
            <w:webHidden/>
          </w:rPr>
          <w:tab/>
        </w:r>
        <w:r>
          <w:rPr>
            <w:noProof/>
            <w:webHidden/>
          </w:rPr>
          <w:fldChar w:fldCharType="begin"/>
        </w:r>
        <w:r>
          <w:rPr>
            <w:noProof/>
            <w:webHidden/>
          </w:rPr>
          <w:instrText xml:space="preserve"> PAGEREF _Toc321381071 \h </w:instrText>
        </w:r>
        <w:r>
          <w:rPr>
            <w:noProof/>
            <w:webHidden/>
          </w:rPr>
        </w:r>
        <w:r>
          <w:rPr>
            <w:noProof/>
            <w:webHidden/>
          </w:rPr>
          <w:fldChar w:fldCharType="separate"/>
        </w:r>
        <w:r>
          <w:rPr>
            <w:noProof/>
            <w:webHidden/>
          </w:rPr>
          <w:t>9</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2" w:history="1">
        <w:r w:rsidRPr="00856B1D">
          <w:rPr>
            <w:rStyle w:val="Hyperlink"/>
            <w:noProof/>
          </w:rPr>
          <w:t xml:space="preserve">8. Commission Regulation (EU) No .../.. </w:t>
        </w:r>
        <w:r w:rsidRPr="00856B1D">
          <w:rPr>
            <w:rStyle w:val="Hyperlink"/>
            <w:noProof/>
            <w:lang w:val="en-US"/>
          </w:rPr>
          <w:t>of XXX amending Annex II to Regulation (EC) No 1073/2009 on common rules for access to the international market for coach and bus services- Decision not to oppose the adoption</w:t>
        </w:r>
        <w:r>
          <w:rPr>
            <w:noProof/>
            <w:webHidden/>
          </w:rPr>
          <w:tab/>
        </w:r>
        <w:r>
          <w:rPr>
            <w:noProof/>
            <w:webHidden/>
          </w:rPr>
          <w:fldChar w:fldCharType="begin"/>
        </w:r>
        <w:r>
          <w:rPr>
            <w:noProof/>
            <w:webHidden/>
          </w:rPr>
          <w:instrText xml:space="preserve"> PAGEREF _Toc321381072 \h </w:instrText>
        </w:r>
        <w:r>
          <w:rPr>
            <w:noProof/>
            <w:webHidden/>
          </w:rPr>
        </w:r>
        <w:r>
          <w:rPr>
            <w:noProof/>
            <w:webHidden/>
          </w:rPr>
          <w:fldChar w:fldCharType="separate"/>
        </w:r>
        <w:r>
          <w:rPr>
            <w:noProof/>
            <w:webHidden/>
          </w:rPr>
          <w:t>10</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3" w:history="1">
        <w:r w:rsidRPr="00856B1D">
          <w:rPr>
            <w:rStyle w:val="Hyperlink"/>
            <w:noProof/>
            <w:lang w:val="en-US"/>
          </w:rPr>
          <w:t>9. Proposal for a Regulation of the European Parliament and of the Council amending Regulation (EC) No 302/2009 concerning a multiannual recovery plan for bluefin tuna in the eastern Atlantic and Mediterranean (First reading) (Legislative deliberation)- Information on the mandate for the trilogue</w:t>
        </w:r>
        <w:r>
          <w:rPr>
            <w:noProof/>
            <w:webHidden/>
          </w:rPr>
          <w:tab/>
        </w:r>
        <w:r>
          <w:rPr>
            <w:noProof/>
            <w:webHidden/>
          </w:rPr>
          <w:fldChar w:fldCharType="begin"/>
        </w:r>
        <w:r>
          <w:rPr>
            <w:noProof/>
            <w:webHidden/>
          </w:rPr>
          <w:instrText xml:space="preserve"> PAGEREF _Toc321381073 \h </w:instrText>
        </w:r>
        <w:r>
          <w:rPr>
            <w:noProof/>
            <w:webHidden/>
          </w:rPr>
        </w:r>
        <w:r>
          <w:rPr>
            <w:noProof/>
            <w:webHidden/>
          </w:rPr>
          <w:fldChar w:fldCharType="separate"/>
        </w:r>
        <w:r>
          <w:rPr>
            <w:noProof/>
            <w:webHidden/>
          </w:rPr>
          <w:t>11</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4" w:history="1">
        <w:r w:rsidRPr="00856B1D">
          <w:rPr>
            <w:rStyle w:val="Hyperlink"/>
            <w:noProof/>
            <w:lang w:val="en-US"/>
          </w:rPr>
          <w:t>10. Draft EU Guidelines G20 Labour and Employment Ministers meeting (Guadalajara (Mexico), 17-18 May 2012) - Adoption</w:t>
        </w:r>
        <w:r>
          <w:rPr>
            <w:noProof/>
            <w:webHidden/>
          </w:rPr>
          <w:tab/>
        </w:r>
        <w:r>
          <w:rPr>
            <w:noProof/>
            <w:webHidden/>
          </w:rPr>
          <w:fldChar w:fldCharType="begin"/>
        </w:r>
        <w:r>
          <w:rPr>
            <w:noProof/>
            <w:webHidden/>
          </w:rPr>
          <w:instrText xml:space="preserve"> PAGEREF _Toc321381074 \h </w:instrText>
        </w:r>
        <w:r>
          <w:rPr>
            <w:noProof/>
            <w:webHidden/>
          </w:rPr>
        </w:r>
        <w:r>
          <w:rPr>
            <w:noProof/>
            <w:webHidden/>
          </w:rPr>
          <w:fldChar w:fldCharType="separate"/>
        </w:r>
        <w:r>
          <w:rPr>
            <w:noProof/>
            <w:webHidden/>
          </w:rPr>
          <w:t>12</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5" w:history="1">
        <w:r w:rsidRPr="00856B1D">
          <w:rPr>
            <w:rStyle w:val="Hyperlink"/>
            <w:noProof/>
            <w:lang w:val="en-US"/>
          </w:rPr>
          <w:t>11. Recommendation from the Commission to the Council to authorise the Commission to open negotiations on behalf of the European Union for the renewal of the protocol to the Fisheries Partnership Agreement with Madagascar- Adoption of Council Decision</w:t>
        </w:r>
        <w:r>
          <w:rPr>
            <w:noProof/>
            <w:webHidden/>
          </w:rPr>
          <w:tab/>
        </w:r>
        <w:r>
          <w:rPr>
            <w:noProof/>
            <w:webHidden/>
          </w:rPr>
          <w:fldChar w:fldCharType="begin"/>
        </w:r>
        <w:r>
          <w:rPr>
            <w:noProof/>
            <w:webHidden/>
          </w:rPr>
          <w:instrText xml:space="preserve"> PAGEREF _Toc321381075 \h </w:instrText>
        </w:r>
        <w:r>
          <w:rPr>
            <w:noProof/>
            <w:webHidden/>
          </w:rPr>
        </w:r>
        <w:r>
          <w:rPr>
            <w:noProof/>
            <w:webHidden/>
          </w:rPr>
          <w:fldChar w:fldCharType="separate"/>
        </w:r>
        <w:r>
          <w:rPr>
            <w:noProof/>
            <w:webHidden/>
          </w:rPr>
          <w:t>13</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6" w:history="1">
        <w:r w:rsidRPr="00856B1D">
          <w:rPr>
            <w:rStyle w:val="Hyperlink"/>
            <w:noProof/>
            <w:lang w:val="en-US"/>
          </w:rPr>
          <w:t>12. Proposal for a Directive of the European Parliament and of the Council on control of major-accident hazards involving dangerous substances (Seveso III) (First reading) (Legislative deliberation)- Approval of the final compromise text</w:t>
        </w:r>
        <w:r>
          <w:rPr>
            <w:noProof/>
            <w:webHidden/>
          </w:rPr>
          <w:tab/>
        </w:r>
        <w:r>
          <w:rPr>
            <w:noProof/>
            <w:webHidden/>
          </w:rPr>
          <w:fldChar w:fldCharType="begin"/>
        </w:r>
        <w:r>
          <w:rPr>
            <w:noProof/>
            <w:webHidden/>
          </w:rPr>
          <w:instrText xml:space="preserve"> PAGEREF _Toc321381076 \h </w:instrText>
        </w:r>
        <w:r>
          <w:rPr>
            <w:noProof/>
            <w:webHidden/>
          </w:rPr>
        </w:r>
        <w:r>
          <w:rPr>
            <w:noProof/>
            <w:webHidden/>
          </w:rPr>
          <w:fldChar w:fldCharType="separate"/>
        </w:r>
        <w:r>
          <w:rPr>
            <w:noProof/>
            <w:webHidden/>
          </w:rPr>
          <w:t>14</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7" w:history="1">
        <w:r w:rsidRPr="00856B1D">
          <w:rPr>
            <w:rStyle w:val="Hyperlink"/>
            <w:noProof/>
            <w:lang w:val="en-US"/>
          </w:rPr>
          <w:t>13. Proposal for a Regulation of the European Parliament and of the Council on the accelerated phasing-in of double-hull or equivalent design requirements for single-hull oil tankers (Recast) (First reading) (Legislative deliberation)- Approval of the final compromise text</w:t>
        </w:r>
        <w:r>
          <w:rPr>
            <w:noProof/>
            <w:webHidden/>
          </w:rPr>
          <w:tab/>
        </w:r>
        <w:r>
          <w:rPr>
            <w:noProof/>
            <w:webHidden/>
          </w:rPr>
          <w:fldChar w:fldCharType="begin"/>
        </w:r>
        <w:r>
          <w:rPr>
            <w:noProof/>
            <w:webHidden/>
          </w:rPr>
          <w:instrText xml:space="preserve"> PAGEREF _Toc321381077 \h </w:instrText>
        </w:r>
        <w:r>
          <w:rPr>
            <w:noProof/>
            <w:webHidden/>
          </w:rPr>
        </w:r>
        <w:r>
          <w:rPr>
            <w:noProof/>
            <w:webHidden/>
          </w:rPr>
          <w:fldChar w:fldCharType="separate"/>
        </w:r>
        <w:r>
          <w:rPr>
            <w:noProof/>
            <w:webHidden/>
          </w:rPr>
          <w:t>15</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78" w:history="1">
        <w:r w:rsidRPr="00856B1D">
          <w:rPr>
            <w:rStyle w:val="Hyperlink"/>
            <w:noProof/>
            <w:lang w:val="en-US"/>
          </w:rPr>
          <w:t>14. Proposal for a Directive of the European Parliament and of the Council amending Directive 2004/40/EC on minimum health and safety requirements regarding the exposure of workers to the risks arising from physical agents (electromagnetic fields) (eighteenth individual Directive within the meaning of Article 16(1) of Directive 89/391/EEC) (First reading) (Legislative deliberation)- Decision to use the written procedure for the adoption of the legislative act (°)</w:t>
        </w:r>
        <w:r>
          <w:rPr>
            <w:noProof/>
            <w:webHidden/>
          </w:rPr>
          <w:tab/>
        </w:r>
        <w:r>
          <w:rPr>
            <w:noProof/>
            <w:webHidden/>
          </w:rPr>
          <w:fldChar w:fldCharType="begin"/>
        </w:r>
        <w:r>
          <w:rPr>
            <w:noProof/>
            <w:webHidden/>
          </w:rPr>
          <w:instrText xml:space="preserve"> PAGEREF _Toc321381078 \h </w:instrText>
        </w:r>
        <w:r>
          <w:rPr>
            <w:noProof/>
            <w:webHidden/>
          </w:rPr>
        </w:r>
        <w:r>
          <w:rPr>
            <w:noProof/>
            <w:webHidden/>
          </w:rPr>
          <w:fldChar w:fldCharType="separate"/>
        </w:r>
        <w:r>
          <w:rPr>
            <w:noProof/>
            <w:webHidden/>
          </w:rPr>
          <w:t>16</w:t>
        </w:r>
        <w:r>
          <w:rPr>
            <w:noProof/>
            <w:webHidden/>
          </w:rPr>
          <w:fldChar w:fldCharType="end"/>
        </w:r>
      </w:hyperlink>
    </w:p>
    <w:p w:rsidR="001234F8" w:rsidRDefault="001234F8">
      <w:pPr>
        <w:pStyle w:val="TOC1"/>
        <w:tabs>
          <w:tab w:val="right" w:leader="dot" w:pos="7644"/>
        </w:tabs>
        <w:rPr>
          <w:rFonts w:ascii="Times New Roman" w:hAnsi="Times New Roman"/>
          <w:b w:val="0"/>
          <w:bCs w:val="0"/>
          <w:caps w:val="0"/>
          <w:noProof/>
          <w:szCs w:val="24"/>
          <w:lang w:eastAsia="sv-SE"/>
        </w:rPr>
      </w:pPr>
      <w:hyperlink w:anchor="_Toc321381079" w:history="1">
        <w:r w:rsidRPr="00856B1D">
          <w:rPr>
            <w:rStyle w:val="Hyperlink"/>
            <w:noProof/>
          </w:rPr>
          <w:t>Troliga A-punkter inför kommande rådsmöten som godkändes vid Coreper II 2012-04-04.</w:t>
        </w:r>
        <w:r>
          <w:rPr>
            <w:noProof/>
            <w:webHidden/>
          </w:rPr>
          <w:tab/>
        </w:r>
        <w:r>
          <w:rPr>
            <w:noProof/>
            <w:webHidden/>
          </w:rPr>
          <w:fldChar w:fldCharType="begin"/>
        </w:r>
        <w:r>
          <w:rPr>
            <w:noProof/>
            <w:webHidden/>
          </w:rPr>
          <w:instrText xml:space="preserve"> PAGEREF _Toc321381079 \h </w:instrText>
        </w:r>
        <w:r>
          <w:rPr>
            <w:noProof/>
            <w:webHidden/>
          </w:rPr>
        </w:r>
        <w:r>
          <w:rPr>
            <w:noProof/>
            <w:webHidden/>
          </w:rPr>
          <w:fldChar w:fldCharType="separate"/>
        </w:r>
        <w:r>
          <w:rPr>
            <w:noProof/>
            <w:webHidden/>
          </w:rPr>
          <w:t>17</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0" w:history="1">
        <w:r w:rsidRPr="00856B1D">
          <w:rPr>
            <w:rStyle w:val="Hyperlink"/>
            <w:noProof/>
            <w:lang w:val="en-US"/>
          </w:rPr>
          <w:t>15. Case before the General Court of the European Union = Case T-58/12 Ghasem NABIPOUR e.a. against the Council of the European Union</w:t>
        </w:r>
        <w:r>
          <w:rPr>
            <w:noProof/>
            <w:webHidden/>
          </w:rPr>
          <w:tab/>
        </w:r>
        <w:r>
          <w:rPr>
            <w:noProof/>
            <w:webHidden/>
          </w:rPr>
          <w:fldChar w:fldCharType="begin"/>
        </w:r>
        <w:r>
          <w:rPr>
            <w:noProof/>
            <w:webHidden/>
          </w:rPr>
          <w:instrText xml:space="preserve"> PAGEREF _Toc321381080 \h </w:instrText>
        </w:r>
        <w:r>
          <w:rPr>
            <w:noProof/>
            <w:webHidden/>
          </w:rPr>
        </w:r>
        <w:r>
          <w:rPr>
            <w:noProof/>
            <w:webHidden/>
          </w:rPr>
          <w:fldChar w:fldCharType="separate"/>
        </w:r>
        <w:r>
          <w:rPr>
            <w:noProof/>
            <w:webHidden/>
          </w:rPr>
          <w:t>17</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1" w:history="1">
        <w:r w:rsidRPr="00856B1D">
          <w:rPr>
            <w:rStyle w:val="Hyperlink"/>
            <w:noProof/>
            <w:lang w:val="en-US"/>
          </w:rPr>
          <w:t>16. Case before the General Court of the European Union = Case T-67/12 SINA BANK against the Council of the European Union</w:t>
        </w:r>
        <w:r>
          <w:rPr>
            <w:noProof/>
            <w:webHidden/>
          </w:rPr>
          <w:tab/>
        </w:r>
        <w:r>
          <w:rPr>
            <w:noProof/>
            <w:webHidden/>
          </w:rPr>
          <w:fldChar w:fldCharType="begin"/>
        </w:r>
        <w:r>
          <w:rPr>
            <w:noProof/>
            <w:webHidden/>
          </w:rPr>
          <w:instrText xml:space="preserve"> PAGEREF _Toc321381081 \h </w:instrText>
        </w:r>
        <w:r>
          <w:rPr>
            <w:noProof/>
            <w:webHidden/>
          </w:rPr>
        </w:r>
        <w:r>
          <w:rPr>
            <w:noProof/>
            <w:webHidden/>
          </w:rPr>
          <w:fldChar w:fldCharType="separate"/>
        </w:r>
        <w:r>
          <w:rPr>
            <w:noProof/>
            <w:webHidden/>
          </w:rPr>
          <w:t>17</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2" w:history="1">
        <w:r w:rsidRPr="00856B1D">
          <w:rPr>
            <w:rStyle w:val="Hyperlink"/>
            <w:noProof/>
            <w:lang w:val="en-US"/>
          </w:rPr>
          <w:t>17. Case before the General Court of the European Union = Case T-651/11, Syriatel Mobile Telecom (Joint Stock Company) against the Council</w:t>
        </w:r>
        <w:r>
          <w:rPr>
            <w:noProof/>
            <w:webHidden/>
          </w:rPr>
          <w:tab/>
        </w:r>
        <w:r>
          <w:rPr>
            <w:noProof/>
            <w:webHidden/>
          </w:rPr>
          <w:fldChar w:fldCharType="begin"/>
        </w:r>
        <w:r>
          <w:rPr>
            <w:noProof/>
            <w:webHidden/>
          </w:rPr>
          <w:instrText xml:space="preserve"> PAGEREF _Toc321381082 \h </w:instrText>
        </w:r>
        <w:r>
          <w:rPr>
            <w:noProof/>
            <w:webHidden/>
          </w:rPr>
        </w:r>
        <w:r>
          <w:rPr>
            <w:noProof/>
            <w:webHidden/>
          </w:rPr>
          <w:fldChar w:fldCharType="separate"/>
        </w:r>
        <w:r>
          <w:rPr>
            <w:noProof/>
            <w:webHidden/>
          </w:rPr>
          <w:t>18</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3" w:history="1">
        <w:r w:rsidRPr="00856B1D">
          <w:rPr>
            <w:rStyle w:val="Hyperlink"/>
            <w:noProof/>
            <w:lang w:val="en-US"/>
          </w:rPr>
          <w:t>18. Council Decision appointing a German alternate member of the Committee of the Regions</w:t>
        </w:r>
        <w:r>
          <w:rPr>
            <w:noProof/>
            <w:webHidden/>
          </w:rPr>
          <w:tab/>
        </w:r>
        <w:r>
          <w:rPr>
            <w:noProof/>
            <w:webHidden/>
          </w:rPr>
          <w:fldChar w:fldCharType="begin"/>
        </w:r>
        <w:r>
          <w:rPr>
            <w:noProof/>
            <w:webHidden/>
          </w:rPr>
          <w:instrText xml:space="preserve"> PAGEREF _Toc321381083 \h </w:instrText>
        </w:r>
        <w:r>
          <w:rPr>
            <w:noProof/>
            <w:webHidden/>
          </w:rPr>
        </w:r>
        <w:r>
          <w:rPr>
            <w:noProof/>
            <w:webHidden/>
          </w:rPr>
          <w:fldChar w:fldCharType="separate"/>
        </w:r>
        <w:r>
          <w:rPr>
            <w:noProof/>
            <w:webHidden/>
          </w:rPr>
          <w:t>18</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4" w:history="1">
        <w:r w:rsidRPr="00856B1D">
          <w:rPr>
            <w:rStyle w:val="Hyperlink"/>
            <w:noProof/>
            <w:lang w:val="en-US"/>
          </w:rPr>
          <w:t>19. Council Decision appointing a Luxembourg member of the Committee of the Regions</w:t>
        </w:r>
        <w:r>
          <w:rPr>
            <w:noProof/>
            <w:webHidden/>
          </w:rPr>
          <w:tab/>
        </w:r>
        <w:r>
          <w:rPr>
            <w:noProof/>
            <w:webHidden/>
          </w:rPr>
          <w:fldChar w:fldCharType="begin"/>
        </w:r>
        <w:r>
          <w:rPr>
            <w:noProof/>
            <w:webHidden/>
          </w:rPr>
          <w:instrText xml:space="preserve"> PAGEREF _Toc321381084 \h </w:instrText>
        </w:r>
        <w:r>
          <w:rPr>
            <w:noProof/>
            <w:webHidden/>
          </w:rPr>
        </w:r>
        <w:r>
          <w:rPr>
            <w:noProof/>
            <w:webHidden/>
          </w:rPr>
          <w:fldChar w:fldCharType="separate"/>
        </w:r>
        <w:r>
          <w:rPr>
            <w:noProof/>
            <w:webHidden/>
          </w:rPr>
          <w:t>18</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5" w:history="1">
        <w:r w:rsidRPr="00856B1D">
          <w:rPr>
            <w:rStyle w:val="Hyperlink"/>
            <w:noProof/>
            <w:lang w:val="en-US"/>
          </w:rPr>
          <w:t>20. Transparency - Public access to documents = Tenth annual report of the Council on the implementation of Regulation No 1049/2001 of the European Parliament and of the Council of 30 May 2001 regarding public access to European Parliament, Council and Commission documents</w:t>
        </w:r>
        <w:r>
          <w:rPr>
            <w:noProof/>
            <w:webHidden/>
          </w:rPr>
          <w:tab/>
        </w:r>
        <w:r>
          <w:rPr>
            <w:noProof/>
            <w:webHidden/>
          </w:rPr>
          <w:fldChar w:fldCharType="begin"/>
        </w:r>
        <w:r>
          <w:rPr>
            <w:noProof/>
            <w:webHidden/>
          </w:rPr>
          <w:instrText xml:space="preserve"> PAGEREF _Toc321381085 \h </w:instrText>
        </w:r>
        <w:r>
          <w:rPr>
            <w:noProof/>
            <w:webHidden/>
          </w:rPr>
        </w:r>
        <w:r>
          <w:rPr>
            <w:noProof/>
            <w:webHidden/>
          </w:rPr>
          <w:fldChar w:fldCharType="separate"/>
        </w:r>
        <w:r>
          <w:rPr>
            <w:noProof/>
            <w:webHidden/>
          </w:rPr>
          <w:t>19</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6" w:history="1">
        <w:r w:rsidRPr="00856B1D">
          <w:rPr>
            <w:rStyle w:val="Hyperlink"/>
            <w:noProof/>
            <w:lang w:val="en-US"/>
          </w:rPr>
          <w:t>21. Dates for the budgetary procedure and modalities for the functioning of the Conciliation Committee in 2012 = Outcome of the trilogue on 26 March 2012</w:t>
        </w:r>
        <w:r>
          <w:rPr>
            <w:noProof/>
            <w:webHidden/>
          </w:rPr>
          <w:tab/>
        </w:r>
        <w:r>
          <w:rPr>
            <w:noProof/>
            <w:webHidden/>
          </w:rPr>
          <w:fldChar w:fldCharType="begin"/>
        </w:r>
        <w:r>
          <w:rPr>
            <w:noProof/>
            <w:webHidden/>
          </w:rPr>
          <w:instrText xml:space="preserve"> PAGEREF _Toc321381086 \h </w:instrText>
        </w:r>
        <w:r>
          <w:rPr>
            <w:noProof/>
            <w:webHidden/>
          </w:rPr>
        </w:r>
        <w:r>
          <w:rPr>
            <w:noProof/>
            <w:webHidden/>
          </w:rPr>
          <w:fldChar w:fldCharType="separate"/>
        </w:r>
        <w:r>
          <w:rPr>
            <w:noProof/>
            <w:webHidden/>
          </w:rPr>
          <w:t>19</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7" w:history="1">
        <w:r w:rsidRPr="00856B1D">
          <w:rPr>
            <w:rStyle w:val="Hyperlink"/>
            <w:noProof/>
            <w:lang w:val="en-US"/>
          </w:rPr>
          <w:t>22. Draft Council conclusions on Special Report No 15/2011 by the European Court of Auditors: Do the Commission's procedures ensure effective management of State aid control?</w:t>
        </w:r>
        <w:r>
          <w:rPr>
            <w:noProof/>
            <w:webHidden/>
          </w:rPr>
          <w:tab/>
        </w:r>
        <w:r>
          <w:rPr>
            <w:noProof/>
            <w:webHidden/>
          </w:rPr>
          <w:fldChar w:fldCharType="begin"/>
        </w:r>
        <w:r>
          <w:rPr>
            <w:noProof/>
            <w:webHidden/>
          </w:rPr>
          <w:instrText xml:space="preserve"> PAGEREF _Toc321381087 \h </w:instrText>
        </w:r>
        <w:r>
          <w:rPr>
            <w:noProof/>
            <w:webHidden/>
          </w:rPr>
        </w:r>
        <w:r>
          <w:rPr>
            <w:noProof/>
            <w:webHidden/>
          </w:rPr>
          <w:fldChar w:fldCharType="separate"/>
        </w:r>
        <w:r>
          <w:rPr>
            <w:noProof/>
            <w:webHidden/>
          </w:rPr>
          <w:t>20</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8" w:history="1">
        <w:r w:rsidRPr="00856B1D">
          <w:rPr>
            <w:rStyle w:val="Hyperlink"/>
            <w:noProof/>
            <w:lang w:val="en-US"/>
          </w:rPr>
          <w:t>23. Council Decision on the position to be taken by the European Union in the EEA Joint Committee concerning an amendment to Annex XXI (Statistics) to the EEA Agreement</w:t>
        </w:r>
        <w:r>
          <w:rPr>
            <w:noProof/>
            <w:webHidden/>
          </w:rPr>
          <w:tab/>
        </w:r>
        <w:r>
          <w:rPr>
            <w:noProof/>
            <w:webHidden/>
          </w:rPr>
          <w:fldChar w:fldCharType="begin"/>
        </w:r>
        <w:r>
          <w:rPr>
            <w:noProof/>
            <w:webHidden/>
          </w:rPr>
          <w:instrText xml:space="preserve"> PAGEREF _Toc321381088 \h </w:instrText>
        </w:r>
        <w:r>
          <w:rPr>
            <w:noProof/>
            <w:webHidden/>
          </w:rPr>
        </w:r>
        <w:r>
          <w:rPr>
            <w:noProof/>
            <w:webHidden/>
          </w:rPr>
          <w:fldChar w:fldCharType="separate"/>
        </w:r>
        <w:r>
          <w:rPr>
            <w:noProof/>
            <w:webHidden/>
          </w:rPr>
          <w:t>21</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89" w:history="1">
        <w:r w:rsidRPr="00856B1D">
          <w:rPr>
            <w:rStyle w:val="Hyperlink"/>
            <w:noProof/>
            <w:lang w:val="en-US"/>
          </w:rPr>
          <w:t>24. Multiannual table of authorised C.SIS installation expenditure - third quarter of 2011</w:t>
        </w:r>
        <w:r>
          <w:rPr>
            <w:noProof/>
            <w:webHidden/>
          </w:rPr>
          <w:tab/>
        </w:r>
        <w:r>
          <w:rPr>
            <w:noProof/>
            <w:webHidden/>
          </w:rPr>
          <w:fldChar w:fldCharType="begin"/>
        </w:r>
        <w:r>
          <w:rPr>
            <w:noProof/>
            <w:webHidden/>
          </w:rPr>
          <w:instrText xml:space="preserve"> PAGEREF _Toc321381089 \h </w:instrText>
        </w:r>
        <w:r>
          <w:rPr>
            <w:noProof/>
            <w:webHidden/>
          </w:rPr>
        </w:r>
        <w:r>
          <w:rPr>
            <w:noProof/>
            <w:webHidden/>
          </w:rPr>
          <w:fldChar w:fldCharType="separate"/>
        </w:r>
        <w:r>
          <w:rPr>
            <w:noProof/>
            <w:webHidden/>
          </w:rPr>
          <w:t>22</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90" w:history="1">
        <w:r w:rsidRPr="00856B1D">
          <w:rPr>
            <w:rStyle w:val="Hyperlink"/>
            <w:noProof/>
            <w:lang w:val="en-US"/>
          </w:rPr>
          <w:t>25. Proposal for a Regulation of the European Parliament and of the Council amending Council Regulation (EC) No 562/2006 of the European Parliament and of the Council establishing a Community Code on the rules governing the movement of persons across borders (Schengen Borders Code) and the Convention implementing the Schengen Agreement (First reading)</w:t>
        </w:r>
        <w:r>
          <w:rPr>
            <w:noProof/>
            <w:webHidden/>
          </w:rPr>
          <w:tab/>
        </w:r>
        <w:r>
          <w:rPr>
            <w:noProof/>
            <w:webHidden/>
          </w:rPr>
          <w:fldChar w:fldCharType="begin"/>
        </w:r>
        <w:r>
          <w:rPr>
            <w:noProof/>
            <w:webHidden/>
          </w:rPr>
          <w:instrText xml:space="preserve"> PAGEREF _Toc321381090 \h </w:instrText>
        </w:r>
        <w:r>
          <w:rPr>
            <w:noProof/>
            <w:webHidden/>
          </w:rPr>
        </w:r>
        <w:r>
          <w:rPr>
            <w:noProof/>
            <w:webHidden/>
          </w:rPr>
          <w:fldChar w:fldCharType="separate"/>
        </w:r>
        <w:r>
          <w:rPr>
            <w:noProof/>
            <w:webHidden/>
          </w:rPr>
          <w:t>22</w:t>
        </w:r>
        <w:r>
          <w:rPr>
            <w:noProof/>
            <w:webHidden/>
          </w:rPr>
          <w:fldChar w:fldCharType="end"/>
        </w:r>
      </w:hyperlink>
    </w:p>
    <w:p w:rsidR="001234F8" w:rsidRDefault="001234F8">
      <w:pPr>
        <w:pStyle w:val="TOC2"/>
        <w:tabs>
          <w:tab w:val="right" w:leader="dot" w:pos="7644"/>
        </w:tabs>
        <w:rPr>
          <w:b w:val="0"/>
          <w:bCs w:val="0"/>
          <w:noProof/>
          <w:lang w:eastAsia="sv-SE"/>
        </w:rPr>
      </w:pPr>
      <w:hyperlink w:anchor="_Toc321381091" w:history="1">
        <w:r w:rsidRPr="00856B1D">
          <w:rPr>
            <w:rStyle w:val="Hyperlink"/>
            <w:noProof/>
            <w:lang w:val="en-US"/>
          </w:rPr>
          <w:t>26. Draft Council conclusions on improving civil protection through lessons learnt = Adoption</w:t>
        </w:r>
        <w:r>
          <w:rPr>
            <w:noProof/>
            <w:webHidden/>
          </w:rPr>
          <w:tab/>
        </w:r>
        <w:r>
          <w:rPr>
            <w:noProof/>
            <w:webHidden/>
          </w:rPr>
          <w:fldChar w:fldCharType="begin"/>
        </w:r>
        <w:r>
          <w:rPr>
            <w:noProof/>
            <w:webHidden/>
          </w:rPr>
          <w:instrText xml:space="preserve"> PAGEREF _Toc321381091 \h </w:instrText>
        </w:r>
        <w:r>
          <w:rPr>
            <w:noProof/>
            <w:webHidden/>
          </w:rPr>
        </w:r>
        <w:r>
          <w:rPr>
            <w:noProof/>
            <w:webHidden/>
          </w:rPr>
          <w:fldChar w:fldCharType="separate"/>
        </w:r>
        <w:r>
          <w:rPr>
            <w:noProof/>
            <w:webHidden/>
          </w:rPr>
          <w:t>23</w:t>
        </w:r>
        <w:r>
          <w:rPr>
            <w:noProof/>
            <w:webHidden/>
          </w:rPr>
          <w:fldChar w:fldCharType="end"/>
        </w:r>
      </w:hyperlink>
    </w:p>
    <w:p w:rsidR="001234F8" w:rsidRDefault="001234F8">
      <w:pPr>
        <w:pStyle w:val="RKnormal"/>
        <w:ind w:left="0"/>
        <w:rPr>
          <w:b/>
          <w:bCs/>
        </w:rPr>
      </w:pPr>
      <w:r>
        <w:rPr>
          <w:b/>
          <w:bCs/>
        </w:rPr>
        <w:fldChar w:fldCharType="end"/>
      </w:r>
    </w:p>
    <w:p w:rsidR="001234F8" w:rsidRDefault="001234F8">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138106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234F8" w:rsidRDefault="001234F8">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234F8" w:rsidRDefault="001234F8">
      <w:pPr>
        <w:tabs>
          <w:tab w:val="left" w:pos="1843"/>
        </w:tabs>
      </w:pPr>
    </w:p>
    <w:p w:rsidR="001234F8" w:rsidRDefault="001234F8">
      <w:pPr>
        <w:tabs>
          <w:tab w:val="left" w:pos="1843"/>
        </w:tabs>
      </w:pPr>
    </w:p>
    <w:p w:rsidR="001234F8" w:rsidRDefault="001234F8" w:rsidP="00B771FC">
      <w:pPr>
        <w:pStyle w:val="Heading1"/>
      </w:pPr>
      <w:bookmarkStart w:id="54" w:name="_Toc321381064"/>
      <w:r>
        <w:t>Troliga A-punkter inför kommande rådsmöten som godkändes vid Coreper I 2012-04-04.</w:t>
      </w:r>
      <w:bookmarkEnd w:id="54"/>
    </w:p>
    <w:p w:rsidR="001234F8" w:rsidRDefault="001234F8" w:rsidP="00E23B63">
      <w:pPr>
        <w:pStyle w:val="Heading2"/>
        <w:rPr>
          <w:lang w:val="en-US"/>
        </w:rPr>
      </w:pPr>
      <w:bookmarkStart w:id="55" w:name="_Toc321381065"/>
      <w:r w:rsidRPr="00E23B63">
        <w:rPr>
          <w:lang w:val="en-US"/>
        </w:rPr>
        <w:t>1. Replies to written questions put to the Council by Members of the European Parliament (+)</w:t>
      </w:r>
      <w:bookmarkEnd w:id="55"/>
    </w:p>
    <w:p w:rsidR="001234F8" w:rsidRPr="00E23B63" w:rsidRDefault="001234F8" w:rsidP="00B771FC">
      <w:pPr>
        <w:rPr>
          <w:lang w:val="en-US"/>
        </w:rPr>
      </w:pPr>
      <w:r w:rsidRPr="00E23B63">
        <w:rPr>
          <w:lang w:val="en-US"/>
        </w:rPr>
        <w:t>(a) n° E-012079/2011 put by Monika Flašíková Benová "EU sanctions against Russian officials" (b) n° E-000436/2012 put by Silvia-Adriana Ticau "EU Danish Presidency - actions to promote the European Year of Active Ageing" (c) n° E-000477/2012 put by Vilija Blinkeviciute "Ensuring the European Parliament's role in adopting and implementing the Treaty on stability, coordination and governance in the Economic and Monetary Union" (d) n° E-000743/2012 put by Antolín Sánchez Presedo "Strengthening safety nets for financial stability" 8(e) n° E-000899/2012 put by Matteo Salvini "Rating agencies" (f) n° E-001032/2012 put by Phil Prendergast "Parties to the Anti-Counterfeiting Trade Agreement" (g) n° E-001043/2012 put by Phil Prendergast "Implementation of the Anti-Counterfeiting Trade Agreement in the Member States" (h) n° E-001512/2012 put by Auke Zijlstra "Greece is building a fence along its border with Turkey"(i) n° E-001718/2012 put by Janusz Wojciechowski "Measures taken by the Polish Presidency with regard to legislation on GMOs" (j) n° E-001720/2012 put by Ramon Tremosa i Balce</w:t>
      </w:r>
      <w:r>
        <w:rPr>
          <w:lang w:val="en-US"/>
        </w:rPr>
        <w:t xml:space="preserve">lls "Risk-sharing instruments" </w:t>
      </w:r>
      <w:r w:rsidRPr="00E23B63">
        <w:rPr>
          <w:lang w:val="en-US"/>
        </w:rPr>
        <w:t>(k) n° E-001801/2012 put by Martin Ehrenhauser "European Data Protection Supervisor's inspection report"</w:t>
      </w:r>
    </w:p>
    <w:p w:rsidR="001234F8" w:rsidRDefault="001234F8">
      <w:pPr>
        <w:pStyle w:val="RKnormal"/>
        <w:tabs>
          <w:tab w:val="clear" w:pos="1843"/>
          <w:tab w:val="left" w:pos="0"/>
        </w:tabs>
        <w:ind w:left="0"/>
        <w:rPr>
          <w:lang w:val="en-US"/>
        </w:rPr>
      </w:pPr>
    </w:p>
    <w:p w:rsidR="001234F8" w:rsidRPr="00082676" w:rsidRDefault="001234F8" w:rsidP="00E23B63">
      <w:r w:rsidRPr="00082676">
        <w:t>8090/12, 7497/12, 8105/12, 108/12, 8103/12, 8106/12, 8107/12, 7378/12, 7436/12, 7493/12, 7437/12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Statsrådsberedningen</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Birgitta Ohlsson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Pr="00E23B63" w:rsidRDefault="001234F8" w:rsidP="00B771FC">
      <w:pPr>
        <w:rPr>
          <w:lang w:val="en-US"/>
        </w:rPr>
      </w:pPr>
      <w:r w:rsidRPr="00E23B63">
        <w:rPr>
          <w:lang w:val="en-US"/>
        </w:rPr>
        <w:t xml:space="preserve">Föranleder ingen annotering. </w:t>
      </w:r>
    </w:p>
    <w:p w:rsidR="001234F8" w:rsidRPr="00E23B63" w:rsidRDefault="001234F8" w:rsidP="00E23B63">
      <w:pPr>
        <w:pStyle w:val="Heading2"/>
        <w:rPr>
          <w:lang w:val="en-US"/>
        </w:rPr>
      </w:pPr>
      <w:bookmarkStart w:id="56" w:name="_Toc321381066"/>
      <w:r w:rsidRPr="00E23B63">
        <w:rPr>
          <w:lang w:val="en-US"/>
        </w:rPr>
        <w:t>2. Consumption of EAGF appropriations for the period from 16 October 2011 to 31 January 2012- Information note for the Permanent Representatives Committee (Part 1)</w:t>
      </w:r>
      <w:bookmarkEnd w:id="56"/>
    </w:p>
    <w:p w:rsidR="001234F8" w:rsidRPr="00082676" w:rsidRDefault="001234F8" w:rsidP="00E23B63">
      <w:r w:rsidRPr="00082676">
        <w:t>8323/12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Finansdepartementet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Anders Borg</w:t>
      </w:r>
    </w:p>
    <w:p w:rsidR="001234F8" w:rsidRPr="00082676" w:rsidRDefault="001234F8">
      <w:pPr>
        <w:pStyle w:val="RKnormal"/>
        <w:tabs>
          <w:tab w:val="clear" w:pos="1843"/>
          <w:tab w:val="left" w:pos="0"/>
        </w:tabs>
        <w:ind w:left="0"/>
      </w:pPr>
    </w:p>
    <w:p w:rsidR="001234F8" w:rsidRDefault="001234F8" w:rsidP="00B771FC">
      <w:r w:rsidRPr="00CA21F1">
        <w:t>Godkänd av Coreper I den 4 april 2012</w:t>
      </w:r>
      <w:r w:rsidRPr="00B771FC">
        <w:t xml:space="preserve"> </w:t>
      </w:r>
    </w:p>
    <w:p w:rsidR="001234F8" w:rsidRDefault="001234F8" w:rsidP="00B771FC"/>
    <w:p w:rsidR="001234F8" w:rsidRDefault="001234F8" w:rsidP="00CA21F1">
      <w:r>
        <w:t>Rådet föreslås godkänna informationsnoten.</w:t>
      </w:r>
    </w:p>
    <w:p w:rsidR="001234F8" w:rsidRDefault="001234F8" w:rsidP="00CA21F1"/>
    <w:p w:rsidR="001234F8" w:rsidRDefault="001234F8" w:rsidP="00CA21F1">
      <w:r>
        <w:t xml:space="preserve">Regeringen avser rösta ja. </w:t>
      </w:r>
    </w:p>
    <w:p w:rsidR="001234F8" w:rsidRDefault="001234F8" w:rsidP="00CA21F1"/>
    <w:p w:rsidR="001234F8" w:rsidRPr="00B771FC" w:rsidRDefault="001234F8" w:rsidP="00CA21F1">
      <w:r>
        <w:t>Informationsnot till Coreper om förbrukningen av medel inom Europeiska Garantifonden för Jordbruket för perioden 16 oktober till 31 januari 2011.</w:t>
      </w:r>
    </w:p>
    <w:p w:rsidR="001234F8" w:rsidRPr="00E23B63" w:rsidRDefault="001234F8" w:rsidP="00E23B63">
      <w:pPr>
        <w:pStyle w:val="Heading2"/>
        <w:rPr>
          <w:lang w:val="en-US"/>
        </w:rPr>
      </w:pPr>
      <w:bookmarkStart w:id="57" w:name="_Toc321381067"/>
      <w:r w:rsidRPr="00E23B63">
        <w:rPr>
          <w:lang w:val="en-US"/>
        </w:rPr>
        <w:t>3. Advisory Committee on Freedom of Movement for Workers Appointment of Ms Anna ROBRA, German alternate member, in place of Ms Georgia HEINE who has resigned- Adoption</w:t>
      </w:r>
      <w:bookmarkEnd w:id="57"/>
    </w:p>
    <w:p w:rsidR="001234F8" w:rsidRPr="00082676" w:rsidRDefault="001234F8" w:rsidP="00E23B63">
      <w:r w:rsidRPr="00082676">
        <w:t>7852/12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Arbetsmarknadsdepartementet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Hillevi Engström</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Pr="00E23B63" w:rsidRDefault="001234F8" w:rsidP="00B771FC">
      <w:pPr>
        <w:rPr>
          <w:lang w:val="en-US"/>
        </w:rPr>
      </w:pPr>
      <w:r w:rsidRPr="00E23B63">
        <w:rPr>
          <w:lang w:val="en-US"/>
        </w:rPr>
        <w:t xml:space="preserve">Föranleder ingen annotering. </w:t>
      </w:r>
    </w:p>
    <w:p w:rsidR="001234F8" w:rsidRPr="00E23B63" w:rsidRDefault="001234F8" w:rsidP="00E23B63">
      <w:pPr>
        <w:pStyle w:val="Heading2"/>
        <w:rPr>
          <w:lang w:val="en-US"/>
        </w:rPr>
      </w:pPr>
      <w:r>
        <w:rPr>
          <w:lang w:val="en-US"/>
        </w:rPr>
        <w:br w:type="page"/>
      </w:r>
      <w:bookmarkStart w:id="58" w:name="_Toc321381068"/>
      <w:r w:rsidRPr="00E23B63">
        <w:rPr>
          <w:lang w:val="en-US"/>
        </w:rPr>
        <w:t>4. Advisory Committee on Freedom of Movement for WorkersAppointment of Ms Carmen Eugenia BÂRSAN, German member, in place of Mr Stefan STRÄSSER who has resigned- Adoption</w:t>
      </w:r>
      <w:bookmarkEnd w:id="58"/>
    </w:p>
    <w:p w:rsidR="001234F8" w:rsidRPr="00082676" w:rsidRDefault="001234F8" w:rsidP="00E23B63">
      <w:r w:rsidRPr="00082676">
        <w:t>7937/12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Arbetsmarknadsdepartementet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Hillevi Engström</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AE4CC8">
      <w:r>
        <w:t xml:space="preserve">Föranleder ingen annotering. </w:t>
      </w:r>
    </w:p>
    <w:p w:rsidR="001234F8" w:rsidRPr="00E23B63" w:rsidRDefault="001234F8" w:rsidP="00E23B63">
      <w:pPr>
        <w:pStyle w:val="Heading2"/>
        <w:rPr>
          <w:lang w:val="en-US"/>
        </w:rPr>
      </w:pPr>
      <w:bookmarkStart w:id="59" w:name="_Toc321381069"/>
      <w:r>
        <w:t xml:space="preserve">5. Commission Regulation (EU) No.../.. </w:t>
      </w:r>
      <w:r w:rsidRPr="00E23B63">
        <w:rPr>
          <w:lang w:val="en-US"/>
        </w:rPr>
        <w:t>of XXX implementing Directive 2009/125/EC of the European Parliament and of the Council with regard to ecodesign requirements for water pumps- Decision not to oppose adoption</w:t>
      </w:r>
      <w:bookmarkEnd w:id="59"/>
    </w:p>
    <w:p w:rsidR="001234F8" w:rsidRPr="00082676" w:rsidRDefault="001234F8" w:rsidP="00E23B63">
      <w:r w:rsidRPr="00082676">
        <w:t>6358/12, 7929/12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Anna Karin Hatt</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Godkännande av förslag till ekodesignkrav för vattenpumpar.</w:t>
      </w:r>
    </w:p>
    <w:p w:rsidR="001234F8" w:rsidRDefault="001234F8" w:rsidP="00E23B63"/>
    <w:p w:rsidR="001234F8" w:rsidRDefault="001234F8" w:rsidP="00E23B63">
      <w:r>
        <w:t xml:space="preserve">Regeringen anser att Sverige bör rösta ja till beslutet att rådet inte motsätta sig förslaget om att införa ekodesignkrav på vattenpumpar.  </w:t>
      </w:r>
    </w:p>
    <w:p w:rsidR="001234F8" w:rsidRDefault="001234F8" w:rsidP="00E23B63"/>
    <w:p w:rsidR="001234F8" w:rsidRPr="00340F05" w:rsidRDefault="001234F8" w:rsidP="00B771FC">
      <w:r>
        <w:t xml:space="preserve">Förslaget till förordning är en del av genomförandet av ekodesigndirektivet 2009/125/EG som handlar om att ställa minimikrav på energirelaterade produkters resursanvändning. Sverige har deltagit aktivt i arbetet i ekodesignkommittén och anser att det slutliga förslaget är acceptabelt. </w:t>
      </w:r>
      <w:r w:rsidRPr="00340F05">
        <w:t xml:space="preserve"> </w:t>
      </w:r>
    </w:p>
    <w:p w:rsidR="001234F8" w:rsidRPr="00E23B63" w:rsidRDefault="001234F8" w:rsidP="00E23B63">
      <w:pPr>
        <w:pStyle w:val="Heading2"/>
        <w:rPr>
          <w:lang w:val="en-US"/>
        </w:rPr>
      </w:pPr>
      <w:bookmarkStart w:id="60" w:name="_Toc321381070"/>
      <w:r w:rsidRPr="00E23B63">
        <w:rPr>
          <w:lang w:val="en-US"/>
        </w:rPr>
        <w:t>6. Commission Regulation (EU) No .../.. of XXX amending Annexes II and III to Regulation (EC) No 1072/2009 on common rules for access to the international road haulage market- Decision not to oppose the adoption</w:t>
      </w:r>
      <w:bookmarkEnd w:id="60"/>
    </w:p>
    <w:p w:rsidR="001234F8" w:rsidRPr="00082676" w:rsidRDefault="001234F8" w:rsidP="00E23B63">
      <w:r w:rsidRPr="00082676">
        <w:t>6883/12, 7925/12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Catharina Elmsäter-Svärd</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Rådet avses bekräfta att det inte finns några skäl att motsätta sig utkastet till åtgärd. Detta innebär att kommissionen kan anta den föreslagna åtgärden i enlighet med artikel 5a.3 d i rådets beslut 1999/468/EG, såvida Europaparlamentet inte motsätter sig dessa.</w:t>
      </w:r>
    </w:p>
    <w:p w:rsidR="001234F8" w:rsidRDefault="001234F8" w:rsidP="00E23B63"/>
    <w:p w:rsidR="001234F8" w:rsidRDefault="001234F8" w:rsidP="00E23B63">
      <w:r>
        <w:t>Regeringen avser inte emotsätta sig att kommissionen antar den föreslagna förordningen om ändring av bilagorna II och III till förordning (EG) nr 1072/2009.</w:t>
      </w:r>
    </w:p>
    <w:p w:rsidR="001234F8" w:rsidRDefault="001234F8" w:rsidP="00E23B63"/>
    <w:p w:rsidR="001234F8" w:rsidRDefault="001234F8" w:rsidP="00E23B63">
      <w:r>
        <w:t xml:space="preserve">I artikel 4 i förordning (EG) nr 1072/2009 framgår att ett gemenskapstillstånd ska utfärdas av en medlemsstat för varje transportföretag som bedriver godstransport på väg i yrkesmässig trafik. Gemenskapstillståndet ska enligt mall i bilaga II bl.a. utfärdas på ljusblått papper. I artikel 5 framgår på motsvarande sätt vad som ska gälla för att utfärdandet av förartillstånd. Förartillståndet ska enligt mall i bilaga III bl.a. utfärdas på rosa papper. Kommissionen har mandat att besluta om att anpassa innehållet i bilagorna till den tekniska utvecklingen och dess förslag ska beredas genom kommittéförfarande. </w:t>
      </w:r>
    </w:p>
    <w:p w:rsidR="001234F8" w:rsidRDefault="001234F8" w:rsidP="00E23B63"/>
    <w:p w:rsidR="001234F8" w:rsidRDefault="001234F8" w:rsidP="00340F05">
      <w:r>
        <w:t xml:space="preserve">Syftet med utkastet till åtgärd innebär att det av bilagorna på ett mer precist sätt anges vilken färgbeteckning som ska vara gällande för gemenskapstillståndet och förartillståndet. Detta bedöms bidra till en mer enhetlig tolkning och tillämpning av förordning (EG) nr 1072/2009. SE har inget att erinra mot föreslaget. </w:t>
      </w:r>
    </w:p>
    <w:p w:rsidR="001234F8" w:rsidRPr="00E23B63" w:rsidRDefault="001234F8" w:rsidP="00E23B63">
      <w:pPr>
        <w:pStyle w:val="Heading2"/>
        <w:rPr>
          <w:lang w:val="en-US"/>
        </w:rPr>
      </w:pPr>
      <w:r w:rsidRPr="00082676">
        <w:br w:type="page"/>
      </w:r>
      <w:bookmarkStart w:id="61" w:name="_Toc321381071"/>
      <w:r w:rsidRPr="00082676">
        <w:t xml:space="preserve">7. Commission Regulation (EU) No .../.. </w:t>
      </w:r>
      <w:r w:rsidRPr="00E23B63">
        <w:rPr>
          <w:lang w:val="en-US"/>
        </w:rPr>
        <w:t>of XXX amending Annex III to Regulation (EC) No 1071/2009 establishing common rules concerning the conditions to be complied with to pursue the occupation of road transport operator- Decision not to oppose the adoption</w:t>
      </w:r>
      <w:bookmarkEnd w:id="61"/>
    </w:p>
    <w:p w:rsidR="001234F8" w:rsidRPr="00082676" w:rsidRDefault="001234F8" w:rsidP="00E23B63">
      <w:r w:rsidRPr="00082676">
        <w:t>6882/12, 7917/12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Catharina Elmsäter-Svärd</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Rådet avses bekräfta att det inte finns några skäl att motsätta sig utkastet till åtgärd. Detta innebär att kommissionen kan anta den föreslagna åtgärden i enlighet med artikel 5a.3 d i rådets beslut 1999/468/EG, såvida Europaparlamentet inte motsätter sig dessa.</w:t>
      </w:r>
    </w:p>
    <w:p w:rsidR="001234F8" w:rsidRDefault="001234F8" w:rsidP="00E23B63"/>
    <w:p w:rsidR="001234F8" w:rsidRDefault="001234F8" w:rsidP="00E23B63">
      <w:r>
        <w:t>Regeringen avser inte emotsätta sig att kommissionens antar den föreslagna förordningen om ändring av bilaga III till förordning (EG) nr 1071/2009.</w:t>
      </w:r>
    </w:p>
    <w:p w:rsidR="001234F8" w:rsidRDefault="001234F8" w:rsidP="00E23B63"/>
    <w:p w:rsidR="001234F8" w:rsidRDefault="001234F8" w:rsidP="00E23B63">
      <w:r>
        <w:t xml:space="preserve">I artikel 21 i förordning (EG) nr 1071/2009 anges att medlemsstaterna som tillräckligt bevis för yrkeskunnande ska godta ett intyg som överensstämmer med mallen i bilaga III och som har utfärdats av den myndighet eller det organ som vederbörligen godkänts för detta. Av bilagan framgår bl.a. att intyget ska utfärdas på kraftigt beigefärgat papper. Kommissionen har mandat att besluta om att anpassa innehållet i bilagan till den tekniska utvecklingen och dess förslag ska beredas genom kommittéförfarande. </w:t>
      </w:r>
    </w:p>
    <w:p w:rsidR="001234F8" w:rsidRDefault="001234F8" w:rsidP="00E23B63"/>
    <w:p w:rsidR="001234F8" w:rsidRPr="00082676" w:rsidRDefault="001234F8" w:rsidP="00340F05">
      <w:r>
        <w:t>Syftet med utkastet till åtgärd innebär att det av bilagan på ett mer precist sätt anges vilken färgbeteckning som ska vara gällande för intyget om yrkeskunnande. Detta bedöms bidra till en mer enhetlig tolkning och tillämpning av förordning (EG) nr 1071/2009. SE har inget att erinra mot föreslaget.</w:t>
      </w:r>
      <w:r w:rsidRPr="00082676">
        <w:t xml:space="preserve"> </w:t>
      </w:r>
    </w:p>
    <w:p w:rsidR="001234F8" w:rsidRPr="00E23B63" w:rsidRDefault="001234F8" w:rsidP="00E23B63">
      <w:pPr>
        <w:pStyle w:val="Heading2"/>
        <w:rPr>
          <w:lang w:val="en-US"/>
        </w:rPr>
      </w:pPr>
      <w:r w:rsidRPr="00082676">
        <w:br w:type="page"/>
      </w:r>
      <w:bookmarkStart w:id="62" w:name="_Toc321381072"/>
      <w:r w:rsidRPr="00082676">
        <w:t xml:space="preserve">8. Commission Regulation (EU) No .../.. </w:t>
      </w:r>
      <w:r w:rsidRPr="00E23B63">
        <w:rPr>
          <w:lang w:val="en-US"/>
        </w:rPr>
        <w:t>of XXX amending Annex II to Regulation (EC) No 1073/2009 on common rules for access to the international market for coach and bus services- Decision not to oppose the adoption</w:t>
      </w:r>
      <w:bookmarkEnd w:id="62"/>
    </w:p>
    <w:p w:rsidR="001234F8" w:rsidRPr="00082676" w:rsidRDefault="001234F8" w:rsidP="00E23B63">
      <w:r w:rsidRPr="00082676">
        <w:t>6890/12, 7928/12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Catharina Elmsäter-Svärd</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Rådet avses bekräfta att det inte finns några skäl att motsätta sig utkastet till åtgärd. Detta innebär att kommissionen kan anta den föreslagna åtgärden i enlighet med artikel 5a.3 d i rådets beslut 1999/468/EG, såvida Europaparlamentet inte motsätter sig dessa.</w:t>
      </w:r>
    </w:p>
    <w:p w:rsidR="001234F8" w:rsidRDefault="001234F8" w:rsidP="00E23B63"/>
    <w:p w:rsidR="001234F8" w:rsidRDefault="001234F8" w:rsidP="00E23B63">
      <w:r>
        <w:t>Regeringen avser inte emotsätta sig att kommissionens antar den föreslagna förordningen om ändring av bilaga II till förordning (EG) nr 1073/2009.</w:t>
      </w:r>
    </w:p>
    <w:p w:rsidR="001234F8" w:rsidRDefault="001234F8" w:rsidP="00E23B63"/>
    <w:p w:rsidR="001234F8" w:rsidRDefault="001234F8" w:rsidP="00E23B63">
      <w:r>
        <w:t xml:space="preserve">I artikel 4 i förordning (EG) nr 1073/2009 framgår att för att utöva internationella persontransporter med buss krävs ett gemenskapstillstånd utfärdat av behöriga myndigheter i etableringsmedlemsstaten. Sådant intyg ska vara utformad enligt mall i bilaga II och bl.a. utfärdas på ljusblått papper. Kommissionen har mandat att besluta om att anpassa innehållet i bilagan till den tekniska utvecklingen och dess förslag ska beredas genom kommittéförfarande. </w:t>
      </w:r>
    </w:p>
    <w:p w:rsidR="001234F8" w:rsidRDefault="001234F8" w:rsidP="00E23B63"/>
    <w:p w:rsidR="001234F8" w:rsidRPr="00E23B63" w:rsidRDefault="001234F8" w:rsidP="00340F05">
      <w:pPr>
        <w:rPr>
          <w:lang w:val="en-US"/>
        </w:rPr>
      </w:pPr>
      <w:r>
        <w:t xml:space="preserve">Syftet med utkastet till åtgärd innebär att det av bilagan på ett mer precist sätt anges vilken färgbeteckning som ska vara gällande gemenskapstillståndet. Åtgärden bedöms bidra till en mer enhetlig tolkning och tillämpning av förordning (EG) nr 1073/2009. </w:t>
      </w:r>
      <w:r>
        <w:rPr>
          <w:lang w:val="en-US"/>
        </w:rPr>
        <w:t>SE har inget att erinra mot för</w:t>
      </w:r>
      <w:r w:rsidRPr="00E23B63">
        <w:rPr>
          <w:lang w:val="en-US"/>
        </w:rPr>
        <w:t xml:space="preserve">slaget. </w:t>
      </w:r>
    </w:p>
    <w:p w:rsidR="001234F8" w:rsidRPr="00E23B63" w:rsidRDefault="001234F8" w:rsidP="00E23B63">
      <w:pPr>
        <w:pStyle w:val="Heading2"/>
        <w:rPr>
          <w:lang w:val="en-US"/>
        </w:rPr>
      </w:pPr>
      <w:r>
        <w:rPr>
          <w:lang w:val="en-US"/>
        </w:rPr>
        <w:br w:type="page"/>
      </w:r>
      <w:bookmarkStart w:id="63" w:name="_Toc321381073"/>
      <w:r w:rsidRPr="00E23B63">
        <w:rPr>
          <w:lang w:val="en-US"/>
        </w:rPr>
        <w:t>9. Proposal for a Regulation of the European Parliament and of the Council amending Regulation (EC) No 302/2009 concerning a multiannual recovery plan for bluefin tuna in the eastern Atlantic and Mediterranean (First reading) (Legislative deliberation)- Information on the mandate for the trilogue</w:t>
      </w:r>
      <w:bookmarkEnd w:id="63"/>
    </w:p>
    <w:p w:rsidR="001234F8" w:rsidRPr="00082676" w:rsidRDefault="001234F8" w:rsidP="00E23B63">
      <w:r w:rsidRPr="00082676">
        <w:t>8072/12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Landsbygdsdepartementet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Eskil Erlandsson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Rådet föreslås anta ett utökat mandat för trilog gällande ändringar i en existerande förvaltningsplan för blåfenad tonfisk för östra Atlanten och Medelhavet.</w:t>
      </w:r>
    </w:p>
    <w:p w:rsidR="001234F8" w:rsidRDefault="001234F8" w:rsidP="00E23B63"/>
    <w:p w:rsidR="001234F8" w:rsidRDefault="001234F8" w:rsidP="00E23B63">
      <w:r>
        <w:t>Regeringen stödjer förslaget till utökat mandat.</w:t>
      </w:r>
    </w:p>
    <w:p w:rsidR="001234F8" w:rsidRDefault="001234F8" w:rsidP="00E23B63"/>
    <w:p w:rsidR="001234F8" w:rsidRDefault="001234F8" w:rsidP="00E23B63">
      <w:r>
        <w:t>Själva sakfrågan gäller i vilken utsträckning delegerade akter eller genomförandeakter ska gälla. I ett reviderat mandat inför trilog med EP föreslås det att rådet ska ändra position vad gäller delegerade akter/genomförande akter.</w:t>
      </w:r>
    </w:p>
    <w:p w:rsidR="001234F8" w:rsidRDefault="001234F8" w:rsidP="00E23B63"/>
    <w:p w:rsidR="001234F8" w:rsidRPr="00E23B63" w:rsidRDefault="001234F8" w:rsidP="00340F05">
      <w:r>
        <w:t xml:space="preserve">Vid årsmötet 2010 antog ICCAT (International Commission for the Conservation of Atlantic Tuna) ändringar i en existerande långsiktig återuppbyggnadsplan för blåfenad tonfisk som sträcker sig till år 2022. EU är medlem i ICCAT och godkände ändringarna. Införlivandet av ändringarna i EU:s regelverk har diskuterats vid flera tillfällen. EP:s förslag till förändring avser ingen väsentlig ändring och det alternativa förslaget motiveras med en önskan om att avvika så lite som möjligt från ICCAT:s beslut. </w:t>
      </w:r>
      <w:r w:rsidRPr="00E23B63">
        <w:t xml:space="preserve"> </w:t>
      </w:r>
    </w:p>
    <w:p w:rsidR="001234F8" w:rsidRPr="00E23B63" w:rsidRDefault="001234F8" w:rsidP="00E23B63">
      <w:pPr>
        <w:pStyle w:val="Heading2"/>
        <w:rPr>
          <w:lang w:val="en-US"/>
        </w:rPr>
      </w:pPr>
      <w:r w:rsidRPr="00082676">
        <w:rPr>
          <w:lang w:val="en-GB"/>
        </w:rPr>
        <w:br w:type="page"/>
      </w:r>
      <w:bookmarkStart w:id="64" w:name="_Toc321381074"/>
      <w:r w:rsidRPr="00E23B63">
        <w:rPr>
          <w:lang w:val="en-US"/>
        </w:rPr>
        <w:t>10. Draft EU Guidelines G20 Labour and Employment Ministers meeting (Guadalajara (Mexico), 17-18 May 2012)</w:t>
      </w:r>
      <w:r>
        <w:rPr>
          <w:lang w:val="en-US"/>
        </w:rPr>
        <w:t xml:space="preserve"> </w:t>
      </w:r>
      <w:r w:rsidRPr="00E23B63">
        <w:rPr>
          <w:lang w:val="en-US"/>
        </w:rPr>
        <w:t>- Adoption</w:t>
      </w:r>
      <w:bookmarkEnd w:id="64"/>
    </w:p>
    <w:p w:rsidR="001234F8" w:rsidRPr="00082676" w:rsidRDefault="001234F8" w:rsidP="00E23B63">
      <w:r w:rsidRPr="00082676">
        <w:t>8121/12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Arbetsmarknadsdepartementet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Hillevi Engström</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 xml:space="preserve">Rådet föreslås anta riktlinjer för G20:s arbetsmarknadsministermöte i Guadalajara Mexiko den 19-20 maj 2012. </w:t>
      </w:r>
    </w:p>
    <w:p w:rsidR="001234F8" w:rsidRDefault="001234F8" w:rsidP="00E23B63"/>
    <w:p w:rsidR="001234F8" w:rsidRDefault="001234F8" w:rsidP="00E23B63">
      <w:r>
        <w:t>Regeringen avser rösta ja till att rådet antar riktlinjerna.</w:t>
      </w:r>
    </w:p>
    <w:p w:rsidR="001234F8" w:rsidRDefault="001234F8" w:rsidP="00E23B63"/>
    <w:p w:rsidR="001234F8" w:rsidRDefault="001234F8" w:rsidP="00E23B63">
      <w:r>
        <w:t xml:space="preserve">Arbetsmarknadsministrarna inom G20 har möte i Guadalajara Mexiko den 19-20 maj 2012. Inför mötet har EU-ordförandeskapet tagit fram riktlinjer som ska vara vägledande för EU-delegationen på G20-mötet. Mexico avser att fokusera diskussionerna på mötet kring kvalitet i arbete, ungdomssysselsättning och grön sysselsättning. </w:t>
      </w:r>
    </w:p>
    <w:p w:rsidR="001234F8" w:rsidRDefault="001234F8" w:rsidP="00E23B63"/>
    <w:p w:rsidR="001234F8" w:rsidRDefault="001234F8" w:rsidP="00E23B63">
      <w:r>
        <w:t xml:space="preserve">När det gäller kvalitet i arbete uttrycker riktlinjerna att skapandet av bättre jobb är viktigt för den ekonomiska återhämtningen. Stöd bör ges till mer inkluderande arbetsmarknader och internationella arbetsregler respekteras. Arbetet med införandet av grundläggande sociala förmåner i utvecklingsländerna bör intensifieras. </w:t>
      </w:r>
    </w:p>
    <w:p w:rsidR="001234F8" w:rsidRDefault="001234F8" w:rsidP="00E23B63"/>
    <w:p w:rsidR="001234F8" w:rsidRDefault="001234F8" w:rsidP="00E23B63">
      <w:r>
        <w:t xml:space="preserve">När det gäller ungdomssysselsättning lyfter riktlinjerna fram en effektiv övergång från skola till arbete som central. Lärlingsplatser är viktiga, liksom att förebygga tidiga skolavhopp och stödja jobbskapande och rörlighet. </w:t>
      </w:r>
    </w:p>
    <w:p w:rsidR="001234F8" w:rsidRDefault="001234F8" w:rsidP="00E23B63"/>
    <w:p w:rsidR="001234F8" w:rsidRPr="00340F05" w:rsidRDefault="001234F8" w:rsidP="00340F05">
      <w:r>
        <w:t>När det gäller grön sysselsättning bör enligt riktlinjerna en övergång till en grön ekonomi bidra till hållbar utveckling, goda jobb och minskad fattigdom. Jobb som skapas genom övergången bör vara av god kvalitet. God arbetsmiljö och goda arbetsvillkor bör främjas samt hänsyn tas till de som står långt från arbetsmarknaden.</w:t>
      </w:r>
      <w:r w:rsidRPr="00340F05">
        <w:t xml:space="preserve"> </w:t>
      </w:r>
    </w:p>
    <w:p w:rsidR="001234F8" w:rsidRPr="00E23B63" w:rsidRDefault="001234F8" w:rsidP="00E23B63">
      <w:pPr>
        <w:pStyle w:val="Heading2"/>
        <w:rPr>
          <w:lang w:val="en-US"/>
        </w:rPr>
      </w:pPr>
      <w:r w:rsidRPr="00082676">
        <w:rPr>
          <w:lang w:val="en-GB"/>
        </w:rPr>
        <w:br w:type="page"/>
      </w:r>
      <w:bookmarkStart w:id="65" w:name="_Toc321381075"/>
      <w:r w:rsidRPr="00E23B63">
        <w:rPr>
          <w:lang w:val="en-US"/>
        </w:rPr>
        <w:t>11. Recommendation from the Commission to the Council to authorise the Commission to open negotiations on behalf of the European Union for the renewal of the protocol to the Fisheries Partnership Agreement with Madagascar- Adoption of Council Decision</w:t>
      </w:r>
      <w:bookmarkEnd w:id="65"/>
    </w:p>
    <w:p w:rsidR="001234F8" w:rsidRPr="00082676" w:rsidRDefault="001234F8" w:rsidP="00E23B63">
      <w:r w:rsidRPr="00082676">
        <w:t>5463/3/11, 8238/12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Landsbygdsdepartementet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Eskil Erlandsson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 xml:space="preserve">Rådet föreslås anta förhandlingsmandatet. </w:t>
      </w:r>
    </w:p>
    <w:p w:rsidR="001234F8" w:rsidRDefault="001234F8" w:rsidP="00E23B63"/>
    <w:p w:rsidR="001234F8" w:rsidRDefault="001234F8" w:rsidP="00E23B63">
      <w:r>
        <w:t>Regeringen anser att Sverige kan rösta ja till att bemyndiga kommissionen att inleda förhandlingar på Europeiska unionens vägnar för att förnya protokollet till partnerskapsavtalet om fiske med Madagaskar.</w:t>
      </w:r>
    </w:p>
    <w:p w:rsidR="001234F8" w:rsidRDefault="001234F8" w:rsidP="00E23B63"/>
    <w:p w:rsidR="001234F8" w:rsidRDefault="001234F8" w:rsidP="00E23B63">
      <w:r>
        <w:t xml:space="preserve">Det protokoll som finns för fiskepartnerskapsavtalet mellan EU och Madagaskar löper ut den 31 december 2012. Protokollet omfattar tonfisksarter för 43 ringnotsfartyg och 50 långrevsfartyg samt 26 långrevsfartyg, som tillsammans får fånga 13. 300 ton tonfiskarter per år. EU:s bidrag är på 1.197.000 €, där 80 % är öronmärkt för sektorsutveckling för att stödja hållbar fiskeriförvaltning. </w:t>
      </w:r>
    </w:p>
    <w:p w:rsidR="001234F8" w:rsidRDefault="001234F8" w:rsidP="00E23B63"/>
    <w:p w:rsidR="001234F8" w:rsidRDefault="001234F8" w:rsidP="00E23B63">
      <w:r>
        <w:t xml:space="preserve">Regeringen bedömer att Sverige kan stödja mandatet att inleda förhandlingar med Madagaskar, då mandatet uppfyller kriterierna i rådets slutsatser om ett integrerat regelverk för avtal om fiskepartnerskap med tredjeländer från 2004, och även hänvisar till rådsslutsatserna om den gemensamma fiskeripolitikens internationella dimension från 2012. Mandatet specificerar, i enlighet med rådsslutsatserna, att det nya protokollet ska inkludera en klausul om mänskliga rättigheter. Vidare ska fisket enligt slutsatserna vara långsiktigt hållbart och bedrivas på ett överskott av kuststatens resurser, och ekonomiska och sociala utvärderingar ska genomföras såväl före som efter ingåendet av protokollen. Samarbetsparterna ska även i ökad omfattning förbättra det vetenskapliga underlaget för beslut avseende kvoter, samt motarbeta illegalt fiske. </w:t>
      </w:r>
    </w:p>
    <w:p w:rsidR="001234F8" w:rsidRDefault="001234F8" w:rsidP="00E23B63"/>
    <w:p w:rsidR="001234F8" w:rsidRDefault="001234F8" w:rsidP="00340F05">
      <w:r>
        <w:t xml:space="preserve">Regeringen är dock angelägen om att kommissionen noggrant följer och anpassar sina förslag till det politiska läget i Madagaskar i förhållande till klausulen om mänskliga rättigheter och demokratiska principer.  </w:t>
      </w:r>
    </w:p>
    <w:p w:rsidR="001234F8" w:rsidRPr="00E23B63" w:rsidRDefault="001234F8" w:rsidP="00E23B63">
      <w:pPr>
        <w:pStyle w:val="Heading2"/>
        <w:rPr>
          <w:lang w:val="en-US"/>
        </w:rPr>
      </w:pPr>
      <w:bookmarkStart w:id="66" w:name="_Toc321381076"/>
      <w:r w:rsidRPr="00E23B63">
        <w:rPr>
          <w:lang w:val="en-US"/>
        </w:rPr>
        <w:t>12. Proposal for a Directive of the European Parliament and of the Council on control of major-accident hazards involving dangerous substances (Seveso III) (First reading) (Legislative deliberation)- Approval of the final compromise text</w:t>
      </w:r>
      <w:bookmarkEnd w:id="66"/>
    </w:p>
    <w:p w:rsidR="001234F8" w:rsidRPr="00082676" w:rsidRDefault="001234F8" w:rsidP="00E23B63">
      <w:r w:rsidRPr="00082676">
        <w:t>8402/12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Försvarsdepartementet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Catharina Elmsäter-Svärd</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 xml:space="preserve">I december 2010 antog kommissionen ett förslag till reviderat Seveso II-direktiv. Det främsta syftet med revideringen är att knyta innehållslistan i Seveso-II-direktivet till CLP-förordningens klassificeringssystem. Enligt förslaget ska ämnen eller blandningar som klassas som farliga enligt CLP, tas in i bilagan i Seveso II.  Kommissionens förslag till direktiv innefattar även förslag till ändringar, bl.a. vad gäller rapporteringsformer, tillsynsförfarande och definitioner. </w:t>
      </w:r>
    </w:p>
    <w:p w:rsidR="001234F8" w:rsidRDefault="001234F8" w:rsidP="00E23B63"/>
    <w:p w:rsidR="001234F8" w:rsidRDefault="001234F8" w:rsidP="00E23B63">
      <w:r>
        <w:t xml:space="preserve">Rådets direktiv 96/82/EG om åtgärder för att förebygga och begränsa följderna av allvarliga olyckshändelser där farliga ämnen ingår (Seveso II-direktivet) antogs den 9 december 1996. Direktivet trädde i kraft den 3 februari 1997 och skulle vara infört i nationell lagstiftning senast den 3 februari 1999. Seveso-II-direktivet ersatte det tidigare Seveso-I-direktivet (rådets direktiv av den 24 juni 1982 om risker för storolyckor i vissa industriella verksamheter (82/501/EEG). </w:t>
      </w:r>
    </w:p>
    <w:p w:rsidR="001234F8" w:rsidRDefault="001234F8" w:rsidP="00E23B63"/>
    <w:p w:rsidR="001234F8" w:rsidRPr="00E23B63" w:rsidRDefault="001234F8" w:rsidP="00340F05">
      <w:r>
        <w:t xml:space="preserve">Seveso-II-direktivet anger tröskelnivåer för ett antal kemiska ämnen. Förutom sådana verksamheter som är undantagna från direktivets tillämpningsområde, är Seveso-II-direktivet generellt tillämpligt på samtliga verksamheter där förekomsten av ämnen som överskrider direktivets tröskelvärden. Verksamheter omfattas av direktivets tillämpningsområde, kan falla inom en av två kravnivåer – en högre och en lägre.  Vilken kravnivå en verksamhet omfattas av är beroende av vilken typ och i vilken omfattning farliga ämnen förekommer i verksamheten. Seveso II-direktivet innefattar även ett antal skyldigheter för utövare av Seveso-verksamheter. Skyldigheterna är delvis olika för verksamheter i högre respektive lägre kravnivå. Samtliga verksamhetsutövare är skyldiga att upprätta ett handlingsprogram för hur riskerna för allvarliga kemikalieolyckor ska hanteras. </w:t>
      </w:r>
      <w:r w:rsidRPr="00E23B63">
        <w:t xml:space="preserve"> </w:t>
      </w:r>
    </w:p>
    <w:p w:rsidR="001234F8" w:rsidRPr="00E23B63" w:rsidRDefault="001234F8" w:rsidP="00E23B63">
      <w:pPr>
        <w:pStyle w:val="Heading2"/>
        <w:rPr>
          <w:lang w:val="en-US"/>
        </w:rPr>
      </w:pPr>
      <w:bookmarkStart w:id="67" w:name="_Toc321381077"/>
      <w:r w:rsidRPr="00E23B63">
        <w:rPr>
          <w:lang w:val="en-US"/>
        </w:rPr>
        <w:t>13. Proposal for a Regulation of the European Parliament and of the Council on the accelerated phasing-in of double-hull or equivalent design requirements for single-hull oil tankers (Recast) (First reading) (Legislative deliberation)- Approval of the final compromise text</w:t>
      </w:r>
      <w:bookmarkEnd w:id="67"/>
    </w:p>
    <w:p w:rsidR="001234F8" w:rsidRPr="00082676" w:rsidRDefault="001234F8" w:rsidP="00E23B63">
      <w:r w:rsidRPr="00082676">
        <w:t>8155/12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Catharina Elmsäter-Svärd</w:t>
      </w:r>
    </w:p>
    <w:p w:rsidR="001234F8" w:rsidRPr="00082676" w:rsidRDefault="001234F8">
      <w:pPr>
        <w:pStyle w:val="RKnormal"/>
        <w:tabs>
          <w:tab w:val="clear" w:pos="1843"/>
          <w:tab w:val="left" w:pos="0"/>
        </w:tabs>
        <w:ind w:left="0"/>
      </w:pPr>
    </w:p>
    <w:p w:rsidR="001234F8" w:rsidRPr="00E23B63" w:rsidRDefault="001234F8" w:rsidP="00E23B63">
      <w:r w:rsidRPr="00E23B63">
        <w:t>Tidigare behandling i EU -nämnden: 2011-12-09</w:t>
      </w:r>
    </w:p>
    <w:p w:rsidR="001234F8" w:rsidRDefault="001234F8">
      <w:pPr>
        <w:pStyle w:val="RKnormal"/>
        <w:tabs>
          <w:tab w:val="clear" w:pos="1843"/>
          <w:tab w:val="left" w:pos="0"/>
        </w:tabs>
        <w:ind w:left="0"/>
      </w:pPr>
    </w:p>
    <w:p w:rsidR="001234F8" w:rsidRPr="00E23B63" w:rsidRDefault="001234F8" w:rsidP="00E23B63">
      <w:r>
        <w:t>Tidigare behandling vid rådsmöte: Transport-, telekom- och energifrågor</w:t>
      </w:r>
    </w:p>
    <w:p w:rsidR="001234F8" w:rsidRDefault="001234F8">
      <w:pPr>
        <w:pStyle w:val="RKnormal"/>
        <w:tabs>
          <w:tab w:val="clear" w:pos="1843"/>
          <w:tab w:val="left" w:pos="0"/>
        </w:tabs>
        <w:ind w:left="0"/>
      </w:pPr>
    </w:p>
    <w:p w:rsidR="001234F8" w:rsidRPr="00E23B63" w:rsidRDefault="001234F8" w:rsidP="00E23B63">
      <w:r>
        <w:t>Godkänd av Coreper I den 4 april 2012</w:t>
      </w:r>
    </w:p>
    <w:p w:rsidR="001234F8" w:rsidRDefault="001234F8">
      <w:pPr>
        <w:pStyle w:val="RKnormal"/>
        <w:tabs>
          <w:tab w:val="clear" w:pos="1843"/>
          <w:tab w:val="left" w:pos="0"/>
        </w:tabs>
        <w:ind w:left="0"/>
      </w:pPr>
    </w:p>
    <w:p w:rsidR="001234F8" w:rsidRDefault="001234F8" w:rsidP="00E23B63">
      <w:r>
        <w:t xml:space="preserve">Efter ett antal ändringar och uppdateringar presenterade kommissionen en revidering av förordningen om ett påskyndat införande av krav på dubbelskrov eller likvärdig konstruktion för oljetankfartyg med enkelskrov. Avsikten var att rådet skulle anta förordningen. </w:t>
      </w:r>
    </w:p>
    <w:p w:rsidR="001234F8" w:rsidRDefault="001234F8" w:rsidP="00E23B63"/>
    <w:p w:rsidR="001234F8" w:rsidRDefault="001234F8" w:rsidP="00E23B63">
      <w:r>
        <w:t xml:space="preserve">Regeringen avser rösta ja till att förordningen om ett påskyndat införande av krav på dubbelskrov eller likvärdig konstruktion för oljetankfartyg med enkelskrov antas. </w:t>
      </w:r>
    </w:p>
    <w:p w:rsidR="001234F8" w:rsidRDefault="001234F8" w:rsidP="00E23B63"/>
    <w:p w:rsidR="001234F8" w:rsidRPr="00E23B63" w:rsidRDefault="001234F8" w:rsidP="00340F05">
      <w:r>
        <w:t xml:space="preserve">Syftet med förordningen (EG) nr 417/2002 är att påskynda införandet av kraven på dubbelskrov på oljetankfartyg. Det huvudsakliga skälet till omarbetningen av förordningen är att Lissabonfördraget (TFEU) har trätt ikraft och att det i artikel 290 ges möjlighet att till kommissionen delegera befogenheter att anta sådan akter som inte är lagstiftningsakter och som kompletterar eller ändra vissa icke väsentliga delar av en lagstiftnings akt, s.k. delegerade akter. </w:t>
      </w:r>
      <w:r w:rsidRPr="00E23B63">
        <w:t xml:space="preserve"> </w:t>
      </w:r>
    </w:p>
    <w:p w:rsidR="001234F8" w:rsidRPr="00E23B63" w:rsidRDefault="001234F8" w:rsidP="00E23B63">
      <w:pPr>
        <w:pStyle w:val="Heading2"/>
        <w:rPr>
          <w:lang w:val="en-US"/>
        </w:rPr>
      </w:pPr>
      <w:r w:rsidRPr="00082676">
        <w:rPr>
          <w:lang w:val="en-GB"/>
        </w:rPr>
        <w:br w:type="page"/>
      </w:r>
      <w:bookmarkStart w:id="68" w:name="_GoBack"/>
      <w:bookmarkStart w:id="69" w:name="_Toc321381078"/>
      <w:bookmarkEnd w:id="68"/>
      <w:r w:rsidRPr="00E23B63">
        <w:rPr>
          <w:lang w:val="en-US"/>
        </w:rPr>
        <w:t>14. Proposal for a Directive of the European Parliament and of the Council amending Directive 2004/40/EC on minimum health and safety requirements regarding the exposure of workers to the risks arising from physical agents (electromagnetic fields) (eighteenth individual Directive within the meaning of Article 16(1) of Directive 89/391/EEC) (First reading) (Legislative deliberation)- Decision to use the written procedure for the adoption of the legislative act (°)</w:t>
      </w:r>
      <w:bookmarkEnd w:id="69"/>
    </w:p>
    <w:p w:rsidR="001234F8" w:rsidRPr="00082676" w:rsidRDefault="001234F8" w:rsidP="00E23B63">
      <w:r w:rsidRPr="00082676">
        <w:t>7/12, 8146/12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Arbetsmarknadsdepartementet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Hillevi Engström</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 den 4 april 2012</w:t>
      </w:r>
    </w:p>
    <w:p w:rsidR="001234F8" w:rsidRDefault="001234F8">
      <w:pPr>
        <w:pStyle w:val="RKnormal"/>
        <w:tabs>
          <w:tab w:val="clear" w:pos="1843"/>
          <w:tab w:val="left" w:pos="0"/>
        </w:tabs>
        <w:ind w:left="0"/>
      </w:pPr>
    </w:p>
    <w:p w:rsidR="001234F8" w:rsidRDefault="001234F8" w:rsidP="00E23B63">
      <w:r>
        <w:t xml:space="preserve">Rådet föreslås fatta beslut om att anta direktivet med skriftlig procedur. </w:t>
      </w:r>
    </w:p>
    <w:p w:rsidR="001234F8" w:rsidRDefault="001234F8" w:rsidP="00E23B63"/>
    <w:p w:rsidR="001234F8" w:rsidRDefault="001234F8" w:rsidP="00E23B63">
      <w:r>
        <w:t>Regeringen avser rösta ja till att rådet fattar beslut med skriftlig procedur om att anta Europaparlamentets och rådets direktiv om ändring av direktiv 2004/40/EG om minimikrav för arbetstagares hälsa och säkerhet vid exponering för risker som har samband med fysikaliska agens (elektromagnetiska fält) i arbetet (18:e särdirektivet enligt artikel 16.1 i direktiv 89/391/EEG).</w:t>
      </w:r>
    </w:p>
    <w:p w:rsidR="001234F8" w:rsidRDefault="001234F8" w:rsidP="00E23B63"/>
    <w:p w:rsidR="001234F8" w:rsidRDefault="001234F8" w:rsidP="00E23B63">
      <w:r>
        <w:t xml:space="preserve">Det befintliga direktivet (2004/40) ska vara implementerat i medlemsstaterna senast den 30 april 2012. För närvarande omförhandlas dock direktivet och man kommer inte kunna enas om ett nytt direktiv innan det befintliga ska vara implementerat. Kommissionen presenterade därför den 25 januari 2012 ett förslag till ändringsdirektiv där tidsfristen för implementering skjuts fram två år, till 30 april 2014. </w:t>
      </w:r>
    </w:p>
    <w:p w:rsidR="001234F8" w:rsidRDefault="001234F8" w:rsidP="00E23B63"/>
    <w:p w:rsidR="001234F8" w:rsidRDefault="001234F8" w:rsidP="00E23B63">
      <w:r>
        <w:t xml:space="preserve">Den 15 februari godkände Coreper ett mandat inför en informell trilog med Europaparlamentet för att nå en förstaläsningsöverenskommelse. Mandatet innebar att rådet yrkade på två år, men gav samtidigt ordförandeskapet viss flexibilitet i förhandlingarna (6 månader, dvs till 18 månader istället för 2 år). </w:t>
      </w:r>
    </w:p>
    <w:p w:rsidR="001234F8" w:rsidRDefault="001234F8" w:rsidP="00E23B63"/>
    <w:p w:rsidR="001234F8" w:rsidRPr="00082676" w:rsidRDefault="001234F8" w:rsidP="00340F05">
      <w:r>
        <w:t xml:space="preserve">Europaparlamentet röstade för en förlängning på 18 månader den 29 mars 2012. Resultatet av omröstningen återspeglar den kompromissöverenskommelse som träffats mellan kommissionen och rådet. </w:t>
      </w:r>
      <w:r w:rsidRPr="00082676">
        <w:t xml:space="preserve">Ny implementeringsfrist blir den 30 oktober 2013. </w:t>
      </w:r>
    </w:p>
    <w:p w:rsidR="001234F8" w:rsidRPr="00082676" w:rsidRDefault="001234F8" w:rsidP="00340F05"/>
    <w:p w:rsidR="001234F8" w:rsidRDefault="001234F8" w:rsidP="00340F05">
      <w:pPr>
        <w:pStyle w:val="Heading1"/>
      </w:pPr>
      <w:bookmarkStart w:id="70" w:name="_Toc321381079"/>
      <w:r>
        <w:t>Troliga A-punkter inför kommande rådsmöten som godkändes vid Coreper II 2012-04-04.</w:t>
      </w:r>
      <w:bookmarkEnd w:id="70"/>
    </w:p>
    <w:p w:rsidR="001234F8" w:rsidRPr="00340F05" w:rsidRDefault="001234F8" w:rsidP="00340F05"/>
    <w:p w:rsidR="001234F8" w:rsidRPr="00E23B63" w:rsidRDefault="001234F8" w:rsidP="00E23B63">
      <w:pPr>
        <w:pStyle w:val="Heading2"/>
        <w:rPr>
          <w:lang w:val="en-US"/>
        </w:rPr>
      </w:pPr>
      <w:bookmarkStart w:id="71" w:name="_Toc321381080"/>
      <w:r w:rsidRPr="00E23B63">
        <w:rPr>
          <w:lang w:val="en-US"/>
        </w:rPr>
        <w:t>15. Case before the General Court of the European Union</w:t>
      </w:r>
      <w:r>
        <w:rPr>
          <w:lang w:val="en-US"/>
        </w:rPr>
        <w:t xml:space="preserve"> </w:t>
      </w:r>
      <w:r w:rsidRPr="00E23B63">
        <w:rPr>
          <w:lang w:val="en-US"/>
        </w:rPr>
        <w:t>= Case T-58/12 Ghasem NABIPOUR e.a. against the Council of the European Union</w:t>
      </w:r>
      <w:bookmarkEnd w:id="71"/>
    </w:p>
    <w:p w:rsidR="001234F8" w:rsidRPr="00082676" w:rsidRDefault="001234F8" w:rsidP="00E23B63">
      <w:r w:rsidRPr="00082676">
        <w:t>8210/12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Utrikesdepartementet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Birgitta Ohlsson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Pr="00E23B63" w:rsidRDefault="001234F8" w:rsidP="00340F05">
      <w:pPr>
        <w:rPr>
          <w:lang w:val="en-US"/>
        </w:rPr>
      </w:pPr>
      <w:r w:rsidRPr="00E23B63">
        <w:rPr>
          <w:lang w:val="en-US"/>
        </w:rPr>
        <w:t>Föranleder ingen annotering</w:t>
      </w:r>
      <w:r>
        <w:rPr>
          <w:lang w:val="en-US"/>
        </w:rPr>
        <w:t>.</w:t>
      </w:r>
      <w:r w:rsidRPr="00E23B63">
        <w:rPr>
          <w:lang w:val="en-US"/>
        </w:rPr>
        <w:t xml:space="preserve"> </w:t>
      </w:r>
    </w:p>
    <w:p w:rsidR="001234F8" w:rsidRPr="00E23B63" w:rsidRDefault="001234F8" w:rsidP="00E23B63">
      <w:pPr>
        <w:pStyle w:val="Heading2"/>
        <w:rPr>
          <w:lang w:val="en-US"/>
        </w:rPr>
      </w:pPr>
      <w:bookmarkStart w:id="72" w:name="_Toc321381081"/>
      <w:r w:rsidRPr="00E23B63">
        <w:rPr>
          <w:lang w:val="en-US"/>
        </w:rPr>
        <w:t>16. Case before the General Court of the European Union</w:t>
      </w:r>
      <w:r>
        <w:rPr>
          <w:lang w:val="en-US"/>
        </w:rPr>
        <w:t xml:space="preserve"> </w:t>
      </w:r>
      <w:r w:rsidRPr="00E23B63">
        <w:rPr>
          <w:lang w:val="en-US"/>
        </w:rPr>
        <w:t>= Case T-67/12 SINA BANK against the Council of the European Union</w:t>
      </w:r>
      <w:bookmarkEnd w:id="72"/>
    </w:p>
    <w:p w:rsidR="001234F8" w:rsidRPr="00082676" w:rsidRDefault="001234F8" w:rsidP="00E23B63">
      <w:r w:rsidRPr="00082676">
        <w:t>8211/12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Utrikesdepartementet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Birgitta Ohlsson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Pr="00E23B63" w:rsidRDefault="001234F8" w:rsidP="00340F05">
      <w:pPr>
        <w:rPr>
          <w:lang w:val="en-US"/>
        </w:rPr>
      </w:pPr>
      <w:r w:rsidRPr="00E23B63">
        <w:rPr>
          <w:lang w:val="en-US"/>
        </w:rPr>
        <w:t>Föranleder ingen annotering</w:t>
      </w:r>
      <w:r>
        <w:rPr>
          <w:lang w:val="en-US"/>
        </w:rPr>
        <w:t>.</w:t>
      </w:r>
      <w:r w:rsidRPr="00E23B63">
        <w:rPr>
          <w:lang w:val="en-US"/>
        </w:rPr>
        <w:t xml:space="preserve"> </w:t>
      </w:r>
    </w:p>
    <w:p w:rsidR="001234F8" w:rsidRPr="00E23B63" w:rsidRDefault="001234F8" w:rsidP="00E23B63">
      <w:pPr>
        <w:pStyle w:val="Heading2"/>
        <w:rPr>
          <w:lang w:val="en-US"/>
        </w:rPr>
      </w:pPr>
      <w:r>
        <w:rPr>
          <w:lang w:val="en-US"/>
        </w:rPr>
        <w:br w:type="page"/>
      </w:r>
      <w:bookmarkStart w:id="73" w:name="_Toc321381082"/>
      <w:r w:rsidRPr="00E23B63">
        <w:rPr>
          <w:lang w:val="en-US"/>
        </w:rPr>
        <w:t>17. Case before the General Court of the European Union</w:t>
      </w:r>
      <w:r>
        <w:rPr>
          <w:lang w:val="en-US"/>
        </w:rPr>
        <w:t xml:space="preserve"> </w:t>
      </w:r>
      <w:r w:rsidRPr="00E23B63">
        <w:rPr>
          <w:lang w:val="en-US"/>
        </w:rPr>
        <w:t>= Case T-651/11, Syriatel Mobile Telecom (Joint Stock Company) against the Council</w:t>
      </w:r>
      <w:bookmarkEnd w:id="73"/>
    </w:p>
    <w:p w:rsidR="001234F8" w:rsidRPr="00082676" w:rsidRDefault="001234F8" w:rsidP="00E23B63">
      <w:r w:rsidRPr="00082676">
        <w:t>8005/12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Utrikesdepartementet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Birgitta Ohlsson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Pr="00E23B63" w:rsidRDefault="001234F8" w:rsidP="00340F05">
      <w:pPr>
        <w:rPr>
          <w:lang w:val="en-US"/>
        </w:rPr>
      </w:pPr>
      <w:r w:rsidRPr="00E23B63">
        <w:rPr>
          <w:lang w:val="en-US"/>
        </w:rPr>
        <w:t>Föranleder ingen annotering</w:t>
      </w:r>
      <w:r>
        <w:rPr>
          <w:lang w:val="en-US"/>
        </w:rPr>
        <w:t>.</w:t>
      </w:r>
      <w:r w:rsidRPr="00E23B63">
        <w:rPr>
          <w:lang w:val="en-US"/>
        </w:rPr>
        <w:t xml:space="preserve"> </w:t>
      </w:r>
    </w:p>
    <w:p w:rsidR="001234F8" w:rsidRPr="00E23B63" w:rsidRDefault="001234F8" w:rsidP="00E23B63">
      <w:pPr>
        <w:pStyle w:val="Heading2"/>
        <w:rPr>
          <w:lang w:val="en-US"/>
        </w:rPr>
      </w:pPr>
      <w:bookmarkStart w:id="74" w:name="_Toc321381083"/>
      <w:r w:rsidRPr="00E23B63">
        <w:rPr>
          <w:lang w:val="en-US"/>
        </w:rPr>
        <w:t>18. Council Decision appointing a German alternate member of the Committee of the Regions</w:t>
      </w:r>
      <w:bookmarkEnd w:id="74"/>
    </w:p>
    <w:p w:rsidR="001234F8" w:rsidRPr="00082676" w:rsidRDefault="001234F8" w:rsidP="00E23B63">
      <w:r w:rsidRPr="00082676">
        <w:t>8342/12, 8340/12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Finansdepartementet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Peter Norman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Pr="00E23B63" w:rsidRDefault="001234F8" w:rsidP="00340F05">
      <w:pPr>
        <w:rPr>
          <w:lang w:val="en-US"/>
        </w:rPr>
      </w:pPr>
      <w:r w:rsidRPr="00E23B63">
        <w:rPr>
          <w:lang w:val="en-US"/>
        </w:rPr>
        <w:t xml:space="preserve">Föranleder ingen annotering. </w:t>
      </w:r>
    </w:p>
    <w:p w:rsidR="001234F8" w:rsidRPr="00E23B63" w:rsidRDefault="001234F8" w:rsidP="00E23B63">
      <w:pPr>
        <w:pStyle w:val="Heading2"/>
        <w:rPr>
          <w:lang w:val="en-US"/>
        </w:rPr>
      </w:pPr>
      <w:bookmarkStart w:id="75" w:name="_Toc321381084"/>
      <w:r w:rsidRPr="00E23B63">
        <w:rPr>
          <w:lang w:val="en-US"/>
        </w:rPr>
        <w:t>19. Council Decision appointing a Luxembourg member of the Committee of the Regions</w:t>
      </w:r>
      <w:bookmarkEnd w:id="75"/>
    </w:p>
    <w:p w:rsidR="001234F8" w:rsidRPr="00082676" w:rsidRDefault="001234F8" w:rsidP="00E23B63">
      <w:r w:rsidRPr="00082676">
        <w:t>8346/12, 8345/12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Finansdepartementet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Peter Norman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Pr="00340F05" w:rsidRDefault="001234F8" w:rsidP="00340F05">
      <w:pPr>
        <w:rPr>
          <w:lang w:val="en-US"/>
        </w:rPr>
      </w:pPr>
      <w:r w:rsidRPr="00340F05">
        <w:rPr>
          <w:lang w:val="en-US"/>
        </w:rPr>
        <w:t xml:space="preserve">Föranleder ingen annotering. </w:t>
      </w:r>
    </w:p>
    <w:p w:rsidR="001234F8" w:rsidRPr="00E23B63" w:rsidRDefault="001234F8" w:rsidP="00E23B63">
      <w:pPr>
        <w:pStyle w:val="Heading2"/>
        <w:rPr>
          <w:lang w:val="en-US"/>
        </w:rPr>
      </w:pPr>
      <w:bookmarkStart w:id="76" w:name="_Toc321381085"/>
      <w:r w:rsidRPr="00E23B63">
        <w:rPr>
          <w:lang w:val="en-US"/>
        </w:rPr>
        <w:t>20. Transparency - Public access to documents</w:t>
      </w:r>
      <w:r>
        <w:rPr>
          <w:lang w:val="en-US"/>
        </w:rPr>
        <w:t xml:space="preserve"> </w:t>
      </w:r>
      <w:r w:rsidRPr="00E23B63">
        <w:rPr>
          <w:lang w:val="en-US"/>
        </w:rPr>
        <w:t>= Tenth annual report of the Council on the implementation of Regulation No 1049/2001 of the European Parliament and of the Council of 30 May 2001 regarding public access to European Parliament, Council and Commission documents</w:t>
      </w:r>
      <w:bookmarkEnd w:id="76"/>
    </w:p>
    <w:p w:rsidR="001234F8" w:rsidRPr="00082676" w:rsidRDefault="001234F8" w:rsidP="00E23B63">
      <w:r w:rsidRPr="00082676">
        <w:t>8260/12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Justitiedepartementet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Beatrice Ask</w:t>
      </w:r>
    </w:p>
    <w:p w:rsidR="001234F8" w:rsidRPr="00082676" w:rsidRDefault="001234F8">
      <w:pPr>
        <w:pStyle w:val="RKnormal"/>
        <w:tabs>
          <w:tab w:val="clear" w:pos="1843"/>
          <w:tab w:val="left" w:pos="0"/>
        </w:tabs>
        <w:ind w:left="0"/>
      </w:pPr>
    </w:p>
    <w:p w:rsidR="001234F8" w:rsidRPr="00E23B63" w:rsidRDefault="001234F8" w:rsidP="00E23B63">
      <w:r w:rsidRPr="00E23B63">
        <w:t>Tidigare behandling vid rådsmöte: Rättsliga och inrikes frågor</w:t>
      </w:r>
    </w:p>
    <w:p w:rsidR="001234F8" w:rsidRDefault="001234F8">
      <w:pPr>
        <w:pStyle w:val="RKnormal"/>
        <w:tabs>
          <w:tab w:val="clear" w:pos="1843"/>
          <w:tab w:val="left" w:pos="0"/>
        </w:tabs>
        <w:ind w:left="0"/>
      </w:pPr>
    </w:p>
    <w:p w:rsidR="001234F8" w:rsidRPr="00E23B63" w:rsidRDefault="001234F8" w:rsidP="00E23B63">
      <w:r>
        <w:t>Godkänd av Coreper II den 4 april 2012</w:t>
      </w:r>
    </w:p>
    <w:p w:rsidR="001234F8" w:rsidRDefault="001234F8">
      <w:pPr>
        <w:pStyle w:val="RKnormal"/>
        <w:tabs>
          <w:tab w:val="clear" w:pos="1843"/>
          <w:tab w:val="left" w:pos="0"/>
        </w:tabs>
        <w:ind w:left="0"/>
      </w:pPr>
    </w:p>
    <w:p w:rsidR="001234F8" w:rsidRPr="00340F05" w:rsidRDefault="001234F8" w:rsidP="00340F05">
      <w:r>
        <w:t>I rapporten redovisas uppgifter om rådets offentliga register över handlingar samt statistik om allmänhetens tillgång till handlingar. Dessutom innehåller rapporten en redovisning av den viktigaste händelseutvecklingen under året samt en genomgång av klagomål till Europeiska ombudsmannen och avgöranden från Europeiska unionens domstolar under 2011 i mål angående tillgång till rådets handlingar.</w:t>
      </w:r>
      <w:r w:rsidRPr="00340F05">
        <w:t xml:space="preserve"> </w:t>
      </w:r>
    </w:p>
    <w:p w:rsidR="001234F8" w:rsidRPr="00E23B63" w:rsidRDefault="001234F8" w:rsidP="00E23B63">
      <w:pPr>
        <w:pStyle w:val="Heading2"/>
        <w:rPr>
          <w:lang w:val="en-US"/>
        </w:rPr>
      </w:pPr>
      <w:bookmarkStart w:id="77" w:name="_Toc321381086"/>
      <w:r w:rsidRPr="00E23B63">
        <w:rPr>
          <w:lang w:val="en-US"/>
        </w:rPr>
        <w:t>21. Dates for the budgetary procedure and modalities for the functioning of the Conciliation Committee in 2012</w:t>
      </w:r>
      <w:r>
        <w:rPr>
          <w:lang w:val="en-US"/>
        </w:rPr>
        <w:t xml:space="preserve"> </w:t>
      </w:r>
      <w:r w:rsidRPr="00E23B63">
        <w:rPr>
          <w:lang w:val="en-US"/>
        </w:rPr>
        <w:t>= Outcome of the trilogue on 26 March 2012</w:t>
      </w:r>
      <w:bookmarkEnd w:id="77"/>
    </w:p>
    <w:p w:rsidR="001234F8" w:rsidRPr="00082676" w:rsidRDefault="001234F8" w:rsidP="00E23B63">
      <w:r w:rsidRPr="00082676">
        <w:t>8230/11</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Finansdepartementet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Anders Borg</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Default="001234F8" w:rsidP="00E23B63">
      <w:r>
        <w:t>Avsikt med behandlingen: Att bekräfta överenskommelsen som nåddes vid trilogen.</w:t>
      </w:r>
    </w:p>
    <w:p w:rsidR="001234F8" w:rsidRDefault="001234F8" w:rsidP="00E23B63"/>
    <w:p w:rsidR="001234F8" w:rsidRDefault="001234F8" w:rsidP="00E23B63">
      <w:r>
        <w:t>Regeringen kan godta innehållet i dokumentet.</w:t>
      </w:r>
    </w:p>
    <w:p w:rsidR="001234F8" w:rsidRDefault="001234F8" w:rsidP="00E23B63"/>
    <w:p w:rsidR="001234F8" w:rsidRPr="00E23B63" w:rsidRDefault="001234F8" w:rsidP="00340F05">
      <w:pPr>
        <w:rPr>
          <w:lang w:val="en-US"/>
        </w:rPr>
      </w:pPr>
      <w:r>
        <w:t xml:space="preserve">Vid trilogen den 26 mars 2012 nåddes en överenskommelse mellan rådet, Europaparlamentet och kommissionen om slutsatser som närmare beskriver förfarandet under årsbudgetarbetet inför 2013, framförallt tidplanen och arbetssättet vid trilogerna och de två förlikningsmötena. </w:t>
      </w:r>
      <w:r w:rsidRPr="00E23B63">
        <w:rPr>
          <w:lang w:val="en-US"/>
        </w:rPr>
        <w:t xml:space="preserve">Coreper ska nu bekräfta överenskommelsen som nåddes vid trilogen. </w:t>
      </w:r>
    </w:p>
    <w:p w:rsidR="001234F8" w:rsidRPr="00E23B63" w:rsidRDefault="001234F8" w:rsidP="00E23B63">
      <w:pPr>
        <w:pStyle w:val="Heading2"/>
        <w:rPr>
          <w:lang w:val="en-US"/>
        </w:rPr>
      </w:pPr>
      <w:bookmarkStart w:id="78" w:name="_Toc321381087"/>
      <w:r w:rsidRPr="00E23B63">
        <w:rPr>
          <w:lang w:val="en-US"/>
        </w:rPr>
        <w:t>22. Draft Council conclusions on Special Report No 15/2011 by the European Court of Auditors: Do the Commission's procedures ensure effective management of State aid control?</w:t>
      </w:r>
      <w:bookmarkEnd w:id="78"/>
    </w:p>
    <w:p w:rsidR="001234F8" w:rsidRPr="00082676" w:rsidRDefault="001234F8" w:rsidP="00E23B63">
      <w:r w:rsidRPr="00082676">
        <w:t>8217/12, 18936/11</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Näringsdepartementet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Annie Lööf</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Default="001234F8" w:rsidP="00E23B63">
      <w:r>
        <w:t>Rådet föreslås godkänna rådets slutsatser om Revisionsrättens rapport nr 15/2011.</w:t>
      </w:r>
    </w:p>
    <w:p w:rsidR="001234F8" w:rsidRDefault="001234F8" w:rsidP="00E23B63"/>
    <w:p w:rsidR="001234F8" w:rsidRDefault="001234F8" w:rsidP="00E23B63">
      <w:r>
        <w:t>SE bör bifalla förslaget till rådets slutsatser och delar många av de synpunkter som revisionsrätten för fram, bl.a. att handläggningen av statsstödsärenden ofta tar mycket lång tid, vilket kan skapa osäkerhet och administrativ börda både hos MS och företag. Särskilt påtagligt är detta i s.k. klagomålsärenden, inom vilka det inte finns några tidsgränser inom vilka KOM ska fatta beslut. SE konstaterar att KOM redan har inlett ett arbete med att se över statsstödsregelverket, bl.a. genom att den 6 februari initiera en modernisering av regelverket, bl.a. med hänsyn till de rekommendationer som Revisionsrätten framfört.</w:t>
      </w:r>
    </w:p>
    <w:p w:rsidR="001234F8" w:rsidRDefault="001234F8" w:rsidP="00E23B63"/>
    <w:p w:rsidR="001234F8" w:rsidRDefault="001234F8" w:rsidP="00E23B63">
      <w:r>
        <w:t xml:space="preserve">Europeiska revisionsrätten har den 15 december 2011 offentliggjort en rapport med titeln ”Garanterar kommissionens förfaranden att kontrollen av statligt stöd utförs ändamålsenligt?” (Särskild rapport nr 15/2011). Statligt stöd definieras i artikel 107 i fördraget om Europeiska unionens funktionssätt, och kontrollen av det är en viktig garanti för att den inre marknaden fungerar. Kommissionen (KOM) har det övergripande ansvaret för kontrollen av statligt stöd. </w:t>
      </w:r>
    </w:p>
    <w:p w:rsidR="001234F8" w:rsidRDefault="001234F8" w:rsidP="00E23B63"/>
    <w:p w:rsidR="001234F8" w:rsidRDefault="001234F8" w:rsidP="00E23B63">
      <w:r>
        <w:t xml:space="preserve">I denna särskilda rapport undersöker revisionsrätten huruvida KOM har infört förfaranden som möjliggör en ändamålsenlig förvaltning av kontrollen av statligt stöd: Garanterar systemet för anmälningar, klagomål och utredningar att KOM handlägger alla relevanta ärenden på området statligt stöd? Har KOM lämpliga förvaltningsstrukturer och förvaltningsprocedurer så att den kan handlägga statsstödsärenden på ett ändamålsenligt sätt och inom tidsfristerna? Övervakar KOM vilka effekter dess kontroll av det statliga stödet får? </w:t>
      </w:r>
    </w:p>
    <w:p w:rsidR="001234F8" w:rsidRDefault="001234F8" w:rsidP="00E23B63">
      <w:r>
        <w:t>Revisionsrätten riktade in revisionen på perioden 2008–2010 inom de områden som GD Konkurrens ansvarar för, dvs. alla ekonomiska sektorer förutom jordbruk och fiske.</w:t>
      </w:r>
    </w:p>
    <w:p w:rsidR="001234F8" w:rsidRDefault="001234F8" w:rsidP="00E23B63"/>
    <w:p w:rsidR="001234F8" w:rsidRDefault="001234F8" w:rsidP="00E23B63">
      <w:r>
        <w:t>Revisionsrätten drar i rapporten följande slutsatser:</w:t>
      </w:r>
    </w:p>
    <w:p w:rsidR="001234F8" w:rsidRDefault="001234F8" w:rsidP="00E23B63">
      <w:r>
        <w:t>• KOM har gjort ansträngningar för att se till att alla relevanta ärenden på området statligt stöd handläggs, men dess system garanterar inte att allt stöd fångas in.</w:t>
      </w:r>
    </w:p>
    <w:p w:rsidR="001234F8" w:rsidRDefault="001234F8" w:rsidP="00E23B63">
      <w:r>
        <w:t>• Förfarandena för att anmäla statligt stöd tar lång tid.</w:t>
      </w:r>
    </w:p>
    <w:p w:rsidR="001234F8" w:rsidRDefault="001234F8" w:rsidP="00E23B63">
      <w:r>
        <w:t>• Klagomålen tar fortfarande lång tid att handlägga och förfarandet är inte öppet.</w:t>
      </w:r>
    </w:p>
    <w:p w:rsidR="001234F8" w:rsidRDefault="001234F8" w:rsidP="00E23B63">
      <w:r>
        <w:t>• KOM gör ingen heltäckande bedömning av vilka effekter dess kontroll av det statliga stödet får.</w:t>
      </w:r>
    </w:p>
    <w:p w:rsidR="001234F8" w:rsidRDefault="001234F8" w:rsidP="00E23B63">
      <w:r>
        <w:t>• KOM reagerade snabbt under finanskrisen på området för statligt stöd.</w:t>
      </w:r>
    </w:p>
    <w:p w:rsidR="001234F8" w:rsidRPr="00E23B63" w:rsidRDefault="001234F8" w:rsidP="00B136C3">
      <w:r>
        <w:t>I rapporten ger revisionsrätten en rad rekommendationer som ska förbättra KOM förfaranden och göra förvaltningen mer ändamålsenlig: KOM rekommenderas att se över fördelningen av resurser till kontrollen av statligt stöd, öka öppenheten i sin handläggning av ärenden, förkorta tidsåtgången för förfarandena, införa ett bättre system för registrering av tidsåtgång och rapportering om handläggningen och göra regelbundna efterhandsbedömningar av vilka effekter kontrollen av statligt stöd får.</w:t>
      </w:r>
      <w:r w:rsidRPr="00E23B63">
        <w:t xml:space="preserve"> </w:t>
      </w:r>
    </w:p>
    <w:p w:rsidR="001234F8" w:rsidRPr="00E23B63" w:rsidRDefault="001234F8" w:rsidP="00E23B63">
      <w:pPr>
        <w:pStyle w:val="Heading2"/>
        <w:rPr>
          <w:lang w:val="en-US"/>
        </w:rPr>
      </w:pPr>
      <w:bookmarkStart w:id="79" w:name="_Toc321381088"/>
      <w:r w:rsidRPr="00E23B63">
        <w:rPr>
          <w:lang w:val="en-US"/>
        </w:rPr>
        <w:t>23. Council Decision on the position to be taken by the European Union in the EEA Joint Committee concerning an amendment to Annex XXI (Statistics) to the EEA Agreement</w:t>
      </w:r>
      <w:bookmarkEnd w:id="79"/>
    </w:p>
    <w:p w:rsidR="001234F8" w:rsidRPr="00082676" w:rsidRDefault="001234F8" w:rsidP="00E23B63">
      <w:r w:rsidRPr="00082676">
        <w:t>7358/12, 7359/12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Finansdepartementet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Peter Norman</w:t>
      </w:r>
    </w:p>
    <w:p w:rsidR="001234F8" w:rsidRPr="00082676" w:rsidRDefault="001234F8">
      <w:pPr>
        <w:pStyle w:val="RKnormal"/>
        <w:tabs>
          <w:tab w:val="clear" w:pos="1843"/>
          <w:tab w:val="left" w:pos="0"/>
        </w:tabs>
        <w:ind w:left="0"/>
      </w:pPr>
    </w:p>
    <w:p w:rsidR="001234F8" w:rsidRPr="00E23B63" w:rsidRDefault="001234F8" w:rsidP="00E23B63">
      <w:r w:rsidRPr="00E23B63">
        <w:t>Godkänd av Coreper II den 4 april 2012</w:t>
      </w:r>
    </w:p>
    <w:p w:rsidR="001234F8" w:rsidRDefault="001234F8">
      <w:pPr>
        <w:pStyle w:val="RKnormal"/>
        <w:tabs>
          <w:tab w:val="clear" w:pos="1843"/>
          <w:tab w:val="left" w:pos="0"/>
        </w:tabs>
        <w:ind w:left="0"/>
      </w:pPr>
    </w:p>
    <w:p w:rsidR="001234F8" w:rsidRDefault="001234F8" w:rsidP="00E23B63">
      <w:r>
        <w:t>Avsikt med behandlingen i rådet: Beslut om den ståndpunkt som Europeiska unionen ska inta i gemensamma EES-kommittén beträffande en ändring av bilaga XXI (Statistik) till EES-avtalet.</w:t>
      </w:r>
    </w:p>
    <w:p w:rsidR="001234F8" w:rsidRDefault="001234F8" w:rsidP="00E23B63"/>
    <w:p w:rsidR="001234F8" w:rsidRDefault="001234F8" w:rsidP="00E23B63">
      <w:r>
        <w:t>Regeringen stödjer den föreslagna ståndpunkten.</w:t>
      </w:r>
    </w:p>
    <w:p w:rsidR="001234F8" w:rsidRDefault="001234F8" w:rsidP="00E23B63"/>
    <w:p w:rsidR="001234F8" w:rsidRDefault="001234F8" w:rsidP="00E23B63">
      <w:r>
        <w:t>Europaparlamentets och rådets förordning (EU) nr 691/2011 om europeiska miljöräkenskaper bör införas i bilaga XXI (Statistik) i EES-avtalet. Bestämmelserna i förordningen ska inom ramen för avtalet tillämpas med följande anpassningar:</w:t>
      </w:r>
    </w:p>
    <w:p w:rsidR="001234F8" w:rsidRDefault="001234F8" w:rsidP="00E23B63"/>
    <w:p w:rsidR="001234F8" w:rsidRDefault="001234F8" w:rsidP="00E23B63">
      <w:r>
        <w:t xml:space="preserve">När det gäller Island ska bilagorna I, II och III till förordningen genomföras inom två år efter den första tidsfristen för överföring. </w:t>
      </w:r>
    </w:p>
    <w:p w:rsidR="001234F8" w:rsidRDefault="001234F8" w:rsidP="00E23B63"/>
    <w:p w:rsidR="001234F8" w:rsidRDefault="001234F8" w:rsidP="00B136C3">
      <w:r>
        <w:t xml:space="preserve">Förordningen ska inte gälla Liechtenstein. </w:t>
      </w:r>
    </w:p>
    <w:p w:rsidR="001234F8" w:rsidRPr="00E23B63" w:rsidRDefault="001234F8" w:rsidP="00E23B63">
      <w:pPr>
        <w:pStyle w:val="Heading2"/>
        <w:rPr>
          <w:lang w:val="en-US"/>
        </w:rPr>
      </w:pPr>
      <w:bookmarkStart w:id="80" w:name="_Toc321381089"/>
      <w:r w:rsidRPr="00E23B63">
        <w:rPr>
          <w:lang w:val="en-US"/>
        </w:rPr>
        <w:t>24. Multiannual table of authorised C.SIS installation expenditure - third quarter of 2011</w:t>
      </w:r>
      <w:bookmarkEnd w:id="80"/>
    </w:p>
    <w:p w:rsidR="001234F8" w:rsidRPr="00082676" w:rsidRDefault="001234F8" w:rsidP="00E23B63">
      <w:r w:rsidRPr="00082676">
        <w:t>8016/12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Justitiedepartementet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Beatrice Ask</w:t>
      </w:r>
    </w:p>
    <w:p w:rsidR="001234F8" w:rsidRPr="00082676" w:rsidRDefault="001234F8">
      <w:pPr>
        <w:pStyle w:val="RKnormal"/>
        <w:tabs>
          <w:tab w:val="clear" w:pos="1843"/>
          <w:tab w:val="left" w:pos="0"/>
        </w:tabs>
        <w:ind w:left="0"/>
      </w:pPr>
    </w:p>
    <w:p w:rsidR="001234F8" w:rsidRPr="00E23B63" w:rsidRDefault="001234F8" w:rsidP="00E23B63">
      <w:r w:rsidRPr="00E23B63">
        <w:t>Tidigare behandling vid rådsmöte: Rättsliga och inrikes frågor</w:t>
      </w:r>
    </w:p>
    <w:p w:rsidR="001234F8" w:rsidRDefault="001234F8">
      <w:pPr>
        <w:pStyle w:val="RKnormal"/>
        <w:tabs>
          <w:tab w:val="clear" w:pos="1843"/>
          <w:tab w:val="left" w:pos="0"/>
        </w:tabs>
        <w:ind w:left="0"/>
      </w:pPr>
    </w:p>
    <w:p w:rsidR="001234F8" w:rsidRPr="00E23B63" w:rsidRDefault="001234F8" w:rsidP="00E23B63">
      <w:r>
        <w:t>Godkänd av Coreper II den 4 april 2012</w:t>
      </w:r>
    </w:p>
    <w:p w:rsidR="001234F8" w:rsidRDefault="001234F8">
      <w:pPr>
        <w:pStyle w:val="RKnormal"/>
        <w:tabs>
          <w:tab w:val="clear" w:pos="1843"/>
          <w:tab w:val="left" w:pos="0"/>
        </w:tabs>
        <w:ind w:left="0"/>
      </w:pPr>
    </w:p>
    <w:p w:rsidR="001234F8" w:rsidRDefault="001234F8" w:rsidP="00E23B63">
      <w:r>
        <w:t>Enligt budgetförordningen om kostnader för installation och drift av C.SIS lägger den franska delegationen i slutet av varje kvartal under budgetåret fram en rapport om de beviljade utgifterna för installation samt varje oförutsedd utgift, som ska motiveras i ett styrkande dokument. Kostnader i samband med SIS 1+ finansieras av medlemsstaterna och det är dessa som ska godkänna utgifterna.</w:t>
      </w:r>
    </w:p>
    <w:p w:rsidR="001234F8" w:rsidRDefault="001234F8" w:rsidP="00E23B63"/>
    <w:p w:rsidR="001234F8" w:rsidRPr="00B136C3" w:rsidRDefault="001234F8" w:rsidP="00B136C3">
      <w:r>
        <w:t>Vid ingången av fjärde kvartalet 2011 återstod ca. 41% av årets budget. Rapporten godkändes av arbetsgruppen för Schengenfrågor (SIS/Sirene) den 13 december 2011.</w:t>
      </w:r>
      <w:r w:rsidRPr="00B136C3">
        <w:t xml:space="preserve"> </w:t>
      </w:r>
    </w:p>
    <w:p w:rsidR="001234F8" w:rsidRPr="00E23B63" w:rsidRDefault="001234F8" w:rsidP="00E23B63">
      <w:pPr>
        <w:pStyle w:val="Heading2"/>
        <w:rPr>
          <w:lang w:val="en-US"/>
        </w:rPr>
      </w:pPr>
      <w:bookmarkStart w:id="81" w:name="_Toc321381090"/>
      <w:r w:rsidRPr="00E23B63">
        <w:rPr>
          <w:lang w:val="en-US"/>
        </w:rPr>
        <w:t>25. Proposal for a Regulation of the European Parliament and of the Council amending Council Regulation (EC) No 562/2006 of the European Parliament and of the Council establishing a Community Code on the rules governing the movement of persons across borders (Schengen Borders Code) and the Convention implementing the Schengen Agreement (First reading)</w:t>
      </w:r>
      <w:bookmarkEnd w:id="81"/>
    </w:p>
    <w:p w:rsidR="001234F8" w:rsidRPr="00082676" w:rsidRDefault="001234F8" w:rsidP="00E23B63">
      <w:r w:rsidRPr="00082676">
        <w:t>8264/12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Justitiedepartementet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Beatrice Ask</w:t>
      </w:r>
    </w:p>
    <w:p w:rsidR="001234F8" w:rsidRPr="00082676" w:rsidRDefault="001234F8">
      <w:pPr>
        <w:pStyle w:val="RKnormal"/>
        <w:tabs>
          <w:tab w:val="clear" w:pos="1843"/>
          <w:tab w:val="left" w:pos="0"/>
        </w:tabs>
        <w:ind w:left="0"/>
      </w:pPr>
    </w:p>
    <w:p w:rsidR="001234F8" w:rsidRPr="00E23B63" w:rsidRDefault="001234F8" w:rsidP="00E23B63">
      <w:r w:rsidRPr="00E23B63">
        <w:t>Tidigare behandling vid rådsmöte: Rättsliga och inrikes frågor</w:t>
      </w:r>
    </w:p>
    <w:p w:rsidR="001234F8" w:rsidRDefault="001234F8">
      <w:pPr>
        <w:pStyle w:val="RKnormal"/>
        <w:tabs>
          <w:tab w:val="clear" w:pos="1843"/>
          <w:tab w:val="left" w:pos="0"/>
        </w:tabs>
        <w:ind w:left="0"/>
      </w:pPr>
    </w:p>
    <w:p w:rsidR="001234F8" w:rsidRPr="00E23B63" w:rsidRDefault="001234F8" w:rsidP="00E23B63">
      <w:r>
        <w:t>Godkänd av Coreper II den 4 april 2012</w:t>
      </w:r>
    </w:p>
    <w:p w:rsidR="001234F8" w:rsidRDefault="001234F8">
      <w:pPr>
        <w:pStyle w:val="RKnormal"/>
        <w:tabs>
          <w:tab w:val="clear" w:pos="1843"/>
          <w:tab w:val="left" w:pos="0"/>
        </w:tabs>
        <w:ind w:left="0"/>
      </w:pPr>
    </w:p>
    <w:p w:rsidR="001234F8" w:rsidRDefault="001234F8" w:rsidP="00E23B63">
      <w:r>
        <w:t>Regeringen avser rösta ja till att ordförandeskapet, på basis av det aktuella dokumentet, fortsätter sina förhandlingar med Europaparlamentet om uppdateringar av gränskodexen.</w:t>
      </w:r>
    </w:p>
    <w:p w:rsidR="001234F8" w:rsidRDefault="001234F8" w:rsidP="00E23B63"/>
    <w:p w:rsidR="001234F8" w:rsidRPr="00B136C3" w:rsidRDefault="001234F8" w:rsidP="00B136C3">
      <w:r>
        <w:t>I gränskodexen återfinns regler för gränskontroll av personers passage av EU:s yttre gränser. Efter snart fyra års tillämpning av gränskodexen har kommissionen upptäckt felaktiga hänvisningar i regelverket samt konstaterat praktiska problem och rättsliga oklarheter som de önskar rätta till. Även termer behöver uppdateras efter ikraftträdandet av fördraget om Europeiska unionens funktionssätt och andra rättsakter antagna efter 2006 (t.ex. viseringskodexen). Syftet med förslaget är att effektivisera gränskodexen utifrån dessa erfarenheter och ändringsförslagen är främst av teknisk karaktär men ett fåtal nya förslag finns med, t.ex. beräkning av vistelsetid inom Schengen och giltighetstider för resedokument efter tänkt utresedag.</w:t>
      </w:r>
      <w:r w:rsidRPr="00B136C3">
        <w:t xml:space="preserve"> </w:t>
      </w:r>
    </w:p>
    <w:p w:rsidR="001234F8" w:rsidRPr="00E23B63" w:rsidRDefault="001234F8" w:rsidP="00E23B63">
      <w:pPr>
        <w:pStyle w:val="Heading2"/>
        <w:rPr>
          <w:lang w:val="en-US"/>
        </w:rPr>
      </w:pPr>
      <w:bookmarkStart w:id="82" w:name="_Toc321381091"/>
      <w:r w:rsidRPr="00E23B63">
        <w:rPr>
          <w:lang w:val="en-US"/>
        </w:rPr>
        <w:t>26. Draft Council conclusions on improving civil protection through lessons learnt</w:t>
      </w:r>
      <w:r>
        <w:rPr>
          <w:lang w:val="en-US"/>
        </w:rPr>
        <w:t xml:space="preserve"> </w:t>
      </w:r>
      <w:r w:rsidRPr="00E23B63">
        <w:rPr>
          <w:lang w:val="en-US"/>
        </w:rPr>
        <w:t>= Adoption</w:t>
      </w:r>
      <w:bookmarkEnd w:id="82"/>
    </w:p>
    <w:p w:rsidR="001234F8" w:rsidRPr="00082676" w:rsidRDefault="001234F8" w:rsidP="00E23B63">
      <w:r w:rsidRPr="00082676">
        <w:t>8149/12</w:t>
      </w:r>
    </w:p>
    <w:p w:rsidR="001234F8" w:rsidRPr="00082676" w:rsidRDefault="001234F8">
      <w:pPr>
        <w:pStyle w:val="RKnormal"/>
        <w:tabs>
          <w:tab w:val="clear" w:pos="1843"/>
          <w:tab w:val="left" w:pos="0"/>
        </w:tabs>
        <w:ind w:left="0"/>
      </w:pPr>
    </w:p>
    <w:p w:rsidR="001234F8" w:rsidRPr="00082676" w:rsidRDefault="001234F8" w:rsidP="00E23B63">
      <w:r w:rsidRPr="00082676">
        <w:t>Ansvarigt departement: Försvarsdepartementet</w:t>
      </w:r>
    </w:p>
    <w:p w:rsidR="001234F8" w:rsidRPr="00082676" w:rsidRDefault="001234F8">
      <w:pPr>
        <w:pStyle w:val="RKnormal"/>
        <w:tabs>
          <w:tab w:val="clear" w:pos="1843"/>
          <w:tab w:val="left" w:pos="0"/>
        </w:tabs>
        <w:ind w:left="0"/>
      </w:pPr>
    </w:p>
    <w:p w:rsidR="001234F8" w:rsidRPr="00082676" w:rsidRDefault="001234F8" w:rsidP="00E23B63">
      <w:r w:rsidRPr="00082676">
        <w:t>Ansvarigt statsråd: Beatrice Ask</w:t>
      </w:r>
    </w:p>
    <w:p w:rsidR="001234F8" w:rsidRPr="00082676" w:rsidRDefault="001234F8">
      <w:pPr>
        <w:pStyle w:val="RKnormal"/>
        <w:tabs>
          <w:tab w:val="clear" w:pos="1843"/>
          <w:tab w:val="left" w:pos="0"/>
        </w:tabs>
        <w:ind w:left="0"/>
      </w:pPr>
    </w:p>
    <w:p w:rsidR="001234F8" w:rsidRPr="00E23B63" w:rsidRDefault="001234F8" w:rsidP="00E23B63">
      <w:r w:rsidRPr="00E23B63">
        <w:t>Tidigare behandling vid rådsmöte: Rättsliga och inrikes frågor</w:t>
      </w:r>
    </w:p>
    <w:p w:rsidR="001234F8" w:rsidRDefault="001234F8">
      <w:pPr>
        <w:pStyle w:val="RKnormal"/>
        <w:tabs>
          <w:tab w:val="clear" w:pos="1843"/>
          <w:tab w:val="left" w:pos="0"/>
        </w:tabs>
        <w:ind w:left="0"/>
      </w:pPr>
    </w:p>
    <w:p w:rsidR="001234F8" w:rsidRPr="00E23B63" w:rsidRDefault="001234F8" w:rsidP="00E23B63">
      <w:r>
        <w:t>Godkänd av Coreper II den 4 april 2012</w:t>
      </w:r>
    </w:p>
    <w:p w:rsidR="001234F8" w:rsidRDefault="001234F8">
      <w:pPr>
        <w:pStyle w:val="RKnormal"/>
        <w:tabs>
          <w:tab w:val="clear" w:pos="1843"/>
          <w:tab w:val="left" w:pos="0"/>
        </w:tabs>
        <w:ind w:left="0"/>
      </w:pPr>
    </w:p>
    <w:p w:rsidR="001234F8" w:rsidRPr="00082676" w:rsidRDefault="001234F8" w:rsidP="00082676">
      <w:r>
        <w:t>Det danska ordförandeskapet arrangerade den 16-18 januari 2012, i Köpenhamn, en workshop kring hur erfarenheter från insatser och övningar inom civilskyddet på ett bättre sätt kan användas för att utveckla samarbetet.  Som ett resultat av workshopen formulerades den s.k. ”Köpenhamnsramen för tillvaratagna erfarenheter”. Utifrån denna och de diskussioner som förts i rådsarbetsgruppen har utkastet till rådslutsatser formulerats. Sverige har varit drivande i arbetet med att ta tillvara erfarenheter från civilskyddsinsatser och är mycket positiv till att det danska orförandeskapet valt att prioritera frågan och ta fram rådsslutsatser för att förbättra processerna kring omhändertagande och återföring av gjorda erfarenheter på ett mer strukturerat och systematiserat sätt.</w:t>
      </w:r>
    </w:p>
    <w:sectPr w:rsidR="001234F8" w:rsidRPr="00082676" w:rsidSect="005E3C8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F8" w:rsidRDefault="001234F8">
      <w:r>
        <w:separator/>
      </w:r>
    </w:p>
  </w:endnote>
  <w:endnote w:type="continuationSeparator" w:id="0">
    <w:p w:rsidR="001234F8" w:rsidRDefault="00123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23</w:t>
    </w:r>
    <w:r>
      <w:rPr>
        <w:rStyle w:val="PageNumber"/>
        <w:sz w:val="16"/>
      </w:rPr>
      <w:fldChar w:fldCharType="end"/>
    </w:r>
    <w:r>
      <w:rPr>
        <w:rStyle w:val="PageNumber"/>
        <w:sz w:val="16"/>
      </w:rPr>
      <w:t>)</w:t>
    </w:r>
  </w:p>
  <w:p w:rsidR="001234F8" w:rsidRDefault="001234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23</w:t>
    </w:r>
    <w:r>
      <w:rPr>
        <w:rStyle w:val="PageNumber"/>
        <w:sz w:val="16"/>
      </w:rPr>
      <w:fldChar w:fldCharType="end"/>
    </w:r>
    <w:r>
      <w:rPr>
        <w:rStyle w:val="PageNumber"/>
        <w:sz w:val="16"/>
      </w:rPr>
      <w:t>)</w:t>
    </w:r>
  </w:p>
  <w:p w:rsidR="001234F8" w:rsidRDefault="001234F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F8" w:rsidRDefault="001234F8">
      <w:r>
        <w:separator/>
      </w:r>
    </w:p>
  </w:footnote>
  <w:footnote w:type="continuationSeparator" w:id="0">
    <w:p w:rsidR="001234F8" w:rsidRDefault="0012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pStyle w:val="Header"/>
      <w:framePr w:wrap="around" w:vAnchor="text" w:hAnchor="margin" w:xAlign="right" w:y="1"/>
      <w:rPr>
        <w:rStyle w:val="PageNumber"/>
      </w:rPr>
    </w:pPr>
  </w:p>
  <w:p w:rsidR="001234F8" w:rsidRDefault="001234F8">
    <w:pPr>
      <w:pStyle w:val="Header"/>
      <w:ind w:right="360"/>
    </w:pPr>
  </w:p>
  <w:p w:rsidR="001234F8" w:rsidRDefault="001234F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6pt" fillcolor="window">
          <v:imagedata r:id="rId1" o:title=""/>
        </v:shape>
      </w:pict>
    </w:r>
  </w:p>
  <w:p w:rsidR="001234F8" w:rsidRDefault="001234F8">
    <w:pPr>
      <w:pStyle w:val="Header"/>
    </w:pPr>
  </w:p>
  <w:p w:rsidR="001234F8" w:rsidRDefault="001234F8">
    <w:pPr>
      <w:pStyle w:val="Header"/>
      <w:ind w:right="360"/>
    </w:pPr>
  </w:p>
  <w:p w:rsidR="001234F8" w:rsidRDefault="001234F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F8" w:rsidRDefault="001234F8">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66pt" fillcolor="window">
          <v:imagedata r:id="rId1" o:title=""/>
        </v:shape>
      </w:pict>
    </w:r>
  </w:p>
  <w:p w:rsidR="001234F8" w:rsidRDefault="001234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34686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9"/>
  </w:num>
  <w:num w:numId="11">
    <w:abstractNumId w:val="5"/>
  </w:num>
  <w:num w:numId="12">
    <w:abstractNumId w:val="10"/>
  </w:num>
  <w:num w:numId="13">
    <w:abstractNumId w:val="1"/>
  </w:num>
  <w:num w:numId="14">
    <w:abstractNumId w:val="2"/>
  </w:num>
  <w:num w:numId="15">
    <w:abstractNumId w:val="7"/>
  </w:num>
  <w:num w:numId="16">
    <w:abstractNumId w:val="3"/>
  </w:num>
  <w:num w:numId="17">
    <w:abstractNumId w:val="4"/>
  </w:num>
  <w:num w:numId="18">
    <w:abstractNumId w:val="6"/>
  </w:num>
  <w:num w:numId="19">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23B63"/>
    <w:rsid w:val="000528D0"/>
    <w:rsid w:val="00082676"/>
    <w:rsid w:val="001234F8"/>
    <w:rsid w:val="00292844"/>
    <w:rsid w:val="003223B6"/>
    <w:rsid w:val="00340F05"/>
    <w:rsid w:val="003769D7"/>
    <w:rsid w:val="005A23F9"/>
    <w:rsid w:val="005B5F28"/>
    <w:rsid w:val="005C212F"/>
    <w:rsid w:val="005E3C8D"/>
    <w:rsid w:val="005F1820"/>
    <w:rsid w:val="00686145"/>
    <w:rsid w:val="006B51E7"/>
    <w:rsid w:val="006F0AED"/>
    <w:rsid w:val="00731B73"/>
    <w:rsid w:val="00740389"/>
    <w:rsid w:val="007E32F7"/>
    <w:rsid w:val="00847B54"/>
    <w:rsid w:val="00856B1D"/>
    <w:rsid w:val="0089040D"/>
    <w:rsid w:val="00936272"/>
    <w:rsid w:val="009D15A6"/>
    <w:rsid w:val="00A508DC"/>
    <w:rsid w:val="00A72123"/>
    <w:rsid w:val="00AA55CC"/>
    <w:rsid w:val="00AE4CC8"/>
    <w:rsid w:val="00AF0928"/>
    <w:rsid w:val="00B136C3"/>
    <w:rsid w:val="00B243FB"/>
    <w:rsid w:val="00B771FC"/>
    <w:rsid w:val="00BA6B91"/>
    <w:rsid w:val="00CA21F1"/>
    <w:rsid w:val="00CB7A84"/>
    <w:rsid w:val="00CC32C8"/>
    <w:rsid w:val="00D400DC"/>
    <w:rsid w:val="00D811A8"/>
    <w:rsid w:val="00DA4D82"/>
    <w:rsid w:val="00E05F9F"/>
    <w:rsid w:val="00E23B63"/>
    <w:rsid w:val="00E74952"/>
    <w:rsid w:val="00EC3C7C"/>
    <w:rsid w:val="00ED5DCC"/>
    <w:rsid w:val="00EE715B"/>
    <w:rsid w:val="00EF4605"/>
    <w:rsid w:val="00F056A7"/>
    <w:rsid w:val="00FB43A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8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E3C8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E3C8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E3C8D"/>
    <w:pPr>
      <w:spacing w:after="120" w:line="240" w:lineRule="atLeast"/>
      <w:outlineLvl w:val="2"/>
    </w:pPr>
    <w:rPr>
      <w:b w:val="0"/>
    </w:rPr>
  </w:style>
  <w:style w:type="paragraph" w:styleId="Heading4">
    <w:name w:val="heading 4"/>
    <w:basedOn w:val="Heading3"/>
    <w:next w:val="RKnormal"/>
    <w:link w:val="Heading4Char"/>
    <w:uiPriority w:val="99"/>
    <w:qFormat/>
    <w:rsid w:val="005E3C8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E3C8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5A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D15A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D15A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D15A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D15A6"/>
    <w:rPr>
      <w:rFonts w:ascii="Calibri" w:hAnsi="Calibri" w:cs="Times New Roman"/>
      <w:b/>
      <w:bCs/>
      <w:i/>
      <w:iCs/>
      <w:sz w:val="26"/>
      <w:szCs w:val="26"/>
      <w:lang w:eastAsia="en-US"/>
    </w:rPr>
  </w:style>
  <w:style w:type="paragraph" w:customStyle="1" w:styleId="RKnormal">
    <w:name w:val="RKnormal"/>
    <w:basedOn w:val="Normal"/>
    <w:uiPriority w:val="99"/>
    <w:rsid w:val="005E3C8D"/>
    <w:pPr>
      <w:tabs>
        <w:tab w:val="left" w:pos="1843"/>
        <w:tab w:val="left" w:pos="2835"/>
      </w:tabs>
      <w:spacing w:line="240" w:lineRule="atLeast"/>
      <w:ind w:left="1843"/>
    </w:pPr>
  </w:style>
  <w:style w:type="paragraph" w:customStyle="1" w:styleId="Avsndare">
    <w:name w:val="Avsändare"/>
    <w:basedOn w:val="Normal"/>
    <w:uiPriority w:val="99"/>
    <w:rsid w:val="005E3C8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E3C8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9D15A6"/>
    <w:rPr>
      <w:rFonts w:ascii="OrigGarmnd BT" w:hAnsi="OrigGarmnd BT" w:cs="Times New Roman"/>
      <w:sz w:val="20"/>
      <w:szCs w:val="20"/>
      <w:lang w:eastAsia="en-US"/>
    </w:rPr>
  </w:style>
  <w:style w:type="paragraph" w:styleId="Header">
    <w:name w:val="header"/>
    <w:basedOn w:val="Normal"/>
    <w:link w:val="HeaderChar"/>
    <w:uiPriority w:val="99"/>
    <w:rsid w:val="005E3C8D"/>
    <w:pPr>
      <w:tabs>
        <w:tab w:val="center" w:pos="4153"/>
        <w:tab w:val="right" w:pos="8306"/>
      </w:tabs>
    </w:pPr>
  </w:style>
  <w:style w:type="character" w:customStyle="1" w:styleId="HeaderChar">
    <w:name w:val="Header Char"/>
    <w:basedOn w:val="DefaultParagraphFont"/>
    <w:link w:val="Header"/>
    <w:uiPriority w:val="99"/>
    <w:semiHidden/>
    <w:locked/>
    <w:rsid w:val="009D15A6"/>
    <w:rPr>
      <w:rFonts w:ascii="OrigGarmnd BT" w:hAnsi="OrigGarmnd BT" w:cs="Times New Roman"/>
      <w:sz w:val="20"/>
      <w:szCs w:val="20"/>
      <w:lang w:eastAsia="en-US"/>
    </w:rPr>
  </w:style>
  <w:style w:type="paragraph" w:customStyle="1" w:styleId="RKrubrik">
    <w:name w:val="RKrubrik"/>
    <w:basedOn w:val="RKnormal"/>
    <w:next w:val="RKnormal"/>
    <w:uiPriority w:val="99"/>
    <w:rsid w:val="005E3C8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E3C8D"/>
    <w:rPr>
      <w:rFonts w:cs="Times New Roman"/>
    </w:rPr>
  </w:style>
  <w:style w:type="paragraph" w:styleId="BodyText">
    <w:name w:val="Body Text"/>
    <w:basedOn w:val="Normal"/>
    <w:link w:val="BodyTextChar"/>
    <w:uiPriority w:val="99"/>
    <w:rsid w:val="005E3C8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sid w:val="009D15A6"/>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5E3C8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sid w:val="009D15A6"/>
    <w:rPr>
      <w:rFonts w:ascii="OrigGarmnd BT" w:hAnsi="OrigGarmnd BT" w:cs="Times New Roman"/>
      <w:sz w:val="20"/>
      <w:szCs w:val="20"/>
      <w:lang w:eastAsia="en-US"/>
    </w:rPr>
  </w:style>
  <w:style w:type="paragraph" w:customStyle="1" w:styleId="UDrubrik">
    <w:name w:val="UDrubrik"/>
    <w:basedOn w:val="Normal"/>
    <w:next w:val="BodyText"/>
    <w:uiPriority w:val="99"/>
    <w:rsid w:val="005E3C8D"/>
    <w:pPr>
      <w:spacing w:line="320" w:lineRule="exact"/>
    </w:pPr>
    <w:rPr>
      <w:rFonts w:ascii="Arial" w:hAnsi="Arial"/>
      <w:b/>
      <w:sz w:val="22"/>
    </w:rPr>
  </w:style>
  <w:style w:type="paragraph" w:styleId="TOC1">
    <w:name w:val="toc 1"/>
    <w:basedOn w:val="Normal"/>
    <w:next w:val="Normal"/>
    <w:autoRedefine/>
    <w:uiPriority w:val="99"/>
    <w:rsid w:val="005E3C8D"/>
    <w:pPr>
      <w:spacing w:before="360"/>
    </w:pPr>
    <w:rPr>
      <w:rFonts w:ascii="Arial" w:hAnsi="Arial"/>
      <w:b/>
      <w:bCs/>
      <w:caps/>
      <w:szCs w:val="28"/>
    </w:rPr>
  </w:style>
  <w:style w:type="paragraph" w:styleId="TOC2">
    <w:name w:val="toc 2"/>
    <w:basedOn w:val="Normal"/>
    <w:next w:val="Normal"/>
    <w:autoRedefine/>
    <w:uiPriority w:val="99"/>
    <w:rsid w:val="005E3C8D"/>
    <w:pPr>
      <w:spacing w:before="240"/>
    </w:pPr>
    <w:rPr>
      <w:rFonts w:ascii="Times New Roman" w:hAnsi="Times New Roman"/>
      <w:b/>
      <w:bCs/>
      <w:szCs w:val="24"/>
    </w:rPr>
  </w:style>
  <w:style w:type="paragraph" w:styleId="TOC3">
    <w:name w:val="toc 3"/>
    <w:basedOn w:val="Normal"/>
    <w:next w:val="Normal"/>
    <w:autoRedefine/>
    <w:uiPriority w:val="99"/>
    <w:semiHidden/>
    <w:rsid w:val="005E3C8D"/>
    <w:pPr>
      <w:ind w:left="240"/>
    </w:pPr>
    <w:rPr>
      <w:rFonts w:ascii="Times New Roman" w:hAnsi="Times New Roman"/>
      <w:szCs w:val="24"/>
    </w:rPr>
  </w:style>
  <w:style w:type="paragraph" w:styleId="TOC4">
    <w:name w:val="toc 4"/>
    <w:basedOn w:val="Normal"/>
    <w:next w:val="Normal"/>
    <w:autoRedefine/>
    <w:uiPriority w:val="99"/>
    <w:semiHidden/>
    <w:rsid w:val="005E3C8D"/>
    <w:pPr>
      <w:ind w:left="480"/>
    </w:pPr>
    <w:rPr>
      <w:rFonts w:ascii="Times New Roman" w:hAnsi="Times New Roman"/>
      <w:szCs w:val="24"/>
    </w:rPr>
  </w:style>
  <w:style w:type="paragraph" w:styleId="TOC5">
    <w:name w:val="toc 5"/>
    <w:basedOn w:val="Normal"/>
    <w:next w:val="Normal"/>
    <w:autoRedefine/>
    <w:uiPriority w:val="99"/>
    <w:semiHidden/>
    <w:rsid w:val="005E3C8D"/>
    <w:pPr>
      <w:ind w:left="720"/>
    </w:pPr>
    <w:rPr>
      <w:rFonts w:ascii="Times New Roman" w:hAnsi="Times New Roman"/>
      <w:szCs w:val="24"/>
    </w:rPr>
  </w:style>
  <w:style w:type="paragraph" w:styleId="TOC6">
    <w:name w:val="toc 6"/>
    <w:basedOn w:val="Normal"/>
    <w:next w:val="Normal"/>
    <w:autoRedefine/>
    <w:uiPriority w:val="99"/>
    <w:semiHidden/>
    <w:rsid w:val="005E3C8D"/>
    <w:pPr>
      <w:ind w:left="960"/>
    </w:pPr>
    <w:rPr>
      <w:rFonts w:ascii="Times New Roman" w:hAnsi="Times New Roman"/>
      <w:szCs w:val="24"/>
    </w:rPr>
  </w:style>
  <w:style w:type="paragraph" w:styleId="TOC7">
    <w:name w:val="toc 7"/>
    <w:basedOn w:val="Normal"/>
    <w:next w:val="Normal"/>
    <w:autoRedefine/>
    <w:uiPriority w:val="99"/>
    <w:semiHidden/>
    <w:rsid w:val="005E3C8D"/>
    <w:pPr>
      <w:ind w:left="1200"/>
    </w:pPr>
    <w:rPr>
      <w:rFonts w:ascii="Times New Roman" w:hAnsi="Times New Roman"/>
      <w:szCs w:val="24"/>
    </w:rPr>
  </w:style>
  <w:style w:type="paragraph" w:styleId="TOC8">
    <w:name w:val="toc 8"/>
    <w:basedOn w:val="Normal"/>
    <w:next w:val="Normal"/>
    <w:autoRedefine/>
    <w:uiPriority w:val="99"/>
    <w:semiHidden/>
    <w:rsid w:val="005E3C8D"/>
    <w:pPr>
      <w:ind w:left="1440"/>
    </w:pPr>
    <w:rPr>
      <w:rFonts w:ascii="Times New Roman" w:hAnsi="Times New Roman"/>
      <w:szCs w:val="24"/>
    </w:rPr>
  </w:style>
  <w:style w:type="paragraph" w:styleId="TOC9">
    <w:name w:val="toc 9"/>
    <w:basedOn w:val="Normal"/>
    <w:next w:val="Normal"/>
    <w:autoRedefine/>
    <w:uiPriority w:val="99"/>
    <w:semiHidden/>
    <w:rsid w:val="005E3C8D"/>
    <w:pPr>
      <w:ind w:left="1680"/>
    </w:pPr>
    <w:rPr>
      <w:rFonts w:ascii="Times New Roman" w:hAnsi="Times New Roman"/>
      <w:szCs w:val="24"/>
    </w:rPr>
  </w:style>
  <w:style w:type="paragraph" w:customStyle="1" w:styleId="Text1">
    <w:name w:val="Text 1"/>
    <w:basedOn w:val="Normal"/>
    <w:uiPriority w:val="99"/>
    <w:rsid w:val="005E3C8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E3C8D"/>
    <w:rPr>
      <w:rFonts w:cs="Times New Roman"/>
      <w:vertAlign w:val="superscript"/>
    </w:rPr>
  </w:style>
  <w:style w:type="paragraph" w:styleId="Index1">
    <w:name w:val="index 1"/>
    <w:basedOn w:val="Normal"/>
    <w:next w:val="Normal"/>
    <w:autoRedefine/>
    <w:uiPriority w:val="99"/>
    <w:semiHidden/>
    <w:rsid w:val="005E3C8D"/>
    <w:pPr>
      <w:ind w:left="240" w:hanging="240"/>
    </w:pPr>
    <w:rPr>
      <w:rFonts w:ascii="Times New Roman" w:hAnsi="Times New Roman"/>
      <w:szCs w:val="24"/>
    </w:rPr>
  </w:style>
  <w:style w:type="paragraph" w:styleId="Index2">
    <w:name w:val="index 2"/>
    <w:basedOn w:val="Normal"/>
    <w:next w:val="Normal"/>
    <w:autoRedefine/>
    <w:uiPriority w:val="99"/>
    <w:semiHidden/>
    <w:rsid w:val="005E3C8D"/>
    <w:pPr>
      <w:ind w:left="480" w:hanging="240"/>
    </w:pPr>
    <w:rPr>
      <w:rFonts w:ascii="Times New Roman" w:hAnsi="Times New Roman"/>
      <w:szCs w:val="24"/>
    </w:rPr>
  </w:style>
  <w:style w:type="paragraph" w:styleId="Index3">
    <w:name w:val="index 3"/>
    <w:basedOn w:val="Normal"/>
    <w:next w:val="Normal"/>
    <w:autoRedefine/>
    <w:uiPriority w:val="99"/>
    <w:semiHidden/>
    <w:rsid w:val="005E3C8D"/>
    <w:pPr>
      <w:ind w:left="720" w:hanging="240"/>
    </w:pPr>
    <w:rPr>
      <w:rFonts w:ascii="Times New Roman" w:hAnsi="Times New Roman"/>
      <w:szCs w:val="24"/>
    </w:rPr>
  </w:style>
  <w:style w:type="paragraph" w:styleId="Index4">
    <w:name w:val="index 4"/>
    <w:basedOn w:val="Normal"/>
    <w:next w:val="Normal"/>
    <w:autoRedefine/>
    <w:uiPriority w:val="99"/>
    <w:semiHidden/>
    <w:rsid w:val="005E3C8D"/>
    <w:pPr>
      <w:ind w:left="960" w:hanging="240"/>
    </w:pPr>
    <w:rPr>
      <w:rFonts w:ascii="Times New Roman" w:hAnsi="Times New Roman"/>
      <w:szCs w:val="24"/>
    </w:rPr>
  </w:style>
  <w:style w:type="paragraph" w:styleId="Index5">
    <w:name w:val="index 5"/>
    <w:basedOn w:val="Normal"/>
    <w:next w:val="Normal"/>
    <w:autoRedefine/>
    <w:uiPriority w:val="99"/>
    <w:semiHidden/>
    <w:rsid w:val="005E3C8D"/>
    <w:pPr>
      <w:ind w:left="1200" w:hanging="240"/>
    </w:pPr>
    <w:rPr>
      <w:rFonts w:ascii="Times New Roman" w:hAnsi="Times New Roman"/>
      <w:szCs w:val="24"/>
    </w:rPr>
  </w:style>
  <w:style w:type="paragraph" w:styleId="Index6">
    <w:name w:val="index 6"/>
    <w:basedOn w:val="Normal"/>
    <w:next w:val="Normal"/>
    <w:autoRedefine/>
    <w:uiPriority w:val="99"/>
    <w:semiHidden/>
    <w:rsid w:val="005E3C8D"/>
    <w:pPr>
      <w:ind w:left="1440" w:hanging="240"/>
    </w:pPr>
    <w:rPr>
      <w:rFonts w:ascii="Times New Roman" w:hAnsi="Times New Roman"/>
      <w:szCs w:val="24"/>
    </w:rPr>
  </w:style>
  <w:style w:type="paragraph" w:styleId="Index7">
    <w:name w:val="index 7"/>
    <w:basedOn w:val="Normal"/>
    <w:next w:val="Normal"/>
    <w:autoRedefine/>
    <w:uiPriority w:val="99"/>
    <w:semiHidden/>
    <w:rsid w:val="005E3C8D"/>
    <w:pPr>
      <w:ind w:left="1680" w:hanging="240"/>
    </w:pPr>
    <w:rPr>
      <w:rFonts w:ascii="Times New Roman" w:hAnsi="Times New Roman"/>
      <w:szCs w:val="24"/>
    </w:rPr>
  </w:style>
  <w:style w:type="paragraph" w:styleId="Index8">
    <w:name w:val="index 8"/>
    <w:basedOn w:val="Normal"/>
    <w:next w:val="Normal"/>
    <w:autoRedefine/>
    <w:uiPriority w:val="99"/>
    <w:semiHidden/>
    <w:rsid w:val="005E3C8D"/>
    <w:pPr>
      <w:ind w:left="1920" w:hanging="240"/>
    </w:pPr>
    <w:rPr>
      <w:rFonts w:ascii="Times New Roman" w:hAnsi="Times New Roman"/>
      <w:szCs w:val="24"/>
    </w:rPr>
  </w:style>
  <w:style w:type="paragraph" w:styleId="Index9">
    <w:name w:val="index 9"/>
    <w:basedOn w:val="Normal"/>
    <w:next w:val="Normal"/>
    <w:autoRedefine/>
    <w:uiPriority w:val="99"/>
    <w:semiHidden/>
    <w:rsid w:val="005E3C8D"/>
    <w:pPr>
      <w:ind w:left="2160" w:hanging="240"/>
    </w:pPr>
    <w:rPr>
      <w:rFonts w:ascii="Times New Roman" w:hAnsi="Times New Roman"/>
      <w:szCs w:val="24"/>
    </w:rPr>
  </w:style>
  <w:style w:type="paragraph" w:styleId="IndexHeading">
    <w:name w:val="index heading"/>
    <w:basedOn w:val="Normal"/>
    <w:next w:val="Index1"/>
    <w:uiPriority w:val="99"/>
    <w:semiHidden/>
    <w:rsid w:val="005E3C8D"/>
    <w:pPr>
      <w:spacing w:before="120" w:after="120"/>
    </w:pPr>
    <w:rPr>
      <w:rFonts w:ascii="Times New Roman" w:hAnsi="Times New Roman"/>
      <w:b/>
      <w:bCs/>
      <w:i/>
      <w:iCs/>
      <w:szCs w:val="24"/>
    </w:rPr>
  </w:style>
  <w:style w:type="paragraph" w:customStyle="1" w:styleId="EntEmet">
    <w:name w:val="EntEmet"/>
    <w:basedOn w:val="Normal"/>
    <w:uiPriority w:val="99"/>
    <w:rsid w:val="005E3C8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E3C8D"/>
    <w:pPr>
      <w:spacing w:line="240" w:lineRule="auto"/>
    </w:pPr>
    <w:rPr>
      <w:rFonts w:ascii="Arial" w:hAnsi="Arial"/>
      <w:lang w:val="en-GB"/>
    </w:rPr>
  </w:style>
  <w:style w:type="paragraph" w:customStyle="1" w:styleId="Avsndare0">
    <w:name w:val="Avsndare"/>
    <w:basedOn w:val="Normal"/>
    <w:next w:val="Normal"/>
    <w:uiPriority w:val="99"/>
    <w:rsid w:val="005E3C8D"/>
    <w:pPr>
      <w:spacing w:line="240" w:lineRule="auto"/>
    </w:pPr>
    <w:rPr>
      <w:rFonts w:ascii="Arial" w:hAnsi="Arial"/>
      <w:i/>
      <w:lang w:val="en-GB"/>
    </w:rPr>
  </w:style>
  <w:style w:type="character" w:styleId="Hyperlink">
    <w:name w:val="Hyperlink"/>
    <w:basedOn w:val="DefaultParagraphFont"/>
    <w:uiPriority w:val="99"/>
    <w:rsid w:val="005E3C8D"/>
    <w:rPr>
      <w:rFonts w:cs="Times New Roman"/>
      <w:color w:val="0000FF"/>
      <w:u w:val="single"/>
    </w:rPr>
  </w:style>
  <w:style w:type="paragraph" w:styleId="DocumentMap">
    <w:name w:val="Document Map"/>
    <w:basedOn w:val="Normal"/>
    <w:link w:val="DocumentMapChar"/>
    <w:uiPriority w:val="99"/>
    <w:semiHidden/>
    <w:rsid w:val="005E3C8D"/>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9D15A6"/>
    <w:rPr>
      <w:rFonts w:cs="Times New Roman"/>
      <w:sz w:val="2"/>
      <w:lang w:eastAsia="en-US"/>
    </w:rPr>
  </w:style>
  <w:style w:type="character" w:styleId="FollowedHyperlink">
    <w:name w:val="FollowedHyperlink"/>
    <w:basedOn w:val="DefaultParagraphFont"/>
    <w:uiPriority w:val="99"/>
    <w:rsid w:val="005E3C8D"/>
    <w:rPr>
      <w:rFonts w:cs="Times New Roman"/>
      <w:color w:val="800080"/>
      <w:u w:val="single"/>
    </w:rPr>
  </w:style>
  <w:style w:type="paragraph" w:customStyle="1" w:styleId="Par-number1">
    <w:name w:val="Par-number 1)"/>
    <w:basedOn w:val="Normal"/>
    <w:next w:val="Normal"/>
    <w:uiPriority w:val="99"/>
    <w:rsid w:val="005E3C8D"/>
    <w:pPr>
      <w:widowControl w:val="0"/>
      <w:numPr>
        <w:numId w:val="7"/>
      </w:numPr>
      <w:tabs>
        <w:tab w:val="clear" w:pos="360"/>
        <w:tab w:val="num" w:pos="567"/>
      </w:tabs>
      <w:spacing w:line="360" w:lineRule="auto"/>
      <w:ind w:left="567" w:hanging="567"/>
    </w:pPr>
    <w:rPr>
      <w:rFonts w:ascii="Times New Roman" w:hAnsi="Times New Roman"/>
      <w:lang w:eastAsia="fr-BE"/>
    </w:rPr>
  </w:style>
  <w:style w:type="paragraph" w:customStyle="1" w:styleId="Par-equal">
    <w:name w:val="Par-equal"/>
    <w:basedOn w:val="Normal"/>
    <w:next w:val="Normal"/>
    <w:uiPriority w:val="99"/>
    <w:rsid w:val="005E3C8D"/>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5E3C8D"/>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5E3C8D"/>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5E3C8D"/>
    <w:pPr>
      <w:widowControl w:val="0"/>
      <w:numPr>
        <w:numId w:val="5"/>
      </w:numPr>
      <w:tabs>
        <w:tab w:val="clear" w:pos="360"/>
        <w:tab w:val="num" w:pos="567"/>
      </w:tabs>
      <w:spacing w:line="360" w:lineRule="auto"/>
      <w:ind w:left="567" w:hanging="567"/>
    </w:pPr>
    <w:rPr>
      <w:rFonts w:ascii="Times New Roman" w:hAnsi="Times New Roman"/>
      <w:lang w:eastAsia="fr-BE"/>
    </w:rPr>
  </w:style>
  <w:style w:type="paragraph" w:customStyle="1" w:styleId="Par-dash">
    <w:name w:val="Par-dash"/>
    <w:basedOn w:val="Normal"/>
    <w:next w:val="Normal"/>
    <w:uiPriority w:val="99"/>
    <w:rsid w:val="005E3C8D"/>
    <w:pPr>
      <w:widowControl w:val="0"/>
      <w:numPr>
        <w:numId w:val="6"/>
      </w:numPr>
      <w:tabs>
        <w:tab w:val="clear" w:pos="360"/>
        <w:tab w:val="num" w:pos="567"/>
      </w:tabs>
      <w:spacing w:line="360" w:lineRule="auto"/>
      <w:ind w:left="567" w:hanging="567"/>
    </w:pPr>
    <w:rPr>
      <w:rFonts w:ascii="Times New Roman" w:hAnsi="Times New Roman"/>
      <w:lang w:eastAsia="fr-BE"/>
    </w:rPr>
  </w:style>
  <w:style w:type="paragraph" w:customStyle="1" w:styleId="Par-numberA">
    <w:name w:val="Par-number A."/>
    <w:basedOn w:val="Normal"/>
    <w:next w:val="Normal"/>
    <w:uiPriority w:val="99"/>
    <w:rsid w:val="005E3C8D"/>
    <w:pPr>
      <w:widowControl w:val="0"/>
      <w:numPr>
        <w:numId w:val="8"/>
      </w:numPr>
      <w:tabs>
        <w:tab w:val="clear" w:pos="360"/>
        <w:tab w:val="num" w:pos="567"/>
      </w:tabs>
      <w:spacing w:line="360" w:lineRule="auto"/>
      <w:ind w:left="567" w:hanging="567"/>
    </w:pPr>
    <w:rPr>
      <w:rFonts w:ascii="Times New Roman" w:hAnsi="Times New Roman"/>
      <w:lang w:eastAsia="fr-BE"/>
    </w:rPr>
  </w:style>
  <w:style w:type="paragraph" w:customStyle="1" w:styleId="Par-numberi0">
    <w:name w:val="Par-number (i)"/>
    <w:basedOn w:val="Normal"/>
    <w:next w:val="Normal"/>
    <w:uiPriority w:val="99"/>
    <w:rsid w:val="005E3C8D"/>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E3C8D"/>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5E3C8D"/>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5E3C8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E3C8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sid w:val="009D15A6"/>
    <w:rPr>
      <w:rFonts w:ascii="OrigGarmnd BT" w:hAnsi="OrigGarmnd BT" w:cs="Times New Roman"/>
      <w:sz w:val="20"/>
      <w:szCs w:val="20"/>
      <w:lang w:eastAsia="en-US"/>
    </w:rPr>
  </w:style>
  <w:style w:type="paragraph" w:customStyle="1" w:styleId="EntRefer">
    <w:name w:val="EntRefer"/>
    <w:basedOn w:val="Normal"/>
    <w:uiPriority w:val="99"/>
    <w:rsid w:val="005E3C8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E3C8D"/>
    <w:pPr>
      <w:spacing w:line="240" w:lineRule="auto"/>
    </w:pPr>
    <w:rPr>
      <w:rFonts w:ascii="Times New Roman" w:hAnsi="Times New Roman"/>
      <w:lang w:val="en-GB" w:eastAsia="fr-BE"/>
    </w:rPr>
  </w:style>
  <w:style w:type="paragraph" w:customStyle="1" w:styleId="Tiret1">
    <w:name w:val="Tiret 1"/>
    <w:basedOn w:val="Normal"/>
    <w:uiPriority w:val="99"/>
    <w:rsid w:val="005E3C8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E3C8D"/>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5E3C8D"/>
    <w:pPr>
      <w:overflowPunct w:val="0"/>
      <w:autoSpaceDE w:val="0"/>
      <w:autoSpaceDN w:val="0"/>
      <w:adjustRightInd w:val="0"/>
      <w:ind w:left="1843"/>
      <w:textAlignment w:val="baseline"/>
    </w:pPr>
  </w:style>
  <w:style w:type="paragraph" w:customStyle="1" w:styleId="Brdtext0">
    <w:name w:val="Brˆdtext"/>
    <w:basedOn w:val="Normal"/>
    <w:uiPriority w:val="99"/>
    <w:rsid w:val="005E3C8D"/>
    <w:pPr>
      <w:spacing w:line="320" w:lineRule="exact"/>
    </w:pPr>
    <w:rPr>
      <w:rFonts w:ascii="Times New Roman" w:hAnsi="Times New Roman"/>
    </w:rPr>
  </w:style>
  <w:style w:type="character" w:customStyle="1" w:styleId="term">
    <w:name w:val="term"/>
    <w:basedOn w:val="DefaultParagraphFont"/>
    <w:uiPriority w:val="99"/>
    <w:rsid w:val="005E3C8D"/>
    <w:rPr>
      <w:rFonts w:cs="Times New Roman"/>
    </w:rPr>
  </w:style>
  <w:style w:type="paragraph" w:customStyle="1" w:styleId="Brdtexthuvud">
    <w:name w:val="Brödtext huvud"/>
    <w:basedOn w:val="Normal"/>
    <w:uiPriority w:val="99"/>
    <w:rsid w:val="005E3C8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5B5F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B5F2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5315</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2012-04-04T13:02:00Z</cp:lastPrinted>
  <dcterms:created xsi:type="dcterms:W3CDTF">2012-07-17T09:24:00Z</dcterms:created>
  <dcterms:modified xsi:type="dcterms:W3CDTF">2012-07-17T09:24:00Z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0</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y fmtid="{D5CDD505-2E9C-101B-9397-08002B2CF9AE}" pid="16" name="ContentType">
    <vt:lpwstr>Word</vt:lpwstr>
  </property>
</Properties>
</file>