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F0D74EE2EEE45749C5030C77E7E1BB1"/>
        </w:placeholder>
        <w:text/>
      </w:sdtPr>
      <w:sdtEndPr/>
      <w:sdtContent>
        <w:p w:rsidRPr="009B062B" w:rsidR="00AF30DD" w:rsidP="00654670" w:rsidRDefault="00AF30DD">
          <w:pPr>
            <w:pStyle w:val="Rubrik1numrerat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8bb485-67ae-4507-b4cc-0c63d8143d5d"/>
        <w:id w:val="-1404595030"/>
        <w:lock w:val="sdtLocked"/>
      </w:sdtPr>
      <w:sdtEndPr/>
      <w:sdtContent>
        <w:p w:rsidR="00EF6BD8" w:rsidRDefault="00DA28BA">
          <w:pPr>
            <w:pStyle w:val="Frslagstext"/>
          </w:pPr>
          <w:r>
            <w:t>Riksdagen avslår regeringens förslag till lag om kompensation för höga drivmedelskostnader.</w:t>
          </w:r>
        </w:p>
      </w:sdtContent>
    </w:sdt>
    <w:sdt>
      <w:sdtPr>
        <w:alias w:val="Yrkande 2"/>
        <w:tag w:val="8171eff1-fc82-4d5d-ab9b-2a908afc94fd"/>
        <w:id w:val="1187945378"/>
        <w:lock w:val="sdtLocked"/>
      </w:sdtPr>
      <w:sdtEndPr/>
      <w:sdtContent>
        <w:p w:rsidR="00EF6BD8" w:rsidRDefault="00DA28BA">
          <w:pPr>
            <w:pStyle w:val="Frslagstext"/>
          </w:pPr>
          <w:r>
            <w:t>Riksdagen avslår regeringens förslag till ändrat ändamål för anslaget 1:12 inom utgiftsområde 22 Kommunikationer.</w:t>
          </w:r>
        </w:p>
      </w:sdtContent>
    </w:sdt>
    <w:sdt>
      <w:sdtPr>
        <w:alias w:val="Yrkande 3"/>
        <w:tag w:val="89daa52d-aaf9-4f2d-8d4d-8f8bf609c62e"/>
        <w:id w:val="1539858880"/>
        <w:lock w:val="sdtLocked"/>
      </w:sdtPr>
      <w:sdtEndPr/>
      <w:sdtContent>
        <w:p w:rsidR="00EF6BD8" w:rsidRDefault="00DA28BA">
          <w:pPr>
            <w:pStyle w:val="Frslagstext"/>
          </w:pPr>
          <w:r>
            <w:t>Riksdagen godkänner ändrade ramar för utgiftsområden och anvisar ändrade anslag enligt regeringens förslag med de ändringar som framgår av tabell 1 i motionen.</w:t>
          </w:r>
        </w:p>
      </w:sdtContent>
    </w:sdt>
    <w:sdt>
      <w:sdtPr>
        <w:alias w:val="Yrkande 4"/>
        <w:tag w:val="2f681731-42f0-4989-9a0d-82cd71fc434c"/>
        <w:id w:val="-1639801416"/>
        <w:lock w:val="sdtLocked"/>
      </w:sdtPr>
      <w:sdtEndPr/>
      <w:sdtContent>
        <w:p w:rsidR="00EF6BD8" w:rsidRDefault="00DA28BA">
          <w:pPr>
            <w:pStyle w:val="Frslagstext"/>
          </w:pPr>
          <w:r>
            <w:t>Riksdagen ställer sig bakom det som anförs i motionen om att regeringen i utformningen av stödet till jordbruket, inom ramen för utgiftsområde 23 anslagen 1:17 och 1:18, bör säkerställa att det gynnar hållbara jordbruk, och detta tillkännager riksdagen för regeringen.</w:t>
          </w:r>
        </w:p>
      </w:sdtContent>
    </w:sdt>
    <w:sdt>
      <w:sdtPr>
        <w:alias w:val="Yrkande 5"/>
        <w:tag w:val="83e309bd-fc7d-4753-9688-541af18c4ce2"/>
        <w:id w:val="1803572228"/>
        <w:lock w:val="sdtLocked"/>
      </w:sdtPr>
      <w:sdtEndPr/>
      <w:sdtContent>
        <w:p w:rsidR="00EF6BD8" w:rsidRDefault="00DA28BA">
          <w:pPr>
            <w:pStyle w:val="Frslagstext"/>
          </w:pPr>
          <w:r>
            <w:t>Riksdagen ställer sig bakom det som anförs i motionen om att regeringen i utformningen av stödet till yrkesfisket, inom ramen för utgiftsområde 23 anslag 1:12, bör säkerställa att det gynnar det hållbara lokala och regionala fisket,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85EA42D37041BEAC45AA1B928B426B"/>
        </w:placeholder>
        <w:text/>
      </w:sdtPr>
      <w:sdtEndPr/>
      <w:sdtContent>
        <w:p w:rsidRPr="009B062B" w:rsidR="006D79C9" w:rsidP="00654670" w:rsidRDefault="00F5466C">
          <w:pPr>
            <w:pStyle w:val="Rubrik1numrerat"/>
          </w:pPr>
          <w:r>
            <w:t>Inledning</w:t>
          </w:r>
        </w:p>
      </w:sdtContent>
    </w:sdt>
    <w:p w:rsidR="00F5466C" w:rsidP="00F5466C" w:rsidRDefault="00F5466C">
      <w:pPr>
        <w:pStyle w:val="Normalutanindragellerluft"/>
      </w:pPr>
      <w:r>
        <w:t xml:space="preserve">I propositionen lämnar regeringen förslag till ändringar i statens budget för 2022. Förslagen är bl.a. en följd av höga energipriser med anledning av Rysslands invasion av Ukraina. Regeringen föreslår </w:t>
      </w:r>
      <w:r w:rsidR="007A0C2E">
        <w:t>bl.a.</w:t>
      </w:r>
      <w:r>
        <w:t xml:space="preserve"> att en ny lag om kompensation för höga drivmedels</w:t>
      </w:r>
      <w:r w:rsidR="00F00839">
        <w:softHyphen/>
      </w:r>
      <w:r>
        <w:t>kostnader ska införas. Lagen innebär att privatpersoner som äger en personbil får kompensation för höga drivmedelspriser. Lagen föreslås träda i kraft den 1 augusti 2022 och upphöra att gälla vid utgången av samma år.</w:t>
      </w:r>
    </w:p>
    <w:p w:rsidR="00BB6339" w:rsidP="00F5466C" w:rsidRDefault="00F5466C">
      <w:r>
        <w:lastRenderedPageBreak/>
        <w:t xml:space="preserve">Vidare föreslår regeringen att medel tillförs för att kompensera hushåll och privatpersoner för höga el- och drivmedelspriser samt för stöd till jordbruket och yrkesfisket för att minska konsekvenserna av de höga kostnaderna. Propositionen innehåller även förslag om ökade medel till folkbildningen för skyddssökande från Ukraina. </w:t>
      </w:r>
    </w:p>
    <w:p w:rsidR="00F5466C" w:rsidP="00654670" w:rsidRDefault="00F5466C">
      <w:pPr>
        <w:pStyle w:val="Rubrik1numrerat"/>
      </w:pPr>
      <w:r w:rsidRPr="00F5466C">
        <w:t>Drivmedelskompensation</w:t>
      </w:r>
    </w:p>
    <w:p w:rsidRPr="000C09BF" w:rsidR="006862B9" w:rsidP="006862B9" w:rsidRDefault="00F5466C">
      <w:pPr>
        <w:pStyle w:val="Normalutanindragellerluft"/>
      </w:pPr>
      <w:r>
        <w:t>Regeringen föreslår att det ska införas en lag om kompensation för höga drivmedels</w:t>
      </w:r>
      <w:r w:rsidR="00F00839">
        <w:softHyphen/>
      </w:r>
      <w:r>
        <w:t xml:space="preserve">kostnader. Den föreslagna kompensationen är utformad så att </w:t>
      </w:r>
      <w:r w:rsidR="006862B9">
        <w:t xml:space="preserve">en person som ägde en bil den 28 februari 2022 ska få en ersättning om </w:t>
      </w:r>
      <w:r>
        <w:t>1</w:t>
      </w:r>
      <w:r w:rsidR="00437627">
        <w:t> </w:t>
      </w:r>
      <w:r>
        <w:t>000 kronor</w:t>
      </w:r>
      <w:r w:rsidR="006862B9">
        <w:t xml:space="preserve">. </w:t>
      </w:r>
      <w:r>
        <w:t xml:space="preserve">Ersättning med ytterligare 500 kronor ska lämnas till en ersättningsberättigad person som </w:t>
      </w:r>
      <w:r w:rsidR="006862B9">
        <w:t xml:space="preserve">den 28 februari 2022 bodde </w:t>
      </w:r>
      <w:r w:rsidR="00E521A4">
        <w:t xml:space="preserve">i </w:t>
      </w:r>
      <w:r w:rsidR="006862B9">
        <w:t>angivna områden</w:t>
      </w:r>
      <w:r>
        <w:t>.</w:t>
      </w:r>
      <w:r w:rsidR="006862B9">
        <w:t xml:space="preserve"> </w:t>
      </w:r>
      <w:r>
        <w:t>Ersättningen ska vara skattefri</w:t>
      </w:r>
      <w:r w:rsidR="006862B9">
        <w:t xml:space="preserve">, betalas ut till 3,7 miljoner personer, varav </w:t>
      </w:r>
      <w:r w:rsidRPr="006862B9" w:rsidR="006862B9">
        <w:t>960</w:t>
      </w:r>
      <w:r w:rsidR="006862B9">
        <w:t> </w:t>
      </w:r>
      <w:r w:rsidRPr="006862B9" w:rsidR="006862B9">
        <w:t>000</w:t>
      </w:r>
      <w:r w:rsidR="006862B9">
        <w:t xml:space="preserve"> kommer att få 1 500 kronor, och innebär ökade utgifter om 4,2 miljarder kronor för staten 2022. </w:t>
      </w:r>
      <w:r w:rsidRPr="000C09BF" w:rsidR="006862B9">
        <w:t>Nästan två tredjedelar av stödet beräknas betalas ut till män.</w:t>
      </w:r>
    </w:p>
    <w:p w:rsidR="00BB3400" w:rsidP="00EA30F4" w:rsidRDefault="006862B9">
      <w:r>
        <w:t xml:space="preserve">Vänsterpartiet </w:t>
      </w:r>
      <w:r w:rsidR="00BB3400">
        <w:t xml:space="preserve">ser behovet av en kompensation för de höga bränslepriserna men </w:t>
      </w:r>
      <w:r>
        <w:t xml:space="preserve">är kritiskt mot den föreslagna utformningen. Att kostnaderna för drivmedel har ökat innebär inte att det blivit dyrare att äga en bil. Stödet </w:t>
      </w:r>
      <w:r w:rsidR="00C75210">
        <w:t>har dålig träffsäkerhet och innebär stora ökade kostnader för staten.</w:t>
      </w:r>
      <w:r w:rsidR="00BB3400">
        <w:t xml:space="preserve"> </w:t>
      </w:r>
    </w:p>
    <w:p w:rsidR="00EA30F4" w:rsidP="00EA30F4" w:rsidRDefault="00BB3400">
      <w:r>
        <w:t xml:space="preserve">Vänsterpartiet </w:t>
      </w:r>
      <w:r w:rsidRPr="00BB3400">
        <w:t xml:space="preserve">har presenterat andra förslag för att kompensera för </w:t>
      </w:r>
      <w:r>
        <w:t xml:space="preserve">de </w:t>
      </w:r>
      <w:r w:rsidRPr="00BB3400">
        <w:t>höga bränsle</w:t>
      </w:r>
      <w:r w:rsidR="00F00839">
        <w:softHyphen/>
      </w:r>
      <w:r w:rsidRPr="00BB3400">
        <w:t>priser</w:t>
      </w:r>
      <w:r>
        <w:t>na</w:t>
      </w:r>
      <w:r w:rsidRPr="00BB3400">
        <w:t>, särskilt för boende på landsbygden</w:t>
      </w:r>
      <w:r>
        <w:t xml:space="preserve">. Några av dessa förslag har även fått stöd i riksdagen. Regeringen borde ha utformat stödet i linje med våra tidigare förslag. Inom ramen för detta ärende saknas utrymme för att föreslå en annan utformning, varför Vänsterpartiet avvisar förslaget. </w:t>
      </w:r>
    </w:p>
    <w:p w:rsidR="00EA30F4" w:rsidP="00EA30F4" w:rsidRDefault="000F73DA">
      <w:r w:rsidRPr="000F73DA">
        <w:t xml:space="preserve">Riksdagen </w:t>
      </w:r>
      <w:r w:rsidR="00655730">
        <w:t xml:space="preserve">bör </w:t>
      </w:r>
      <w:r w:rsidRPr="000F73DA">
        <w:t>avslå regeringens förslag till lag om kompensation för höga drivmedelskostnader.</w:t>
      </w:r>
      <w:r w:rsidR="00655730">
        <w:t xml:space="preserve"> Det bör riksdagen besluta.</w:t>
      </w:r>
    </w:p>
    <w:p w:rsidRPr="000F73DA" w:rsidR="00BB3400" w:rsidP="00AC593F" w:rsidRDefault="000F73DA">
      <w:pPr>
        <w:ind w:firstLine="0"/>
      </w:pPr>
      <w:r w:rsidRPr="000F73DA">
        <w:t xml:space="preserve">Riksdagen </w:t>
      </w:r>
      <w:r w:rsidR="00655730">
        <w:t xml:space="preserve">bör </w:t>
      </w:r>
      <w:r w:rsidRPr="000F73DA">
        <w:t>avslå regeringens förslag till ändrat ändamål för anslaget 1:12 inom utgiftsområde 22 Kommunikationer.</w:t>
      </w:r>
      <w:r w:rsidR="00655730">
        <w:t xml:space="preserve"> Det bör riksdagen besluta.</w:t>
      </w:r>
      <w:r w:rsidRPr="000F73DA">
        <w:t xml:space="preserve"> </w:t>
      </w:r>
    </w:p>
    <w:p w:rsidRPr="000442F9" w:rsidR="00EA30F4" w:rsidP="00AC593F" w:rsidRDefault="000F73DA">
      <w:r w:rsidRPr="000442F9">
        <w:t>Riksdagen godkänner ändrade ramar för utgiftsområden och anvisar ändrade anslag</w:t>
      </w:r>
      <w:r w:rsidRPr="000442F9" w:rsidR="00EA30F4">
        <w:t xml:space="preserve"> </w:t>
      </w:r>
      <w:r w:rsidRPr="000442F9">
        <w:t>enligt regeringens förslag med de ändringar som framgår av tabell</w:t>
      </w:r>
      <w:r w:rsidR="00DA28BA">
        <w:t> </w:t>
      </w:r>
      <w:r w:rsidRPr="000442F9" w:rsidR="00655730">
        <w:t>1</w:t>
      </w:r>
      <w:r w:rsidRPr="000442F9">
        <w:t xml:space="preserve"> i motionen.</w:t>
      </w:r>
    </w:p>
    <w:p w:rsidRPr="00FF5A3F" w:rsidR="00655730" w:rsidP="00FF5A3F" w:rsidRDefault="00A86491">
      <w:pPr>
        <w:pStyle w:val="Tabellrubrik"/>
      </w:pPr>
      <w:bookmarkStart w:name="_Hlk105147991" w:id="1"/>
      <w:r w:rsidRPr="00FF5A3F">
        <w:t xml:space="preserve">Tabell 1 </w:t>
      </w:r>
      <w:r w:rsidRPr="00FF5A3F" w:rsidR="00D05835">
        <w:t>Förslag till ändrade ramar för utgiftsområden och anslag</w:t>
      </w:r>
    </w:p>
    <w:p w:rsidRPr="00893AD7" w:rsidR="00893AD7" w:rsidP="00893AD7" w:rsidRDefault="00893AD7">
      <w:pPr>
        <w:pStyle w:val="Tabellunderrubrik"/>
      </w:pPr>
      <w:r w:rsidRPr="00893AD7">
        <w:t>Tusental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303"/>
        <w:gridCol w:w="1482"/>
        <w:gridCol w:w="1439"/>
        <w:gridCol w:w="1310"/>
        <w:gridCol w:w="1439"/>
      </w:tblGrid>
      <w:tr w:rsidRPr="00FF348F" w:rsidR="00FF348F" w:rsidTr="006B7B5E">
        <w:trPr>
          <w:cantSplit/>
        </w:trPr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000000" w:fill="FFFFFF"/>
            <w:tcMar>
              <w:left w:w="28" w:type="dxa"/>
            </w:tcMar>
            <w:hideMark/>
          </w:tcPr>
          <w:p w:rsidRPr="00FF348F" w:rsidR="00FF348F" w:rsidP="00FE25C0" w:rsidRDefault="00FF348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bookmarkStart w:name="_Hlk105147950" w:colFirst="0" w:colLast="4" w:id="2"/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Utgiftsområde/Anslag</w:t>
            </w:r>
          </w:p>
        </w:tc>
        <w:tc>
          <w:tcPr>
            <w:tcW w:w="1482" w:type="dxa"/>
            <w:tcBorders>
              <w:top w:val="single" w:color="auto" w:sz="6" w:space="0"/>
              <w:bottom w:val="single" w:color="auto" w:sz="6" w:space="0"/>
            </w:tcBorders>
            <w:shd w:val="clear" w:color="000000" w:fill="FFFFFF"/>
            <w:hideMark/>
          </w:tcPr>
          <w:p w:rsidRPr="00FF348F" w:rsidR="00FF348F" w:rsidP="00FE25C0" w:rsidRDefault="00FF348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Beslutad ram/</w:t>
            </w:r>
            <w:r w:rsidR="00DA28BA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nvisat anslag</w:t>
            </w:r>
          </w:p>
        </w:tc>
        <w:tc>
          <w:tcPr>
            <w:tcW w:w="1439" w:type="dxa"/>
            <w:tcBorders>
              <w:top w:val="single" w:color="auto" w:sz="6" w:space="0"/>
              <w:bottom w:val="single" w:color="auto" w:sz="6" w:space="0"/>
            </w:tcBorders>
            <w:shd w:val="clear" w:color="000000" w:fill="FFFFFF"/>
            <w:hideMark/>
          </w:tcPr>
          <w:p w:rsidRPr="00FF348F" w:rsidR="00FF348F" w:rsidP="00FE25C0" w:rsidRDefault="00FF348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Förändring av ram/anslag</w:t>
            </w:r>
          </w:p>
        </w:tc>
        <w:tc>
          <w:tcPr>
            <w:tcW w:w="1310" w:type="dxa"/>
            <w:tcBorders>
              <w:top w:val="single" w:color="auto" w:sz="6" w:space="0"/>
              <w:bottom w:val="single" w:color="auto" w:sz="6" w:space="0"/>
            </w:tcBorders>
            <w:shd w:val="clear" w:color="000000" w:fill="FFFFFF"/>
            <w:hideMark/>
          </w:tcPr>
          <w:p w:rsidRPr="00FF348F" w:rsidR="00FF348F" w:rsidP="00FE25C0" w:rsidRDefault="00FF348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Ny ram/Ny anslagsnivå</w:t>
            </w:r>
          </w:p>
        </w:tc>
        <w:tc>
          <w:tcPr>
            <w:tcW w:w="1439" w:type="dxa"/>
            <w:tcBorders>
              <w:top w:val="single" w:color="auto" w:sz="6" w:space="0"/>
              <w:bottom w:val="single" w:color="auto" w:sz="6" w:space="0"/>
            </w:tcBorders>
            <w:shd w:val="clear" w:color="000000" w:fill="FFFFFF"/>
            <w:hideMark/>
          </w:tcPr>
          <w:p w:rsidRPr="00FF348F" w:rsidR="00FF348F" w:rsidP="00FE25C0" w:rsidRDefault="00FF348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Avvikelse mot regeringen (</w:t>
            </w:r>
            <w:r w:rsidR="00DA28BA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V</w:t>
            </w: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)</w:t>
            </w:r>
          </w:p>
        </w:tc>
      </w:tr>
      <w:tr w:rsidRPr="00FF348F" w:rsidR="009F6C38" w:rsidTr="006B7B5E">
        <w:trPr>
          <w:cantSplit/>
        </w:trPr>
        <w:tc>
          <w:tcPr>
            <w:tcW w:w="532" w:type="dxa"/>
            <w:tcBorders>
              <w:top w:val="single" w:color="auto" w:sz="6" w:space="0"/>
            </w:tcBorders>
            <w:shd w:val="clear" w:color="000000" w:fill="FFFFFF"/>
            <w:tcMar>
              <w:left w:w="28" w:type="dxa"/>
            </w:tcMar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22</w:t>
            </w:r>
          </w:p>
        </w:tc>
        <w:tc>
          <w:tcPr>
            <w:tcW w:w="2303" w:type="dxa"/>
            <w:tcBorders>
              <w:top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Kommunikationer</w:t>
            </w:r>
          </w:p>
        </w:tc>
        <w:tc>
          <w:tcPr>
            <w:tcW w:w="1482" w:type="dxa"/>
            <w:tcBorders>
              <w:top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77 091 052</w:t>
            </w:r>
          </w:p>
        </w:tc>
        <w:tc>
          <w:tcPr>
            <w:tcW w:w="1439" w:type="dxa"/>
            <w:tcBorders>
              <w:top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4 217 000</w:t>
            </w:r>
          </w:p>
        </w:tc>
        <w:tc>
          <w:tcPr>
            <w:tcW w:w="1310" w:type="dxa"/>
            <w:tcBorders>
              <w:top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81 308 052</w:t>
            </w:r>
          </w:p>
        </w:tc>
        <w:tc>
          <w:tcPr>
            <w:tcW w:w="1439" w:type="dxa"/>
            <w:tcBorders>
              <w:top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-</w:t>
            </w:r>
            <w:r w:rsidR="00DA28BA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FF348F">
              <w:rPr>
                <w:rFonts w:ascii="Times New Roman" w:hAnsi="Times New Roman"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4 217 000</w:t>
            </w:r>
          </w:p>
        </w:tc>
      </w:tr>
      <w:tr w:rsidRPr="00FF348F" w:rsidR="009F6C38" w:rsidTr="00FE25C0">
        <w:trPr>
          <w:cantSplit/>
        </w:trPr>
        <w:tc>
          <w:tcPr>
            <w:tcW w:w="532" w:type="dxa"/>
            <w:shd w:val="clear" w:color="000000" w:fill="FFFFFF"/>
            <w:tcMar>
              <w:left w:w="28" w:type="dxa"/>
            </w:tcMar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2303" w:type="dxa"/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Transportstyrelsen</w:t>
            </w:r>
          </w:p>
        </w:tc>
        <w:tc>
          <w:tcPr>
            <w:tcW w:w="1482" w:type="dxa"/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2 367 233</w:t>
            </w:r>
          </w:p>
        </w:tc>
        <w:tc>
          <w:tcPr>
            <w:tcW w:w="1439" w:type="dxa"/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17 000</w:t>
            </w:r>
          </w:p>
        </w:tc>
        <w:tc>
          <w:tcPr>
            <w:tcW w:w="1310" w:type="dxa"/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2 384 233</w:t>
            </w:r>
          </w:p>
        </w:tc>
        <w:tc>
          <w:tcPr>
            <w:tcW w:w="1439" w:type="dxa"/>
            <w:shd w:val="clear" w:color="000000" w:fill="FFFFFF"/>
            <w:hideMark/>
          </w:tcPr>
          <w:p w:rsidRPr="00FF348F" w:rsidR="009F6C38" w:rsidP="00FE25C0" w:rsidRDefault="00DA28B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FF348F" w:rsidR="009F6C38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17 000</w:t>
            </w:r>
          </w:p>
        </w:tc>
      </w:tr>
      <w:tr w:rsidRPr="00FF348F" w:rsidR="009F6C38" w:rsidTr="00FE25C0">
        <w:trPr>
          <w:cantSplit/>
        </w:trPr>
        <w:tc>
          <w:tcPr>
            <w:tcW w:w="532" w:type="dxa"/>
            <w:tcBorders>
              <w:bottom w:val="single" w:color="auto" w:sz="6" w:space="0"/>
            </w:tcBorders>
            <w:shd w:val="clear" w:color="auto" w:fill="auto"/>
            <w:noWrap/>
            <w:tcMar>
              <w:left w:w="28" w:type="dxa"/>
            </w:tcMar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2303" w:type="dxa"/>
            <w:tcBorders>
              <w:bottom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Drivm</w:t>
            </w:r>
            <w:bookmarkStart w:name="_GoBack" w:id="3"/>
            <w:bookmarkEnd w:id="3"/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 xml:space="preserve">edelskompensation </w:t>
            </w:r>
          </w:p>
        </w:tc>
        <w:tc>
          <w:tcPr>
            <w:tcW w:w="1482" w:type="dxa"/>
            <w:tcBorders>
              <w:bottom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  <w:tc>
          <w:tcPr>
            <w:tcW w:w="1439" w:type="dxa"/>
            <w:tcBorders>
              <w:bottom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4 200 000</w:t>
            </w:r>
          </w:p>
        </w:tc>
        <w:tc>
          <w:tcPr>
            <w:tcW w:w="1310" w:type="dxa"/>
            <w:tcBorders>
              <w:bottom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9F6C3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F348F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4 200 000</w:t>
            </w:r>
          </w:p>
        </w:tc>
        <w:tc>
          <w:tcPr>
            <w:tcW w:w="1439" w:type="dxa"/>
            <w:tcBorders>
              <w:bottom w:val="single" w:color="auto" w:sz="6" w:space="0"/>
            </w:tcBorders>
            <w:shd w:val="clear" w:color="000000" w:fill="FFFFFF"/>
            <w:hideMark/>
          </w:tcPr>
          <w:p w:rsidRPr="00FF348F" w:rsidR="009F6C38" w:rsidP="00FE25C0" w:rsidRDefault="00DA28B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FF348F" w:rsidR="009F6C38">
              <w:rPr>
                <w:rFonts w:ascii="Times New Roman" w:hAnsi="Times New Roman" w:eastAsia="Times New Roman" w:cs="Times New Roman"/>
                <w:color w:val="222222"/>
                <w:kern w:val="0"/>
                <w:sz w:val="20"/>
                <w:szCs w:val="20"/>
                <w:lang w:eastAsia="sv-SE"/>
                <w14:numSpacing w14:val="default"/>
              </w:rPr>
              <w:t>4 200 000</w:t>
            </w:r>
          </w:p>
        </w:tc>
      </w:tr>
    </w:tbl>
    <w:bookmarkEnd w:id="1"/>
    <w:bookmarkEnd w:id="2"/>
    <w:p w:rsidRPr="00EA30F4" w:rsidR="00FF4F5B" w:rsidP="00654670" w:rsidRDefault="00FF4F5B">
      <w:pPr>
        <w:pStyle w:val="Rubrik1numrerat"/>
      </w:pPr>
      <w:r w:rsidRPr="00EA30F4">
        <w:t>Stöd till jordbruket och yrkesfisket</w:t>
      </w:r>
    </w:p>
    <w:p w:rsidR="00D30CA0" w:rsidP="00FF4F5B" w:rsidRDefault="00FF4F5B">
      <w:pPr>
        <w:pStyle w:val="Normalutanindragellerluft"/>
      </w:pPr>
      <w:r>
        <w:t xml:space="preserve">Regeringen föreslår att medel tillförs för att ge stöd till jordbruket och yrkesfisket för att minska konsekvenserna av de höga kostnaderna för drivmedel och andra insatsvaror. </w:t>
      </w:r>
    </w:p>
    <w:p w:rsidR="008C6592" w:rsidP="00D30CA0" w:rsidRDefault="00D30CA0">
      <w:r>
        <w:lastRenderedPageBreak/>
        <w:t xml:space="preserve">Vänsterpartiet delar regeringens bedömning att jordbruket och yrkesfisket behöver stöd till följd av prisökningarna. </w:t>
      </w:r>
      <w:r w:rsidR="008C6592">
        <w:t>Inte minst för att stärka den svenska livsmedels</w:t>
      </w:r>
      <w:r w:rsidR="00F00839">
        <w:softHyphen/>
      </w:r>
      <w:r w:rsidR="008C6592">
        <w:t xml:space="preserve">försörjningen. </w:t>
      </w:r>
      <w:r>
        <w:t>Vi har tagit initiativ i riksdagen för att säkerställa att de får sådant stöd. Samtidigt är vi kritiska mot hur dessa stöd utformats och vilka som därmed gynnats av dem. Vi anser att</w:t>
      </w:r>
      <w:r w:rsidR="008C6592">
        <w:t xml:space="preserve"> livsmedelsförsörjningen måste vara långsiktigt hållbar. För att nå dit krävs en omställning av sektorn.</w:t>
      </w:r>
      <w:r>
        <w:t xml:space="preserve"> </w:t>
      </w:r>
      <w:r w:rsidR="008C6592">
        <w:t>S</w:t>
      </w:r>
      <w:r>
        <w:t>tödet</w:t>
      </w:r>
      <w:r w:rsidR="008C6592">
        <w:t xml:space="preserve"> bör</w:t>
      </w:r>
      <w:r>
        <w:t xml:space="preserve"> i högre grad riktas mot ekobönder, som missgynnats av tidigare stöd eftersom de inte på samma sätt får del av stöd för diesel eller för konstgödsel. </w:t>
      </w:r>
      <w:r w:rsidR="007C7E5E">
        <w:t xml:space="preserve">Regeringen bör i utformningen av stödet till jordbruket, inom ramen för utgiftsområde 23 anslag 1:17 och 1:18, säkerställa att det gynnar hållbara jordbruk. Detta bör riksdagen ställa sig bakom och ge regeringen till känna. </w:t>
      </w:r>
    </w:p>
    <w:p w:rsidRPr="006862B9" w:rsidR="006862B9" w:rsidP="006862B9" w:rsidRDefault="008C6592">
      <w:r>
        <w:t xml:space="preserve">Liknande </w:t>
      </w:r>
      <w:r w:rsidR="00D30CA0">
        <w:t>bris</w:t>
      </w:r>
      <w:r w:rsidR="007D0B7A">
        <w:t>t</w:t>
      </w:r>
      <w:r w:rsidR="00D30CA0">
        <w:t xml:space="preserve">er </w:t>
      </w:r>
      <w:r>
        <w:t xml:space="preserve">finns </w:t>
      </w:r>
      <w:r w:rsidR="00D30CA0">
        <w:t>i stödet till yrkesfisket</w:t>
      </w:r>
      <w:r>
        <w:t>.</w:t>
      </w:r>
      <w:r w:rsidR="00D30CA0">
        <w:t xml:space="preserve"> </w:t>
      </w:r>
      <w:r>
        <w:t>Vänsterpartiet anser att</w:t>
      </w:r>
      <w:r w:rsidR="00D30CA0">
        <w:t xml:space="preserve"> stödet inte ska gå till de industritrålar</w:t>
      </w:r>
      <w:r>
        <w:t>e</w:t>
      </w:r>
      <w:r w:rsidR="00D30CA0">
        <w:t xml:space="preserve"> som fiskar för foder utan till det lokala</w:t>
      </w:r>
      <w:r>
        <w:t xml:space="preserve"> och</w:t>
      </w:r>
      <w:r w:rsidR="00D30CA0">
        <w:t xml:space="preserve"> regionala fisket</w:t>
      </w:r>
      <w:r>
        <w:t xml:space="preserve">. </w:t>
      </w:r>
      <w:r w:rsidR="007D0B7A">
        <w:t>Vänsterpartiet har i miljö</w:t>
      </w:r>
      <w:r w:rsidR="00DA28BA">
        <w:t>- och jordbruks</w:t>
      </w:r>
      <w:r w:rsidR="007D0B7A">
        <w:t xml:space="preserve">utskottet </w:t>
      </w:r>
      <w:r w:rsidR="00AC593F">
        <w:t>lagt fram</w:t>
      </w:r>
      <w:r w:rsidR="007D0B7A">
        <w:t xml:space="preserve">, och fått riksdagens stöd för, ett förslag </w:t>
      </w:r>
      <w:r>
        <w:t>som</w:t>
      </w:r>
      <w:r w:rsidR="00D30CA0">
        <w:t xml:space="preserve"> </w:t>
      </w:r>
      <w:r>
        <w:t>innebär att de</w:t>
      </w:r>
      <w:r w:rsidR="007C7E5E">
        <w:t xml:space="preserve">t hållbara </w:t>
      </w:r>
      <w:r>
        <w:t xml:space="preserve">lokala och regionala fisket gynnas framför de storskaliga </w:t>
      </w:r>
      <w:r w:rsidR="007C7E5E">
        <w:t>industritrålarna</w:t>
      </w:r>
      <w:r w:rsidR="00D30CA0">
        <w:t xml:space="preserve">. </w:t>
      </w:r>
      <w:r w:rsidR="007C7E5E">
        <w:t xml:space="preserve">Vänsterpartiet anser att det stöd som nu föreslås bör utformas i samma riktning, i enlighet med </w:t>
      </w:r>
      <w:r w:rsidR="007D0B7A">
        <w:t xml:space="preserve">riksdagens </w:t>
      </w:r>
      <w:r w:rsidR="007C7E5E">
        <w:t>beslut. Regeringen bör i utformningen av stödet till yrkesfisket, inom ramen för utgiftsområde 23 anslag 1:12, säkerställa att det gynnar det hållbara lokala och regionala fisket.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8A9980E534F2413CA9278F6589823FE2"/>
        </w:placeholder>
      </w:sdtPr>
      <w:sdtEndPr/>
      <w:sdtContent>
        <w:p w:rsidR="0010695D" w:rsidP="005E4C5B" w:rsidRDefault="0010695D"/>
        <w:p w:rsidRPr="008E0FE2" w:rsidR="004801AC" w:rsidP="005E4C5B" w:rsidRDefault="005F78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6BD8">
        <w:trPr>
          <w:cantSplit/>
        </w:trPr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Hanna Gunnarsson (V)</w:t>
            </w:r>
          </w:p>
        </w:tc>
      </w:tr>
      <w:tr w:rsidR="00EF6BD8">
        <w:trPr>
          <w:cantSplit/>
        </w:trPr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Maj Karlsson (V)</w:t>
            </w:r>
          </w:p>
        </w:tc>
      </w:tr>
      <w:tr w:rsidR="00EF6BD8">
        <w:trPr>
          <w:cantSplit/>
        </w:trPr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Håkan Svenneling (V)</w:t>
            </w:r>
          </w:p>
        </w:tc>
      </w:tr>
      <w:tr w:rsidR="00EF6BD8">
        <w:trPr>
          <w:cantSplit/>
        </w:trPr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EF6BD8" w:rsidRDefault="00DA28BA">
            <w:pPr>
              <w:pStyle w:val="Underskrifter"/>
            </w:pPr>
            <w:r>
              <w:t>Ali Esbati (V)</w:t>
            </w:r>
          </w:p>
        </w:tc>
      </w:tr>
    </w:tbl>
    <w:p w:rsidR="00D20797" w:rsidRDefault="00D20797"/>
    <w:sectPr w:rsidR="00D2079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66C" w:rsidRDefault="00F5466C" w:rsidP="000C1CAD">
      <w:pPr>
        <w:spacing w:line="240" w:lineRule="auto"/>
      </w:pPr>
      <w:r>
        <w:separator/>
      </w:r>
    </w:p>
  </w:endnote>
  <w:endnote w:type="continuationSeparator" w:id="0">
    <w:p w:rsidR="00F5466C" w:rsidRDefault="00F546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5E4C5B" w:rsidRDefault="00262EA3" w:rsidP="005E4C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66C" w:rsidRDefault="00F5466C" w:rsidP="000C1CAD">
      <w:pPr>
        <w:spacing w:line="240" w:lineRule="auto"/>
      </w:pPr>
      <w:r>
        <w:separator/>
      </w:r>
    </w:p>
  </w:footnote>
  <w:footnote w:type="continuationSeparator" w:id="0">
    <w:p w:rsidR="00F5466C" w:rsidRDefault="00F546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5F78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60F2B15DC64399A3D8DF73AE60B406"/>
                              </w:placeholder>
                              <w:text/>
                            </w:sdtPr>
                            <w:sdtEndPr/>
                            <w:sdtContent>
                              <w:r w:rsidR="00F5466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1679F33FE8449EB902D270FD1191E2"/>
                              </w:placeholder>
                              <w:text/>
                            </w:sdtPr>
                            <w:sdtEndPr/>
                            <w:sdtContent>
                              <w:r w:rsidR="001B7249">
                                <w:t>082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5F78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60F2B15DC64399A3D8DF73AE60B406"/>
                        </w:placeholder>
                        <w:text/>
                      </w:sdtPr>
                      <w:sdtEndPr/>
                      <w:sdtContent>
                        <w:r w:rsidR="00F5466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1679F33FE8449EB902D270FD1191E2"/>
                        </w:placeholder>
                        <w:text/>
                      </w:sdtPr>
                      <w:sdtEndPr/>
                      <w:sdtContent>
                        <w:r w:rsidR="001B7249">
                          <w:t>082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5F78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5F78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4C5B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466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7249">
          <w:t>082</w:t>
        </w:r>
      </w:sdtContent>
    </w:sdt>
  </w:p>
  <w:p w:rsidR="00262EA3" w:rsidRPr="008227B3" w:rsidRDefault="005F78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5F78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4C5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4C5B">
          <w:t>:4762</w:t>
        </w:r>
      </w:sdtContent>
    </w:sdt>
  </w:p>
  <w:p w:rsidR="00262EA3" w:rsidRDefault="005F78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0B9753C949433FA0E46791D10D63C3"/>
        </w:placeholder>
        <w15:appearance w15:val="hidden"/>
        <w:text/>
      </w:sdtPr>
      <w:sdtEndPr/>
      <w:sdtContent>
        <w:r w:rsidR="005E4C5B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8845EA" w:rsidP="00283E0F">
        <w:pPr>
          <w:pStyle w:val="FSHRub2"/>
        </w:pPr>
        <w:r>
          <w:t>med anledning av prop. 2021/22:252 Extra ändringsbudget för 2022 – Stöd till jordbruket och fiskerinäringen samt kompensation för höga energipriser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48D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63D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9AC9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DED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C4B7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04DF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5E32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20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D85239A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546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7F5"/>
    <w:rsid w:val="00043AA9"/>
    <w:rsid w:val="00043F2E"/>
    <w:rsid w:val="000442F9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9BF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2B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496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3DA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95D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249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533"/>
    <w:rsid w:val="0020395E"/>
    <w:rsid w:val="002039A9"/>
    <w:rsid w:val="00203C39"/>
    <w:rsid w:val="00203DE2"/>
    <w:rsid w:val="002048F3"/>
    <w:rsid w:val="00204A38"/>
    <w:rsid w:val="00204D01"/>
    <w:rsid w:val="00206041"/>
    <w:rsid w:val="0020620D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11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542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895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6C8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A2D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627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C5B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8E3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670"/>
    <w:rsid w:val="00654A01"/>
    <w:rsid w:val="006554FE"/>
    <w:rsid w:val="006555E8"/>
    <w:rsid w:val="00655730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2B9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3C0"/>
    <w:rsid w:val="006B6447"/>
    <w:rsid w:val="006B69C8"/>
    <w:rsid w:val="006B7B5E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6A5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E47"/>
    <w:rsid w:val="00750701"/>
    <w:rsid w:val="00750A72"/>
    <w:rsid w:val="00750F09"/>
    <w:rsid w:val="0075146D"/>
    <w:rsid w:val="00751817"/>
    <w:rsid w:val="0075187D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416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C2E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E5E"/>
    <w:rsid w:val="007D0159"/>
    <w:rsid w:val="007D0597"/>
    <w:rsid w:val="007D0B7A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BD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10D"/>
    <w:rsid w:val="008827A9"/>
    <w:rsid w:val="0088342E"/>
    <w:rsid w:val="00883544"/>
    <w:rsid w:val="00883DE1"/>
    <w:rsid w:val="0088439D"/>
    <w:rsid w:val="008845EA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AD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592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C38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91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3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4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210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835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797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A0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A08"/>
    <w:rsid w:val="00DA2077"/>
    <w:rsid w:val="00DA2107"/>
    <w:rsid w:val="00DA28BA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860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1A4"/>
    <w:rsid w:val="00E53E52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0F4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F18"/>
    <w:rsid w:val="00EF629E"/>
    <w:rsid w:val="00EF6908"/>
    <w:rsid w:val="00EF6BD8"/>
    <w:rsid w:val="00EF6F9D"/>
    <w:rsid w:val="00EF7515"/>
    <w:rsid w:val="00EF755D"/>
    <w:rsid w:val="00EF7E6D"/>
    <w:rsid w:val="00EF7F9A"/>
    <w:rsid w:val="00F0072D"/>
    <w:rsid w:val="00F00839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66C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5C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48F"/>
    <w:rsid w:val="00FF39E7"/>
    <w:rsid w:val="00FF39EE"/>
    <w:rsid w:val="00FF42E0"/>
    <w:rsid w:val="00FF46BE"/>
    <w:rsid w:val="00FF4A82"/>
    <w:rsid w:val="00FF4AA0"/>
    <w:rsid w:val="00FF4BFE"/>
    <w:rsid w:val="00FF4F5B"/>
    <w:rsid w:val="00FF5443"/>
    <w:rsid w:val="00FF5A3F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4DF4B7"/>
  <w15:chartTrackingRefBased/>
  <w15:docId w15:val="{32F87806-5216-4DF2-85AD-AC69263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0D74EE2EEE45749C5030C77E7E1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49E63-95E8-4EE9-B86A-9F03692E472C}"/>
      </w:docPartPr>
      <w:docPartBody>
        <w:p w:rsidR="009C6368" w:rsidRDefault="00DD266F">
          <w:pPr>
            <w:pStyle w:val="8F0D74EE2EEE45749C5030C77E7E1B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85EA42D37041BEAC45AA1B928B4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C0FC3-A240-49B7-839B-C660428A0BF3}"/>
      </w:docPartPr>
      <w:docPartBody>
        <w:p w:rsidR="009C6368" w:rsidRDefault="00DD266F">
          <w:pPr>
            <w:pStyle w:val="A185EA42D37041BEAC45AA1B928B42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60F2B15DC64399A3D8DF73AE60B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E40BC-F714-4336-AF53-82C38CC2B72F}"/>
      </w:docPartPr>
      <w:docPartBody>
        <w:p w:rsidR="009C6368" w:rsidRDefault="00DD266F">
          <w:pPr>
            <w:pStyle w:val="B760F2B15DC64399A3D8DF73AE60B4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679F33FE8449EB902D270FD119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CB388-6032-4973-A542-9C4C0552C99A}"/>
      </w:docPartPr>
      <w:docPartBody>
        <w:p w:rsidR="009C6368" w:rsidRDefault="00DD266F">
          <w:pPr>
            <w:pStyle w:val="361679F33FE8449EB902D270FD1191E2"/>
          </w:pPr>
          <w:r>
            <w:t xml:space="preserve"> </w:t>
          </w:r>
        </w:p>
      </w:docPartBody>
    </w:docPart>
    <w:docPart>
      <w:docPartPr>
        <w:name w:val="B10B9753C949433FA0E46791D10D6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A6E39-BF5D-4010-AC7A-1A146145E68E}"/>
      </w:docPartPr>
      <w:docPartBody>
        <w:p w:rsidR="009C6368" w:rsidRDefault="00DD266F" w:rsidP="00DD266F">
          <w:pPr>
            <w:pStyle w:val="B10B9753C949433FA0E46791D10D63C3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8A9980E534F2413CA9278F6589823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8C7F0-E216-4EB1-A40C-24B17ED2669F}"/>
      </w:docPartPr>
      <w:docPartBody>
        <w:p w:rsidR="0049459A" w:rsidRDefault="004945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6F"/>
    <w:rsid w:val="0049459A"/>
    <w:rsid w:val="009C6368"/>
    <w:rsid w:val="00D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6368"/>
    <w:rPr>
      <w:color w:val="F4B083" w:themeColor="accent2" w:themeTint="99"/>
    </w:rPr>
  </w:style>
  <w:style w:type="paragraph" w:customStyle="1" w:styleId="8F0D74EE2EEE45749C5030C77E7E1BB1">
    <w:name w:val="8F0D74EE2EEE45749C5030C77E7E1BB1"/>
  </w:style>
  <w:style w:type="paragraph" w:customStyle="1" w:styleId="751C617D0161450DBCC3C1AC5E5E83F0">
    <w:name w:val="751C617D0161450DBCC3C1AC5E5E83F0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DD266F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DD266F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D7F2E1F5754F20B197A2ABDFC54828">
    <w:name w:val="7ED7F2E1F5754F20B197A2ABDFC54828"/>
  </w:style>
  <w:style w:type="paragraph" w:customStyle="1" w:styleId="A185EA42D37041BEAC45AA1B928B426B">
    <w:name w:val="A185EA42D37041BEAC45AA1B928B426B"/>
  </w:style>
  <w:style w:type="paragraph" w:customStyle="1" w:styleId="C2AB5A6005A243CDB878280D1DEB8DFD">
    <w:name w:val="C2AB5A6005A243CDB878280D1DEB8DFD"/>
  </w:style>
  <w:style w:type="paragraph" w:customStyle="1" w:styleId="E0AE97A0D962421B905D436E2DC704F1">
    <w:name w:val="E0AE97A0D962421B905D436E2DC704F1"/>
  </w:style>
  <w:style w:type="paragraph" w:customStyle="1" w:styleId="B760F2B15DC64399A3D8DF73AE60B406">
    <w:name w:val="B760F2B15DC64399A3D8DF73AE60B406"/>
  </w:style>
  <w:style w:type="paragraph" w:customStyle="1" w:styleId="361679F33FE8449EB902D270FD1191E2">
    <w:name w:val="361679F33FE8449EB902D270FD1191E2"/>
  </w:style>
  <w:style w:type="paragraph" w:customStyle="1" w:styleId="B10B9753C949433FA0E46791D10D63C3">
    <w:name w:val="B10B9753C949433FA0E46791D10D63C3"/>
    <w:rsid w:val="00DD2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42EFA-5B81-4BB6-9D62-B1D70271580E}"/>
</file>

<file path=customXml/itemProps2.xml><?xml version="1.0" encoding="utf-8"?>
<ds:datastoreItem xmlns:ds="http://schemas.openxmlformats.org/officeDocument/2006/customXml" ds:itemID="{4D072481-5F7B-48A1-9D3B-BFC23F2004B5}"/>
</file>

<file path=customXml/itemProps3.xml><?xml version="1.0" encoding="utf-8"?>
<ds:datastoreItem xmlns:ds="http://schemas.openxmlformats.org/officeDocument/2006/customXml" ds:itemID="{BB1D04F0-A5D8-4E15-BEE9-5F0044EC1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880</Words>
  <Characters>4992</Characters>
  <Application>Microsoft Office Word</Application>
  <DocSecurity>0</DocSecurity>
  <Lines>113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V082 med anledning av prop  2021 22 252 Extra ändringsbudget för 2022   Stöd till jordbruket och fiskerinäringen samt kompensation för höga energipriser</vt:lpstr>
      <vt:lpstr>
      </vt:lpstr>
    </vt:vector>
  </TitlesOfParts>
  <Company>Sveriges riksdag</Company>
  <LinksUpToDate>false</LinksUpToDate>
  <CharactersWithSpaces>5811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