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1134"/>
        <w:gridCol w:w="1865"/>
      </w:tblGrid>
      <w:tr w:rsidR="0009292E" w:rsidTr="00B63E7F">
        <w:tc>
          <w:tcPr>
            <w:tcW w:w="2268" w:type="dxa"/>
          </w:tcPr>
          <w:p w:rsidR="0009292E" w:rsidRDefault="0009292E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09292E" w:rsidRPr="00635180" w:rsidRDefault="0009292E" w:rsidP="00635180">
            <w:pPr>
              <w:framePr w:w="5035" w:h="1644" w:wrap="notBeside" w:vAnchor="page" w:hAnchor="page" w:x="6573" w:y="721"/>
              <w:jc w:val="right"/>
              <w:rPr>
                <w:rFonts w:ascii="TradeGothic" w:hAnsi="TradeGothic"/>
                <w:sz w:val="18"/>
              </w:rPr>
            </w:pPr>
          </w:p>
        </w:tc>
      </w:tr>
      <w:tr w:rsidR="0009292E" w:rsidTr="00B63E7F">
        <w:tc>
          <w:tcPr>
            <w:tcW w:w="5267" w:type="dxa"/>
            <w:gridSpan w:val="3"/>
          </w:tcPr>
          <w:p w:rsidR="0009292E" w:rsidRDefault="0009292E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Rådspromemoria</w:t>
            </w:r>
          </w:p>
        </w:tc>
      </w:tr>
      <w:tr w:rsidR="0009292E" w:rsidTr="00B63E7F">
        <w:tc>
          <w:tcPr>
            <w:tcW w:w="3402" w:type="dxa"/>
            <w:gridSpan w:val="2"/>
          </w:tcPr>
          <w:p w:rsidR="0009292E" w:rsidRDefault="0009292E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09292E" w:rsidRDefault="0009292E" w:rsidP="007242A3">
            <w:pPr>
              <w:framePr w:w="5035" w:h="1644" w:wrap="notBeside" w:vAnchor="page" w:hAnchor="page" w:x="6573" w:y="721"/>
            </w:pPr>
          </w:p>
        </w:tc>
      </w:tr>
      <w:tr w:rsidR="0009292E" w:rsidTr="00B63E7F">
        <w:tc>
          <w:tcPr>
            <w:tcW w:w="2268" w:type="dxa"/>
          </w:tcPr>
          <w:p w:rsidR="0009292E" w:rsidRDefault="0009292E" w:rsidP="007242A3">
            <w:pPr>
              <w:framePr w:w="5035" w:h="1644" w:wrap="notBeside" w:vAnchor="page" w:hAnchor="page" w:x="6573" w:y="721"/>
            </w:pPr>
            <w:r>
              <w:t>2013-09-26</w:t>
            </w:r>
          </w:p>
        </w:tc>
        <w:tc>
          <w:tcPr>
            <w:tcW w:w="2999" w:type="dxa"/>
            <w:gridSpan w:val="2"/>
          </w:tcPr>
          <w:p w:rsidR="0009292E" w:rsidRPr="00ED583F" w:rsidRDefault="0009292E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09292E" w:rsidTr="00B63E7F">
        <w:tc>
          <w:tcPr>
            <w:tcW w:w="2268" w:type="dxa"/>
          </w:tcPr>
          <w:p w:rsidR="0009292E" w:rsidRDefault="0009292E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09292E" w:rsidRDefault="0009292E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911"/>
      </w:tblGrid>
      <w:tr w:rsidR="0009292E">
        <w:trPr>
          <w:trHeight w:val="284"/>
        </w:trPr>
        <w:tc>
          <w:tcPr>
            <w:tcW w:w="4911" w:type="dxa"/>
          </w:tcPr>
          <w:p w:rsidR="0009292E" w:rsidRDefault="0009292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09292E">
        <w:trPr>
          <w:trHeight w:val="284"/>
        </w:trPr>
        <w:tc>
          <w:tcPr>
            <w:tcW w:w="4911" w:type="dxa"/>
          </w:tcPr>
          <w:p w:rsidR="0009292E" w:rsidRDefault="0009292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9292E">
        <w:trPr>
          <w:trHeight w:val="284"/>
        </w:trPr>
        <w:tc>
          <w:tcPr>
            <w:tcW w:w="4911" w:type="dxa"/>
          </w:tcPr>
          <w:p w:rsidR="0009292E" w:rsidRDefault="0009292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Transport</w:t>
            </w:r>
          </w:p>
        </w:tc>
      </w:tr>
      <w:tr w:rsidR="0009292E">
        <w:trPr>
          <w:trHeight w:val="284"/>
        </w:trPr>
        <w:tc>
          <w:tcPr>
            <w:tcW w:w="4911" w:type="dxa"/>
          </w:tcPr>
          <w:p w:rsidR="0009292E" w:rsidRDefault="0009292E" w:rsidP="00F65CF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Christina Bergström</w:t>
            </w:r>
          </w:p>
          <w:p w:rsidR="0009292E" w:rsidRDefault="0009292E" w:rsidP="00F65CF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Telefon 072-524 2013</w:t>
            </w:r>
          </w:p>
          <w:p w:rsidR="0009292E" w:rsidRDefault="0009292E" w:rsidP="00F65CF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9292E">
        <w:trPr>
          <w:trHeight w:val="284"/>
        </w:trPr>
        <w:tc>
          <w:tcPr>
            <w:tcW w:w="4911" w:type="dxa"/>
          </w:tcPr>
          <w:p w:rsidR="0009292E" w:rsidRPr="00E63BCA" w:rsidRDefault="0009292E" w:rsidP="001449E5">
            <w:pPr>
              <w:pStyle w:val="Avsndare"/>
              <w:framePr w:h="2483" w:wrap="notBeside" w:x="1504"/>
              <w:rPr>
                <w:bCs/>
                <w:iCs/>
                <w:sz w:val="20"/>
              </w:rPr>
            </w:pPr>
          </w:p>
        </w:tc>
      </w:tr>
      <w:tr w:rsidR="0009292E">
        <w:trPr>
          <w:trHeight w:val="284"/>
        </w:trPr>
        <w:tc>
          <w:tcPr>
            <w:tcW w:w="4911" w:type="dxa"/>
          </w:tcPr>
          <w:p w:rsidR="0009292E" w:rsidRDefault="0009292E" w:rsidP="00F65CF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9292E">
        <w:trPr>
          <w:trHeight w:val="284"/>
        </w:trPr>
        <w:tc>
          <w:tcPr>
            <w:tcW w:w="4911" w:type="dxa"/>
          </w:tcPr>
          <w:p w:rsidR="0009292E" w:rsidRDefault="0009292E" w:rsidP="00F65CF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9292E">
        <w:trPr>
          <w:trHeight w:val="284"/>
        </w:trPr>
        <w:tc>
          <w:tcPr>
            <w:tcW w:w="4911" w:type="dxa"/>
          </w:tcPr>
          <w:p w:rsidR="0009292E" w:rsidRDefault="0009292E" w:rsidP="00F65CF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9292E">
        <w:trPr>
          <w:trHeight w:val="284"/>
        </w:trPr>
        <w:tc>
          <w:tcPr>
            <w:tcW w:w="4911" w:type="dxa"/>
          </w:tcPr>
          <w:p w:rsidR="0009292E" w:rsidRDefault="0009292E" w:rsidP="00F65CF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09292E" w:rsidRPr="00B63E7F" w:rsidRDefault="0009292E">
      <w:pPr>
        <w:framePr w:w="4400" w:h="2523" w:wrap="notBeside" w:vAnchor="page" w:hAnchor="page" w:x="6453" w:y="2445"/>
        <w:ind w:left="142"/>
        <w:rPr>
          <w:b/>
        </w:rPr>
      </w:pPr>
    </w:p>
    <w:p w:rsidR="0009292E" w:rsidRDefault="0009292E">
      <w:pPr>
        <w:pStyle w:val="RKrubrik"/>
        <w:pBdr>
          <w:bottom w:val="single" w:sz="6" w:space="1" w:color="auto"/>
        </w:pBdr>
      </w:pPr>
      <w:bookmarkStart w:id="0" w:name="bRubrik"/>
      <w:bookmarkEnd w:id="0"/>
      <w:r>
        <w:t>Rådets möte (TTE) den 10 oktober 2013</w:t>
      </w:r>
    </w:p>
    <w:p w:rsidR="0009292E" w:rsidRDefault="0009292E">
      <w:pPr>
        <w:pStyle w:val="RKnormal"/>
      </w:pPr>
    </w:p>
    <w:p w:rsidR="0009292E" w:rsidRDefault="0009292E">
      <w:pPr>
        <w:pStyle w:val="RKnormal"/>
      </w:pPr>
      <w:r>
        <w:t>Dagordningspunkt 8.</w:t>
      </w:r>
    </w:p>
    <w:p w:rsidR="0009292E" w:rsidRDefault="0009292E">
      <w:pPr>
        <w:pStyle w:val="RKnormal"/>
      </w:pPr>
    </w:p>
    <w:p w:rsidR="0009292E" w:rsidRPr="005D623B" w:rsidRDefault="0009292E" w:rsidP="005D623B">
      <w:pPr>
        <w:pStyle w:val="RKnormal"/>
        <w:rPr>
          <w:rFonts w:ascii="Arial" w:hAnsi="Arial" w:cs="Arial"/>
          <w:b/>
          <w:bCs/>
        </w:rPr>
      </w:pPr>
      <w:r w:rsidRPr="005D623B">
        <w:rPr>
          <w:rFonts w:ascii="Arial" w:hAnsi="Arial" w:cs="Arial"/>
        </w:rPr>
        <w:t xml:space="preserve">Förslag till Europaparlamentets och rådets förordning om flerårig finansiering av Europeiska sjösäkerhetsbyråns åtgärder i fråga om insatser vid förorening från fartyg och vid havsföroreningar från olje- och gasanläggningar </w:t>
      </w:r>
      <w:r w:rsidRPr="005D623B">
        <w:rPr>
          <w:rFonts w:ascii="Arial" w:hAnsi="Arial" w:cs="Arial"/>
          <w:b/>
          <w:bCs/>
        </w:rPr>
        <w:t>(första behandlingen)</w:t>
      </w:r>
    </w:p>
    <w:p w:rsidR="0009292E" w:rsidRPr="005D623B" w:rsidRDefault="0009292E" w:rsidP="005D623B">
      <w:pPr>
        <w:pStyle w:val="RKnormal"/>
        <w:numPr>
          <w:ilvl w:val="0"/>
          <w:numId w:val="1"/>
        </w:numPr>
        <w:rPr>
          <w:rFonts w:ascii="Arial" w:hAnsi="Arial" w:cs="Arial"/>
        </w:rPr>
      </w:pPr>
      <w:r w:rsidRPr="005D623B">
        <w:rPr>
          <w:rFonts w:ascii="Arial" w:hAnsi="Arial" w:cs="Arial"/>
        </w:rPr>
        <w:t>Interinstitutionellt ärende: 2013/0092 (COD)</w:t>
      </w:r>
    </w:p>
    <w:p w:rsidR="0009292E" w:rsidRPr="005D623B" w:rsidRDefault="0009292E" w:rsidP="005D623B">
      <w:pPr>
        <w:pStyle w:val="RKnormal"/>
        <w:numPr>
          <w:ilvl w:val="0"/>
          <w:numId w:val="1"/>
        </w:numPr>
        <w:rPr>
          <w:rFonts w:ascii="Arial" w:hAnsi="Arial" w:cs="Arial"/>
          <w:i/>
        </w:rPr>
      </w:pPr>
      <w:r w:rsidRPr="005D623B">
        <w:rPr>
          <w:rFonts w:ascii="Arial" w:hAnsi="Arial" w:cs="Arial"/>
          <w:i/>
        </w:rPr>
        <w:t>Allmän riktlinje</w:t>
      </w:r>
    </w:p>
    <w:p w:rsidR="0009292E" w:rsidRPr="005D623B" w:rsidRDefault="0009292E" w:rsidP="005D623B">
      <w:pPr>
        <w:pStyle w:val="RKnormal"/>
        <w:rPr>
          <w:rFonts w:ascii="Arial" w:hAnsi="Arial" w:cs="Arial"/>
        </w:rPr>
      </w:pPr>
      <w:r w:rsidRPr="005D623B">
        <w:rPr>
          <w:rFonts w:ascii="Arial" w:hAnsi="Arial" w:cs="Arial"/>
        </w:rPr>
        <w:t>8219/13 MAR 33 FIN 173 CODEC 753 ENV 280</w:t>
      </w:r>
    </w:p>
    <w:p w:rsidR="0009292E" w:rsidRDefault="0009292E">
      <w:pPr>
        <w:pStyle w:val="RKnormal"/>
      </w:pPr>
    </w:p>
    <w:p w:rsidR="0009292E" w:rsidRDefault="0009292E">
      <w:pPr>
        <w:pStyle w:val="RKnormal"/>
      </w:pPr>
    </w:p>
    <w:p w:rsidR="0009292E" w:rsidRDefault="0009292E">
      <w:pPr>
        <w:pStyle w:val="RKnormal"/>
      </w:pPr>
      <w:r>
        <w:t>Dokument:</w:t>
      </w:r>
    </w:p>
    <w:p w:rsidR="0009292E" w:rsidRDefault="0009292E">
      <w:pPr>
        <w:pStyle w:val="RKnormal"/>
      </w:pPr>
    </w:p>
    <w:p w:rsidR="0009292E" w:rsidRDefault="0009292E">
      <w:pPr>
        <w:pStyle w:val="RKnormal"/>
      </w:pPr>
      <w:r>
        <w:t>Tidigare dokument: COM(2013) 174 final</w:t>
      </w:r>
    </w:p>
    <w:p w:rsidR="0009292E" w:rsidRDefault="0009292E">
      <w:pPr>
        <w:pStyle w:val="RKnormal"/>
      </w:pPr>
      <w:r>
        <w:t>Förslag till Europaparlamentets och rådets förordning om flerårig finansiering av Europeiska sjösäkerhetsbyråns åtgärder i fråga om insatser vid förorening från fartyg och vid havsföroreningar från olje- och gasanläggningar</w:t>
      </w:r>
    </w:p>
    <w:p w:rsidR="0009292E" w:rsidRDefault="0009292E">
      <w:pPr>
        <w:pStyle w:val="RKnormal"/>
      </w:pPr>
    </w:p>
    <w:p w:rsidR="0009292E" w:rsidRDefault="0009292E">
      <w:pPr>
        <w:pStyle w:val="RKnormal"/>
      </w:pPr>
      <w:r>
        <w:t>Frågan har inte tidigare behandlats i EU-nämnden.</w:t>
      </w:r>
      <w:bookmarkStart w:id="1" w:name="_GoBack"/>
      <w:bookmarkEnd w:id="1"/>
    </w:p>
    <w:p w:rsidR="0009292E" w:rsidRDefault="0009292E">
      <w:pPr>
        <w:pStyle w:val="RKrubrik"/>
      </w:pPr>
      <w:r>
        <w:t>Bakgrund</w:t>
      </w:r>
    </w:p>
    <w:p w:rsidR="0009292E" w:rsidRPr="000477A8" w:rsidRDefault="0009292E" w:rsidP="00DE71A9">
      <w:pPr>
        <w:rPr>
          <w:szCs w:val="24"/>
        </w:rPr>
      </w:pPr>
      <w:r w:rsidRPr="000477A8">
        <w:rPr>
          <w:szCs w:val="24"/>
        </w:rPr>
        <w:t>Europeiska sjösäkerhetsbyrån (EMSA) inrättades 2002 efter en oljetankolycka. Efter hand har byrån fått nya uppgifter bl.a. avseende insatser vid föroreningar från fartyg och nu senast olyckor vid olje- och gasanläggningar till havs. Dessutom ska byrån nu stödja EU:s grannländer även i fråga om insatser vid föroreningar från fartyg. 2006 fastställdes en flerårig finansiering för perioden 2007-2013 för byråns insatser vid föroreningar från fartyg. Summan som då öronmärktes uppgick till 1</w:t>
      </w:r>
      <w:r>
        <w:rPr>
          <w:szCs w:val="24"/>
        </w:rPr>
        <w:t>54 miljoner euro. Kommissionensursprungliga</w:t>
      </w:r>
      <w:r w:rsidRPr="000477A8">
        <w:rPr>
          <w:szCs w:val="24"/>
        </w:rPr>
        <w:t xml:space="preserve"> förslag syfta</w:t>
      </w:r>
      <w:r>
        <w:rPr>
          <w:szCs w:val="24"/>
        </w:rPr>
        <w:t>r</w:t>
      </w:r>
      <w:r w:rsidRPr="000477A8">
        <w:rPr>
          <w:szCs w:val="24"/>
        </w:rPr>
        <w:t xml:space="preserve"> till att förnya den fleråriga finansieringen för perioden 2014-20. </w:t>
      </w:r>
      <w:r>
        <w:rPr>
          <w:szCs w:val="24"/>
        </w:rPr>
        <w:t>Det föreslagna beloppet på 160,5 miljoner euro</w:t>
      </w:r>
      <w:r w:rsidRPr="000477A8">
        <w:rPr>
          <w:szCs w:val="24"/>
        </w:rPr>
        <w:t xml:space="preserve"> bör omfatta de nya uppgifter</w:t>
      </w:r>
      <w:r>
        <w:rPr>
          <w:szCs w:val="24"/>
        </w:rPr>
        <w:t>na</w:t>
      </w:r>
      <w:r w:rsidRPr="000477A8">
        <w:rPr>
          <w:szCs w:val="24"/>
        </w:rPr>
        <w:t xml:space="preserve"> dvs. dels att insatserna även ska omfatta havsföroreningar från olje- och gasanläggningar, dels att CleanSeaNet (satellitsystem för att upptäcka föroreningar) också ska bevaka omfattningen och miljöpåverkan av oljeföroreningar till havs från olje- och gasanläggningar. När det gäller byråns nya uppgift om stöd till EU:s grannländer menar </w:t>
      </w:r>
      <w:r>
        <w:rPr>
          <w:szCs w:val="24"/>
        </w:rPr>
        <w:t>kommissionen</w:t>
      </w:r>
      <w:r w:rsidRPr="000477A8">
        <w:rPr>
          <w:szCs w:val="24"/>
        </w:rPr>
        <w:t xml:space="preserve"> att den bör finansieras från befintliga EU-program för länder som omfattas av utvidgningspolitiken och av europeiska grannskapspolitiken.</w:t>
      </w:r>
    </w:p>
    <w:p w:rsidR="0009292E" w:rsidRDefault="0009292E">
      <w:pPr>
        <w:pStyle w:val="RKrubrik"/>
      </w:pPr>
      <w:r>
        <w:t>Rättslig grund och beslutsförfarande</w:t>
      </w:r>
    </w:p>
    <w:p w:rsidR="0009292E" w:rsidRPr="00F47B67" w:rsidRDefault="0009292E" w:rsidP="0004545D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color w:val="000000"/>
          <w:szCs w:val="24"/>
          <w:lang w:eastAsia="nb-NO"/>
        </w:rPr>
      </w:pPr>
      <w:r w:rsidRPr="00F47B67">
        <w:rPr>
          <w:color w:val="000000"/>
          <w:szCs w:val="24"/>
          <w:lang w:eastAsia="nb-NO"/>
        </w:rPr>
        <w:t>Artikel 100(2) i fördraget om EU:s funktionssätt.</w:t>
      </w:r>
    </w:p>
    <w:p w:rsidR="0009292E" w:rsidRDefault="0009292E" w:rsidP="0004545D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color w:val="000000"/>
          <w:szCs w:val="24"/>
          <w:lang w:eastAsia="nb-NO"/>
        </w:rPr>
      </w:pPr>
      <w:r w:rsidRPr="00F47B67">
        <w:rPr>
          <w:color w:val="000000"/>
          <w:szCs w:val="24"/>
          <w:lang w:eastAsia="nb-NO"/>
        </w:rPr>
        <w:t>Beslut tas med kvalificerad majoritet i medbestämmande med Europaparlamentet.</w:t>
      </w:r>
    </w:p>
    <w:p w:rsidR="0009292E" w:rsidRDefault="0009292E">
      <w:pPr>
        <w:pStyle w:val="RKrubrik"/>
        <w:rPr>
          <w:iCs/>
        </w:rPr>
      </w:pPr>
      <w:r w:rsidRPr="00425B74">
        <w:rPr>
          <w:iCs/>
        </w:rPr>
        <w:t>Svensk ståndpunkt</w:t>
      </w:r>
    </w:p>
    <w:p w:rsidR="0009292E" w:rsidRDefault="0009292E" w:rsidP="007368C6">
      <w:pPr>
        <w:overflowPunct/>
        <w:spacing w:line="240" w:lineRule="auto"/>
        <w:textAlignment w:val="auto"/>
        <w:rPr>
          <w:szCs w:val="24"/>
        </w:rPr>
      </w:pPr>
      <w:r>
        <w:rPr>
          <w:rFonts w:cs="Roman"/>
          <w:color w:val="000000"/>
          <w:szCs w:val="24"/>
        </w:rPr>
        <w:t>Den svenska regeringen</w:t>
      </w:r>
      <w:r w:rsidRPr="00EF5D79">
        <w:rPr>
          <w:rFonts w:cs="Roman"/>
          <w:color w:val="000000"/>
          <w:szCs w:val="24"/>
        </w:rPr>
        <w:t xml:space="preserve"> stödjer att EMSA fortsatt använder sig av en flerårig finansieringsplan med öronmärkta pengar för dessa uppgifter.</w:t>
      </w:r>
      <w:r>
        <w:rPr>
          <w:rFonts w:cs="Roman"/>
          <w:color w:val="000000"/>
          <w:szCs w:val="24"/>
        </w:rPr>
        <w:t xml:space="preserve">Regeringen är också positiv till </w:t>
      </w:r>
      <w:r w:rsidRPr="00EF5D79">
        <w:rPr>
          <w:rFonts w:cs="Roman"/>
          <w:color w:val="000000"/>
          <w:szCs w:val="24"/>
        </w:rPr>
        <w:t xml:space="preserve">att EMSA:s nya uppgift som omfattar EU:s grannstater föreslås finansieras via befintliga EU-program för </w:t>
      </w:r>
      <w:r w:rsidRPr="00EF5D79">
        <w:rPr>
          <w:szCs w:val="24"/>
        </w:rPr>
        <w:t>länder som omfattas av utvidgningspolitiken och av europeiska grannskapspolitiken.</w:t>
      </w:r>
    </w:p>
    <w:p w:rsidR="0009292E" w:rsidRDefault="0009292E" w:rsidP="007368C6">
      <w:pPr>
        <w:overflowPunct/>
        <w:spacing w:line="240" w:lineRule="auto"/>
        <w:textAlignment w:val="auto"/>
        <w:rPr>
          <w:szCs w:val="24"/>
        </w:rPr>
      </w:pPr>
    </w:p>
    <w:p w:rsidR="0009292E" w:rsidRDefault="0009292E" w:rsidP="007368C6">
      <w:r>
        <w:t>I rådsarbetsgruppen har d</w:t>
      </w:r>
      <w:r w:rsidRPr="008D615F">
        <w:t xml:space="preserve">iskussionerna </w:t>
      </w:r>
      <w:r>
        <w:t>i huvudsak</w:t>
      </w:r>
      <w:r w:rsidRPr="008D615F">
        <w:t xml:space="preserve"> fokuserat på det föreslagna beloppet</w:t>
      </w:r>
      <w:r>
        <w:t>. Ordförandeskapet föreslår samma belopp som kommissionens ursprungliga dvs. 160,5 miljoner euro.Den svenska regeringen, tillsammans med f</w:t>
      </w:r>
      <w:r w:rsidRPr="00EF5D79">
        <w:rPr>
          <w:szCs w:val="24"/>
        </w:rPr>
        <w:t>lera</w:t>
      </w:r>
      <w:r>
        <w:rPr>
          <w:szCs w:val="24"/>
        </w:rPr>
        <w:t xml:space="preserve"> andra medlemsstater,harinvänt motbeloppet</w:t>
      </w:r>
      <w:r w:rsidRPr="00EF5D79">
        <w:rPr>
          <w:szCs w:val="24"/>
        </w:rPr>
        <w:t xml:space="preserve"> och efterfrågat vilka möjligheter till omprioriteringar som har </w:t>
      </w:r>
      <w:r>
        <w:rPr>
          <w:szCs w:val="24"/>
        </w:rPr>
        <w:t>undersökts</w:t>
      </w:r>
      <w:r w:rsidRPr="00EF5D79">
        <w:rPr>
          <w:szCs w:val="24"/>
        </w:rPr>
        <w:t xml:space="preserve"> inom EMSA.</w:t>
      </w:r>
      <w:r>
        <w:t>Regeringen har framfört att man hellre hade sett att byrån fick samma belopp som under innevarande period (154 miljoner euro) då regeringen g</w:t>
      </w:r>
      <w:r>
        <w:rPr>
          <w:color w:val="000000"/>
          <w:szCs w:val="24"/>
        </w:rPr>
        <w:t xml:space="preserve">enerellt sett </w:t>
      </w:r>
      <w:r w:rsidRPr="008D615F">
        <w:t>är mycket tveksam till budgetökningar. Även om en myndighet, som i det här fallet, fått nya och viktiga uppgifter måste man först försöka effektivisera eller omprioriter</w:t>
      </w:r>
      <w:r>
        <w:t>a</w:t>
      </w:r>
      <w:r w:rsidRPr="008D615F">
        <w:t xml:space="preserve"> för att om möjligt finansiera den nya verksamheten inom ram.</w:t>
      </w:r>
    </w:p>
    <w:p w:rsidR="0009292E" w:rsidRDefault="0009292E" w:rsidP="007368C6"/>
    <w:p w:rsidR="0009292E" w:rsidRDefault="0009292E" w:rsidP="007368C6">
      <w:r>
        <w:t>Vid rådsmötet den 10 oktober avser regeringen att inte motsätta sig ordförandeskapets förslag till allmän riktlinje.</w:t>
      </w:r>
    </w:p>
    <w:p w:rsidR="0009292E" w:rsidRDefault="0009292E">
      <w:pPr>
        <w:pStyle w:val="RKrubrik"/>
      </w:pPr>
      <w:r>
        <w:t>Europaparlamentets inställning</w:t>
      </w:r>
    </w:p>
    <w:p w:rsidR="0009292E" w:rsidRDefault="0009292E">
      <w:pPr>
        <w:pStyle w:val="RKnormal"/>
      </w:pPr>
      <w:r>
        <w:t>Frågan ligger i Transport and TourismCommittee (TRAN). Såväl TRAN som budgetutskottet (BUDG) har röstat för en höjning av det föreslagna beloppet till 185,5 miljoner euro.</w:t>
      </w:r>
    </w:p>
    <w:p w:rsidR="0009292E" w:rsidRPr="00425B74" w:rsidRDefault="0009292E">
      <w:pPr>
        <w:pStyle w:val="RKrubrik"/>
        <w:rPr>
          <w:iCs/>
        </w:rPr>
      </w:pPr>
      <w:r w:rsidRPr="00425B74">
        <w:rPr>
          <w:iCs/>
        </w:rPr>
        <w:t>Förslaget</w:t>
      </w:r>
    </w:p>
    <w:p w:rsidR="0009292E" w:rsidRDefault="0009292E">
      <w:pPr>
        <w:pStyle w:val="RKnormal"/>
      </w:pPr>
      <w:r>
        <w:rPr>
          <w:szCs w:val="24"/>
        </w:rPr>
        <w:t>Kommissionenföreslog ursprungligen</w:t>
      </w:r>
      <w:r w:rsidRPr="00D74A93">
        <w:rPr>
          <w:szCs w:val="24"/>
        </w:rPr>
        <w:t xml:space="preserve"> en ny flerårig finansieringsram för 2014 – 2020 </w:t>
      </w:r>
      <w:r>
        <w:rPr>
          <w:szCs w:val="24"/>
        </w:rPr>
        <w:t>avseende</w:t>
      </w:r>
      <w:r w:rsidRPr="00D74A93">
        <w:rPr>
          <w:szCs w:val="24"/>
        </w:rPr>
        <w:t xml:space="preserve"> EMSA:s insatser vid </w:t>
      </w:r>
      <w:r w:rsidRPr="000477A8">
        <w:rPr>
          <w:szCs w:val="24"/>
        </w:rPr>
        <w:t xml:space="preserve">föroreningar från fartyg </w:t>
      </w:r>
      <w:r>
        <w:rPr>
          <w:szCs w:val="24"/>
        </w:rPr>
        <w:t>och h</w:t>
      </w:r>
      <w:r w:rsidRPr="00D74A93">
        <w:rPr>
          <w:szCs w:val="24"/>
        </w:rPr>
        <w:t xml:space="preserve">avsföroreningar från olje- och gasanläggningar. Ett belopp på 160,5 miljoner euro </w:t>
      </w:r>
      <w:r>
        <w:rPr>
          <w:szCs w:val="24"/>
        </w:rPr>
        <w:t>föreslogs</w:t>
      </w:r>
      <w:r w:rsidRPr="00D74A93">
        <w:rPr>
          <w:szCs w:val="24"/>
        </w:rPr>
        <w:t>öronmärkas</w:t>
      </w:r>
      <w:r>
        <w:rPr>
          <w:szCs w:val="24"/>
        </w:rPr>
        <w:t xml:space="preserve"> varav</w:t>
      </w:r>
      <w:r w:rsidRPr="00D74A93">
        <w:rPr>
          <w:szCs w:val="24"/>
        </w:rPr>
        <w:t xml:space="preserve"> 154,48 miljoner euro på existerande uppgifter och 6,02 miljoner euro </w:t>
      </w:r>
      <w:r>
        <w:rPr>
          <w:szCs w:val="24"/>
        </w:rPr>
        <w:t>p</w:t>
      </w:r>
      <w:r w:rsidRPr="00D74A93">
        <w:rPr>
          <w:szCs w:val="24"/>
        </w:rPr>
        <w:t>å nya uppgifter</w:t>
      </w:r>
      <w:r>
        <w:rPr>
          <w:szCs w:val="24"/>
        </w:rPr>
        <w:t>.</w:t>
      </w:r>
      <w:r>
        <w:t>Ordförandeskapet föreslår samma belopp som kommissionen.</w:t>
      </w:r>
    </w:p>
    <w:p w:rsidR="0009292E" w:rsidRPr="00425B74" w:rsidRDefault="0009292E">
      <w:pPr>
        <w:pStyle w:val="RKrubrik"/>
        <w:rPr>
          <w:iCs/>
        </w:rPr>
      </w:pPr>
      <w:r w:rsidRPr="00425B74">
        <w:rPr>
          <w:iCs/>
        </w:rPr>
        <w:t>Gällande svenska regler och förslagets effekter på dessa</w:t>
      </w:r>
    </w:p>
    <w:p w:rsidR="0009292E" w:rsidRDefault="0009292E">
      <w:pPr>
        <w:pStyle w:val="RKnormal"/>
      </w:pPr>
      <w:r>
        <w:t>Ej relevant.</w:t>
      </w:r>
    </w:p>
    <w:p w:rsidR="0009292E" w:rsidRDefault="0009292E">
      <w:pPr>
        <w:pStyle w:val="RKrubrik"/>
      </w:pPr>
      <w:r>
        <w:t>Ekonomiska konsekvenser</w:t>
      </w:r>
    </w:p>
    <w:p w:rsidR="0009292E" w:rsidRPr="00EF5D79" w:rsidRDefault="0009292E" w:rsidP="00EF5D79">
      <w:pPr>
        <w:pStyle w:val="RKnormal"/>
        <w:rPr>
          <w:szCs w:val="24"/>
        </w:rPr>
      </w:pPr>
      <w:r>
        <w:rPr>
          <w:rFonts w:cs="Roman"/>
          <w:color w:val="000000"/>
          <w:szCs w:val="24"/>
        </w:rPr>
        <w:t>Förslaget innebär att</w:t>
      </w:r>
      <w:r w:rsidRPr="00EF5D79">
        <w:rPr>
          <w:rFonts w:cs="Roman"/>
          <w:color w:val="000000"/>
          <w:szCs w:val="24"/>
        </w:rPr>
        <w:t xml:space="preserve"> den öronmärkta finansieringsramen </w:t>
      </w:r>
      <w:r>
        <w:rPr>
          <w:rFonts w:cs="Roman"/>
          <w:color w:val="000000"/>
          <w:szCs w:val="24"/>
        </w:rPr>
        <w:t>för</w:t>
      </w:r>
      <w:r w:rsidRPr="00EF5D79">
        <w:rPr>
          <w:rFonts w:cs="Roman"/>
          <w:color w:val="000000"/>
          <w:szCs w:val="24"/>
        </w:rPr>
        <w:t xml:space="preserve"> 2014-20 ökar med 6,5 miljoner euro till 160,5 miljoner euro jämfört med 154 miljoner för inneva</w:t>
      </w:r>
      <w:r>
        <w:rPr>
          <w:rFonts w:cs="Roman"/>
          <w:color w:val="000000"/>
          <w:szCs w:val="24"/>
        </w:rPr>
        <w:t>rande period</w:t>
      </w:r>
      <w:r w:rsidRPr="00EF5D79">
        <w:rPr>
          <w:rFonts w:cs="Roman"/>
          <w:color w:val="000000"/>
          <w:szCs w:val="24"/>
        </w:rPr>
        <w:t xml:space="preserve">.Finansieringsnivån för EMSA:s existerande uppgifter ökar från 154 miljoner euro för perioden 2007-13 till 154,48 miljoner euro för </w:t>
      </w:r>
      <w:r>
        <w:rPr>
          <w:rFonts w:cs="Roman"/>
          <w:color w:val="000000"/>
          <w:szCs w:val="24"/>
        </w:rPr>
        <w:t xml:space="preserve">den nya </w:t>
      </w:r>
      <w:r w:rsidRPr="00EF5D79">
        <w:rPr>
          <w:rFonts w:cs="Roman"/>
          <w:color w:val="000000"/>
          <w:szCs w:val="24"/>
        </w:rPr>
        <w:t>perioden. EMSA:s nya uppgifter föreslåstilldelas 6,02 miljoner euro. Sammanlagt blir höjningen för den nya budgetperioden 6,5 miljoner euro dvs. 0,93 miljoner euro per år.</w:t>
      </w:r>
    </w:p>
    <w:p w:rsidR="0009292E" w:rsidRDefault="0009292E" w:rsidP="00484BD5">
      <w:pPr>
        <w:pStyle w:val="RKnormal"/>
      </w:pPr>
    </w:p>
    <w:p w:rsidR="0009292E" w:rsidRDefault="0009292E">
      <w:pPr>
        <w:pStyle w:val="RKnormal"/>
      </w:pPr>
    </w:p>
    <w:p w:rsidR="0009292E" w:rsidRDefault="0009292E" w:rsidP="0004545D">
      <w:pPr>
        <w:pStyle w:val="RKnormal"/>
      </w:pPr>
    </w:p>
    <w:sectPr w:rsidR="0009292E" w:rsidSect="007B41C2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92E" w:rsidRDefault="0009292E">
      <w:r>
        <w:separator/>
      </w:r>
    </w:p>
  </w:endnote>
  <w:endnote w:type="continuationSeparator" w:id="1">
    <w:p w:rsidR="0009292E" w:rsidRDefault="00092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rigGarmnd BT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92E" w:rsidRDefault="0009292E">
      <w:r>
        <w:separator/>
      </w:r>
    </w:p>
  </w:footnote>
  <w:footnote w:type="continuationSeparator" w:id="1">
    <w:p w:rsidR="0009292E" w:rsidRDefault="00092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2E" w:rsidRDefault="000929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Ind w:w="-1168" w:type="dxa"/>
      <w:tblLook w:val="0000"/>
    </w:tblPr>
    <w:tblGrid>
      <w:gridCol w:w="3119"/>
      <w:gridCol w:w="4111"/>
      <w:gridCol w:w="1525"/>
    </w:tblGrid>
    <w:tr w:rsidR="0009292E">
      <w:trPr>
        <w:cantSplit/>
      </w:trPr>
      <w:tc>
        <w:tcPr>
          <w:tcW w:w="3119" w:type="dxa"/>
        </w:tcPr>
        <w:p w:rsidR="0009292E" w:rsidRDefault="0009292E">
          <w:pPr>
            <w:pStyle w:val="Header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09292E" w:rsidRDefault="0009292E">
          <w:pPr>
            <w:pStyle w:val="Header"/>
            <w:ind w:right="360"/>
          </w:pPr>
        </w:p>
      </w:tc>
      <w:tc>
        <w:tcPr>
          <w:tcW w:w="1525" w:type="dxa"/>
        </w:tcPr>
        <w:p w:rsidR="0009292E" w:rsidRDefault="0009292E">
          <w:pPr>
            <w:pStyle w:val="Header"/>
            <w:ind w:right="360"/>
          </w:pPr>
        </w:p>
      </w:tc>
    </w:tr>
  </w:tbl>
  <w:p w:rsidR="0009292E" w:rsidRDefault="0009292E">
    <w:pPr>
      <w:pStyle w:val="Header"/>
      <w:ind w:right="357" w:firstLine="35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2E" w:rsidRDefault="000929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0" w:type="auto"/>
      <w:tblInd w:w="-1168" w:type="dxa"/>
      <w:tblLook w:val="0000"/>
    </w:tblPr>
    <w:tblGrid>
      <w:gridCol w:w="3119"/>
      <w:gridCol w:w="4111"/>
      <w:gridCol w:w="1525"/>
    </w:tblGrid>
    <w:tr w:rsidR="0009292E">
      <w:trPr>
        <w:cantSplit/>
      </w:trPr>
      <w:tc>
        <w:tcPr>
          <w:tcW w:w="3119" w:type="dxa"/>
        </w:tcPr>
        <w:p w:rsidR="0009292E" w:rsidRDefault="0009292E">
          <w:pPr>
            <w:pStyle w:val="Header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09292E" w:rsidRDefault="0009292E">
          <w:pPr>
            <w:pStyle w:val="Header"/>
            <w:ind w:right="360"/>
          </w:pPr>
        </w:p>
      </w:tc>
      <w:tc>
        <w:tcPr>
          <w:tcW w:w="1525" w:type="dxa"/>
        </w:tcPr>
        <w:p w:rsidR="0009292E" w:rsidRDefault="0009292E">
          <w:pPr>
            <w:pStyle w:val="Header"/>
            <w:ind w:right="360"/>
          </w:pPr>
        </w:p>
      </w:tc>
    </w:tr>
  </w:tbl>
  <w:p w:rsidR="0009292E" w:rsidRDefault="0009292E">
    <w:pPr>
      <w:pStyle w:val="Header"/>
      <w:ind w:right="357" w:firstLine="35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2E" w:rsidRDefault="0009292E">
    <w:pPr>
      <w:framePr w:w="2948" w:h="1321" w:hRule="exact" w:wrap="notBeside" w:vAnchor="page" w:hAnchor="page" w:x="1362" w:y="653"/>
    </w:pPr>
    <w:r w:rsidRPr="003C2C8F"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147pt;height:66pt;visibility:visible">
          <v:imagedata r:id="rId1" o:title=""/>
        </v:shape>
      </w:pict>
    </w:r>
  </w:p>
  <w:p w:rsidR="0009292E" w:rsidRDefault="0009292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09292E" w:rsidRDefault="0009292E">
    <w:pPr>
      <w:rPr>
        <w:rFonts w:ascii="TradeGothic" w:hAnsi="TradeGothic"/>
        <w:b/>
        <w:bCs/>
        <w:spacing w:val="12"/>
        <w:sz w:val="22"/>
      </w:rPr>
    </w:pPr>
  </w:p>
  <w:p w:rsidR="0009292E" w:rsidRDefault="0009292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09292E" w:rsidRDefault="0009292E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1678"/>
    <w:multiLevelType w:val="hybridMultilevel"/>
    <w:tmpl w:val="1FA44336"/>
    <w:lvl w:ilvl="0" w:tplc="C32AD0FE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001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epartement" w:val="Näringsdepartementet"/>
    <w:docVar w:name="Regering" w:val="N"/>
  </w:docVars>
  <w:rsids>
    <w:rsidRoot w:val="00B63E7F"/>
    <w:rsid w:val="0002440F"/>
    <w:rsid w:val="0004545D"/>
    <w:rsid w:val="000477A8"/>
    <w:rsid w:val="00063698"/>
    <w:rsid w:val="00071B1E"/>
    <w:rsid w:val="0009292E"/>
    <w:rsid w:val="000A2C00"/>
    <w:rsid w:val="001449E5"/>
    <w:rsid w:val="00150384"/>
    <w:rsid w:val="00160901"/>
    <w:rsid w:val="0017685D"/>
    <w:rsid w:val="001805B7"/>
    <w:rsid w:val="001C40B6"/>
    <w:rsid w:val="00236B6E"/>
    <w:rsid w:val="002C3521"/>
    <w:rsid w:val="00367B1C"/>
    <w:rsid w:val="00395AF2"/>
    <w:rsid w:val="003C2C8F"/>
    <w:rsid w:val="00425B74"/>
    <w:rsid w:val="00436C7A"/>
    <w:rsid w:val="00474FAC"/>
    <w:rsid w:val="00481666"/>
    <w:rsid w:val="00484BD5"/>
    <w:rsid w:val="004A328D"/>
    <w:rsid w:val="00552207"/>
    <w:rsid w:val="00553867"/>
    <w:rsid w:val="0058762B"/>
    <w:rsid w:val="005D54E6"/>
    <w:rsid w:val="005D623B"/>
    <w:rsid w:val="00623318"/>
    <w:rsid w:val="00635180"/>
    <w:rsid w:val="00661FD2"/>
    <w:rsid w:val="006B5C06"/>
    <w:rsid w:val="006E4E11"/>
    <w:rsid w:val="007242A3"/>
    <w:rsid w:val="007243D0"/>
    <w:rsid w:val="007368C6"/>
    <w:rsid w:val="007A6855"/>
    <w:rsid w:val="007B41C2"/>
    <w:rsid w:val="007C79B9"/>
    <w:rsid w:val="00875B94"/>
    <w:rsid w:val="008D615F"/>
    <w:rsid w:val="0092027A"/>
    <w:rsid w:val="0094344C"/>
    <w:rsid w:val="00953F96"/>
    <w:rsid w:val="00955E31"/>
    <w:rsid w:val="00992E72"/>
    <w:rsid w:val="00AA6994"/>
    <w:rsid w:val="00AF26D1"/>
    <w:rsid w:val="00B312A9"/>
    <w:rsid w:val="00B45EB1"/>
    <w:rsid w:val="00B56459"/>
    <w:rsid w:val="00B63E7F"/>
    <w:rsid w:val="00B832CF"/>
    <w:rsid w:val="00C33E90"/>
    <w:rsid w:val="00C63346"/>
    <w:rsid w:val="00C97E68"/>
    <w:rsid w:val="00CF2163"/>
    <w:rsid w:val="00D133D7"/>
    <w:rsid w:val="00D74A93"/>
    <w:rsid w:val="00DE43C2"/>
    <w:rsid w:val="00DE4D7F"/>
    <w:rsid w:val="00DE71A9"/>
    <w:rsid w:val="00DF0984"/>
    <w:rsid w:val="00E63BCA"/>
    <w:rsid w:val="00E80146"/>
    <w:rsid w:val="00E904D0"/>
    <w:rsid w:val="00EC25F9"/>
    <w:rsid w:val="00EC3ABA"/>
    <w:rsid w:val="00ED583F"/>
    <w:rsid w:val="00EF5D79"/>
    <w:rsid w:val="00F052B9"/>
    <w:rsid w:val="00F47B67"/>
    <w:rsid w:val="00F636FF"/>
    <w:rsid w:val="00F65CFF"/>
    <w:rsid w:val="00FB325E"/>
    <w:rsid w:val="00FF3BC2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C2"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szCs w:val="20"/>
      <w:lang w:eastAsia="en-US"/>
    </w:rPr>
  </w:style>
  <w:style w:type="paragraph" w:styleId="Heading1">
    <w:name w:val="heading 1"/>
    <w:basedOn w:val="Normal"/>
    <w:next w:val="RKnormal"/>
    <w:link w:val="Heading1Char"/>
    <w:uiPriority w:val="99"/>
    <w:qFormat/>
    <w:rsid w:val="007B41C2"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Heading2">
    <w:name w:val="heading 2"/>
    <w:basedOn w:val="Heading1"/>
    <w:next w:val="RKnormal"/>
    <w:link w:val="Heading2Char"/>
    <w:uiPriority w:val="99"/>
    <w:qFormat/>
    <w:rsid w:val="007B41C2"/>
    <w:pPr>
      <w:spacing w:before="360"/>
      <w:outlineLvl w:val="1"/>
    </w:pPr>
  </w:style>
  <w:style w:type="paragraph" w:styleId="Heading3">
    <w:name w:val="heading 3"/>
    <w:basedOn w:val="Heading2"/>
    <w:next w:val="RKnormal"/>
    <w:link w:val="Heading3Char"/>
    <w:uiPriority w:val="99"/>
    <w:qFormat/>
    <w:rsid w:val="007B41C2"/>
    <w:pPr>
      <w:spacing w:after="120" w:line="240" w:lineRule="atLeast"/>
      <w:outlineLvl w:val="2"/>
    </w:pPr>
    <w:rPr>
      <w:b w:val="0"/>
    </w:rPr>
  </w:style>
  <w:style w:type="paragraph" w:styleId="Heading4">
    <w:name w:val="heading 4"/>
    <w:basedOn w:val="Heading3"/>
    <w:next w:val="RKnormal"/>
    <w:link w:val="Heading4Char"/>
    <w:uiPriority w:val="99"/>
    <w:qFormat/>
    <w:rsid w:val="007B41C2"/>
    <w:pPr>
      <w:spacing w:after="40"/>
      <w:outlineLvl w:val="3"/>
    </w:pPr>
    <w:rPr>
      <w:rFonts w:ascii="OrigGarmnd BT" w:hAnsi="OrigGarmnd BT"/>
      <w:b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13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113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113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113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Avsndare">
    <w:name w:val="Avsändare"/>
    <w:basedOn w:val="Normal"/>
    <w:uiPriority w:val="99"/>
    <w:rsid w:val="007B41C2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Footer">
    <w:name w:val="footer"/>
    <w:basedOn w:val="Normal"/>
    <w:link w:val="FooterChar"/>
    <w:uiPriority w:val="99"/>
    <w:rsid w:val="007B41C2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4113C"/>
    <w:rPr>
      <w:rFonts w:ascii="OrigGarmnd BT" w:hAnsi="OrigGarmnd BT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7B41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13C"/>
    <w:rPr>
      <w:rFonts w:ascii="OrigGarmnd BT" w:hAnsi="OrigGarmnd BT"/>
      <w:sz w:val="24"/>
      <w:szCs w:val="20"/>
      <w:lang w:eastAsia="en-US"/>
    </w:rPr>
  </w:style>
  <w:style w:type="paragraph" w:customStyle="1" w:styleId="RKnormal">
    <w:name w:val="RKnormal"/>
    <w:basedOn w:val="Normal"/>
    <w:uiPriority w:val="99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uiPriority w:val="99"/>
    <w:rsid w:val="007B41C2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PageNumber">
    <w:name w:val="page number"/>
    <w:basedOn w:val="DefaultParagraphFont"/>
    <w:uiPriority w:val="99"/>
    <w:rsid w:val="007B41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95A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5A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611</Words>
  <Characters>4029</Characters>
  <Application>Microsoft Office Outlook</Application>
  <DocSecurity>0</DocSecurity>
  <Lines>0</Lines>
  <Paragraphs>0</Paragraphs>
  <ScaleCrop>false</ScaleCrop>
  <Company>Regeringskansliet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Rådspromemoria</dc:title>
  <dc:subject/>
  <dc:creator>Christina Bergström</dc:creator>
  <cp:keywords/>
  <dc:description/>
  <cp:lastModifiedBy>jb0525aa</cp:lastModifiedBy>
  <cp:revision>2</cp:revision>
  <cp:lastPrinted>2013-09-30T09:44:00Z</cp:lastPrinted>
  <dcterms:created xsi:type="dcterms:W3CDTF">2013-09-30T09:44:00Z</dcterms:created>
  <dcterms:modified xsi:type="dcterms:W3CDTF">2013-09-30T09:44:00Z</dcterms:modified>
  <cp:category>Rådspromemoria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10;0;0;461</vt:lpwstr>
  </property>
  <property fmtid="{D5CDD505-2E9C-101B-9397-08002B2CF9AE}" pid="3" name="Sprak">
    <vt:lpwstr>Svenska</vt:lpwstr>
  </property>
  <property fmtid="{D5CDD505-2E9C-101B-9397-08002B2CF9AE}" pid="4" name="DokID">
    <vt:i4>60</vt:i4>
  </property>
  <property fmtid="{D5CDD505-2E9C-101B-9397-08002B2CF9AE}" pid="5" name="ContentTypeId">
    <vt:lpwstr>0x01010053E1D612BA3F4E21AA250ECD751942B300CACADFE77341D845B81CC2022C55BFDF</vt:lpwstr>
  </property>
  <property fmtid="{D5CDD505-2E9C-101B-9397-08002B2CF9AE}" pid="6" name="_dlc_DocIdItemGuid">
    <vt:lpwstr>378dabe3-dbf0-4563-985c-e55800691d97</vt:lpwstr>
  </property>
  <property fmtid="{D5CDD505-2E9C-101B-9397-08002B2CF9AE}" pid="7" name="k46d94c0acf84ab9a79866a9d8b1905f">
    <vt:lpwstr/>
  </property>
  <property fmtid="{D5CDD505-2E9C-101B-9397-08002B2CF9AE}" pid="8" name="Nyckelord">
    <vt:lpwstr/>
  </property>
  <property fmtid="{D5CDD505-2E9C-101B-9397-08002B2CF9AE}" pid="9" name="RKOrdnaClass">
    <vt:lpwstr/>
  </property>
  <property fmtid="{D5CDD505-2E9C-101B-9397-08002B2CF9AE}" pid="10" name="Sekretess">
    <vt:lpwstr/>
  </property>
  <property fmtid="{D5CDD505-2E9C-101B-9397-08002B2CF9AE}" pid="11" name="TaxCatchAll">
    <vt:lpwstr/>
  </property>
  <property fmtid="{D5CDD505-2E9C-101B-9397-08002B2CF9AE}" pid="12" name="Diarienummer">
    <vt:lpwstr/>
  </property>
  <property fmtid="{D5CDD505-2E9C-101B-9397-08002B2CF9AE}" pid="13" name="RKOrdnaCheckInComment">
    <vt:lpwstr/>
  </property>
  <property fmtid="{D5CDD505-2E9C-101B-9397-08002B2CF9AE}" pid="14" name="c9cd366cc722410295b9eacffbd73909">
    <vt:lpwstr/>
  </property>
  <property fmtid="{D5CDD505-2E9C-101B-9397-08002B2CF9AE}" pid="15" name="_dlc_DocId">
    <vt:lpwstr>KWSQ2AKCCCHU-2-22788</vt:lpwstr>
  </property>
  <property fmtid="{D5CDD505-2E9C-101B-9397-08002B2CF9AE}" pid="16" name="_dlc_DocIdUrl">
    <vt:lpwstr>http://rkdhs-n/enhet/is/_layouts/DocIdRedir.aspx?ID=KWSQ2AKCCCHU-2-22788, KWSQ2AKCCCHU-2-22788</vt:lpwstr>
  </property>
</Properties>
</file>