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D5A" w:rsidRPr="004C598D" w:rsidRDefault="00324D5A">
      <w:pPr>
        <w:pStyle w:val="Frslagsrubrik"/>
        <w:shd w:val="clear" w:color="000000" w:fill="auto"/>
      </w:pPr>
      <w:r w:rsidRPr="004C598D">
        <w:t>Förslag till riksdagsbeslut</w:t>
      </w:r>
    </w:p>
    <w:p w:rsidR="00324D5A" w:rsidRPr="004C598D" w:rsidRDefault="00324D5A">
      <w:pPr>
        <w:pStyle w:val="Hemstlatt"/>
        <w:shd w:val="clear" w:color="000000" w:fill="auto"/>
        <w:ind w:left="0"/>
      </w:pPr>
      <w:r w:rsidRPr="004C598D">
        <w:t>Riksdagen tillkännager för regeringen som sin mening vad som anförs i motionen om att inrätta en angränsande zon utanför svenskt sjöterritorium.</w:t>
      </w:r>
    </w:p>
    <w:p w:rsidR="00324D5A" w:rsidRPr="004C598D" w:rsidRDefault="00324D5A">
      <w:pPr>
        <w:pStyle w:val="Rubrik1"/>
        <w:shd w:val="clear" w:color="000000" w:fill="auto"/>
      </w:pPr>
      <w:r w:rsidRPr="004C598D">
        <w:t>Motivering</w:t>
      </w:r>
    </w:p>
    <w:p w:rsidR="00324D5A" w:rsidRPr="004C598D" w:rsidRDefault="00324D5A">
      <w:pPr>
        <w:shd w:val="clear" w:color="000000" w:fill="auto"/>
      </w:pPr>
      <w:r w:rsidRPr="004C598D">
        <w:t>Utrikesminister Carl Bildt har i svar på en skriftlig fråga den 10 januari 2008 uttalat följande:</w:t>
      </w:r>
    </w:p>
    <w:p w:rsidR="00324D5A" w:rsidRPr="004C598D" w:rsidRDefault="00324D5A">
      <w:pPr>
        <w:pStyle w:val="Citat"/>
        <w:shd w:val="clear" w:color="000000" w:fill="auto"/>
      </w:pPr>
      <w:r w:rsidRPr="004C598D">
        <w:t>I en angränsande zon kan kuststaten utöva nödvändig kontroll av exe</w:t>
      </w:r>
      <w:r w:rsidRPr="004C598D">
        <w:t>m</w:t>
      </w:r>
      <w:r w:rsidRPr="004C598D">
        <w:t>pelvis ingående fartyg för att i preventivt syfte och på ett mer effektivt sätt förhindra överträdelser mot kuststatens lagar och förordningar vad avser invandring, skatter, tullar och hälsovård. Vidare kan kuststaten fö</w:t>
      </w:r>
      <w:r w:rsidRPr="004C598D">
        <w:t>r</w:t>
      </w:r>
      <w:r w:rsidRPr="004C598D">
        <w:t>följa och ingripa mot utgående fartyg vid misstanke om att brott skett inom kuststatens territorium eller territorialhav mot sådana lagar och fö</w:t>
      </w:r>
      <w:r w:rsidRPr="004C598D">
        <w:t>r</w:t>
      </w:r>
      <w:r w:rsidRPr="004C598D">
        <w:t>ordningar.</w:t>
      </w:r>
    </w:p>
    <w:p w:rsidR="00324D5A" w:rsidRPr="004C598D" w:rsidRDefault="00324D5A">
      <w:pPr>
        <w:pStyle w:val="Citatindrag"/>
        <w:shd w:val="clear" w:color="000000" w:fill="auto"/>
      </w:pPr>
      <w:r w:rsidRPr="004C598D">
        <w:t>Detta är frågor som har bäring på flera viktiga områden och som berör vår geografiska närhet såsom miljö-, utrikes- och säkerhetspolit</w:t>
      </w:r>
      <w:r w:rsidRPr="004C598D">
        <w:t>ik, ka</w:t>
      </w:r>
      <w:r w:rsidRPr="004C598D">
        <w:t>m</w:t>
      </w:r>
      <w:r w:rsidRPr="004C598D">
        <w:t>pen mot terrorism och gränsöverskridande brottslighet.</w:t>
      </w:r>
    </w:p>
    <w:p w:rsidR="00324D5A" w:rsidRPr="004C598D" w:rsidRDefault="00324D5A">
      <w:pPr>
        <w:shd w:val="clear" w:color="000000" w:fill="auto"/>
      </w:pPr>
      <w:r w:rsidRPr="004C598D">
        <w:t>Sverige har inte i enlighet med FN:s havsrättskonvention inrättat någon a</w:t>
      </w:r>
      <w:r w:rsidRPr="004C598D">
        <w:t>n</w:t>
      </w:r>
      <w:r w:rsidRPr="004C598D">
        <w:t xml:space="preserve">gränsande zon. Regeringen gav emellertid redan 1995 uttryck för att frågan om inrättande av en angränsande zon bör bli föremål för utredning (prop. 1995/96:140 s. </w:t>
      </w:r>
      <w:smartTag w:uri="urn:schemas-microsoft-com:office:smarttags" w:element="metricconverter">
        <w:smartTagPr>
          <w:attr w:name="ProductID" w:val="159 f"/>
        </w:smartTagPr>
        <w:r w:rsidRPr="004C598D">
          <w:t>159 f</w:t>
        </w:r>
      </w:smartTag>
      <w:r w:rsidRPr="004C598D">
        <w:t>.). Frågan om tillsättandet av en sådan utredning bereds sedan dess i Regeringskansliet.</w:t>
      </w:r>
    </w:p>
    <w:p w:rsidR="00324D5A" w:rsidRPr="004C598D" w:rsidRDefault="00324D5A">
      <w:pPr>
        <w:pStyle w:val="Normaltindrag"/>
        <w:shd w:val="clear" w:color="000000" w:fill="auto"/>
      </w:pPr>
      <w:r w:rsidRPr="004C598D">
        <w:t>En angränsande zon medför som framgår av utrikesministerns svar ovan vinster på flera politikområden. Frågan har därför uppkommit om hur kostn</w:t>
      </w:r>
      <w:r w:rsidRPr="004C598D">
        <w:t>a</w:t>
      </w:r>
      <w:r w:rsidRPr="004C598D">
        <w:t>derna för sjömätningen och utmärkningen av en sådan zon på sjökort ska finansieras. Sjöfartsverket har kompetensen men inga medel för detta. Som affärsverk finansieras dess verksamhet huvudsakligen genom avgifter på handelssjöfarten.</w:t>
      </w:r>
    </w:p>
    <w:p w:rsidR="00324D5A" w:rsidRPr="004C598D" w:rsidRDefault="00324D5A">
      <w:pPr>
        <w:pStyle w:val="Normaltindrag"/>
        <w:shd w:val="clear" w:color="000000" w:fill="auto"/>
      </w:pPr>
      <w:r w:rsidRPr="004C598D">
        <w:lastRenderedPageBreak/>
        <w:t>De nuvarande svenska baslinjerna från vilka sjöterritorium, ekonomisk zon och en framtida angränsande zon beräknas uppmättes senast i mitten av se</w:t>
      </w:r>
      <w:r w:rsidRPr="004C598D">
        <w:t>x</w:t>
      </w:r>
      <w:r w:rsidRPr="004C598D">
        <w:t>tiotalet. Sedan dess har naturgeografiska och geodetiska förändringar skett. Landhöjningen och införandet av ett nytt geografiskt koordinatsystem (WGS 84) kräver även utan inrättande av en svensk angränsande zon en rev</w:t>
      </w:r>
      <w:r w:rsidRPr="004C598D">
        <w:t>i</w:t>
      </w:r>
      <w:r w:rsidRPr="004C598D">
        <w:t>dering av de svenska baslinjerna.</w:t>
      </w:r>
    </w:p>
    <w:p w:rsidR="00324D5A" w:rsidRPr="004C598D" w:rsidRDefault="00324D5A">
      <w:pPr>
        <w:pStyle w:val="Normaltindrag"/>
        <w:shd w:val="clear" w:color="000000" w:fill="auto"/>
      </w:pPr>
      <w:r w:rsidRPr="004C598D">
        <w:t>Vinsten av att hävda svensk jurisdiktion i en angränsande zon är så stor att kostnaderna för inrättandet av en sådan inklusive revisionen av de svenska baslinjerna bör bestridas av det allmänna. Våra grannländer Danmark, Fi</w:t>
      </w:r>
      <w:r w:rsidRPr="004C598D">
        <w:t>n</w:t>
      </w:r>
      <w:r w:rsidRPr="004C598D">
        <w:t>land och Norge hävdar angränsande zon i form av 4 nautiska mil, 2 nautiska mil och 10 nautiska mil.</w:t>
      </w:r>
    </w:p>
    <w:p w:rsidR="00324D5A" w:rsidRPr="004C598D" w:rsidRDefault="00324D5A">
      <w:pPr>
        <w:pStyle w:val="Normaltindrag"/>
        <w:shd w:val="clear" w:color="000000" w:fill="auto"/>
      </w:pPr>
      <w:r w:rsidRPr="004C598D">
        <w:t>Efter det att Sverige deklarerat en angränsande zon bör en revision av ba</w:t>
      </w:r>
      <w:r w:rsidRPr="004C598D">
        <w:t>s</w:t>
      </w:r>
      <w:r w:rsidRPr="004C598D">
        <w:t>linjer och utmärkande på sjökort prioriteras runtomkring Gotland och Gotska Sandön. Därmed skulle ett betydande havsområde tidigt och till begränsade kostnader bli tillgängligt för utökad tillsyn och lagföring av svenska rätt</w:t>
      </w:r>
      <w:r w:rsidRPr="004C598D">
        <w:t>s</w:t>
      </w:r>
      <w:r w:rsidRPr="004C598D">
        <w:t>vårdande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98D">
        <w:trPr>
          <w:cantSplit/>
        </w:trPr>
        <w:tc>
          <w:tcPr>
            <w:tcW w:w="3046" w:type="dxa"/>
          </w:tcPr>
          <w:p w:rsidR="00324D5A" w:rsidRPr="004C598D" w:rsidRDefault="00324D5A">
            <w:pPr>
              <w:pStyle w:val="UnderskriftDatum"/>
              <w:shd w:val="clear" w:color="000000" w:fill="auto"/>
              <w:spacing w:before="240"/>
            </w:pPr>
            <w:r w:rsidRPr="004C598D">
              <w:t>Stockholm den 21 oktober 2010</w:t>
            </w:r>
          </w:p>
        </w:tc>
        <w:tc>
          <w:tcPr>
            <w:tcW w:w="3047" w:type="dxa"/>
          </w:tcPr>
          <w:p w:rsidR="00324D5A" w:rsidRPr="004C598D" w:rsidRDefault="00324D5A">
            <w:pPr>
              <w:pStyle w:val="Underskrifter"/>
              <w:shd w:val="clear" w:color="000000" w:fill="auto"/>
              <w:spacing w:before="240"/>
            </w:pPr>
          </w:p>
        </w:tc>
      </w:tr>
      <w:tr w:rsidR="00000000" w:rsidRPr="004C598D">
        <w:trPr>
          <w:cantSplit/>
        </w:trPr>
        <w:tc>
          <w:tcPr>
            <w:tcW w:w="3046" w:type="dxa"/>
          </w:tcPr>
          <w:p w:rsidR="00324D5A" w:rsidRPr="004C598D" w:rsidRDefault="00324D5A">
            <w:pPr>
              <w:pStyle w:val="Underskrifter"/>
              <w:shd w:val="clear" w:color="000000" w:fill="auto"/>
            </w:pPr>
            <w:r w:rsidRPr="004C598D">
              <w:t>Allan Widman (FP)</w:t>
            </w:r>
          </w:p>
        </w:tc>
        <w:tc>
          <w:tcPr>
            <w:tcW w:w="3046" w:type="dxa"/>
          </w:tcPr>
          <w:p w:rsidR="00324D5A" w:rsidRPr="004C598D" w:rsidRDefault="00324D5A">
            <w:pPr>
              <w:pStyle w:val="Underskrifter"/>
              <w:shd w:val="clear" w:color="000000" w:fill="auto"/>
            </w:pPr>
            <w:r w:rsidRPr="004C598D">
              <w:t>Ulf Nilsson (FP)</w:t>
            </w:r>
          </w:p>
        </w:tc>
      </w:tr>
    </w:tbl>
    <w:p w:rsidR="00324D5A" w:rsidRPr="004C598D" w:rsidRDefault="00324D5A">
      <w:pPr>
        <w:pStyle w:val="Normaltindrag"/>
        <w:shd w:val="clear" w:color="000000" w:fill="auto"/>
      </w:pPr>
    </w:p>
    <w:sectPr w:rsidR="00324D5A" w:rsidRPr="004C59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D5A" w:rsidRPr="004C598D" w:rsidRDefault="00324D5A">
      <w:r w:rsidRPr="004C598D">
        <w:separator/>
      </w:r>
    </w:p>
  </w:endnote>
  <w:endnote w:type="continuationSeparator" w:id="0">
    <w:p w:rsidR="00324D5A" w:rsidRPr="004C598D" w:rsidRDefault="00324D5A">
      <w:r w:rsidRPr="004C59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D5A" w:rsidRPr="004C598D" w:rsidRDefault="004C598D">
    <w:pPr>
      <w:pStyle w:val="Sidfot"/>
    </w:pPr>
    <w:r w:rsidRPr="004C59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7452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D5A" w:rsidRDefault="00324D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4D5A" w:rsidRDefault="00324D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D5A" w:rsidRPr="004C598D" w:rsidRDefault="004C598D">
    <w:pPr>
      <w:pStyle w:val="Sidfot"/>
    </w:pPr>
    <w:r w:rsidRPr="004C59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86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D5A" w:rsidRDefault="00324D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4D5A" w:rsidRDefault="00324D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D5A" w:rsidRPr="004C598D" w:rsidRDefault="004C598D">
    <w:pPr>
      <w:pStyle w:val="Sidfot"/>
    </w:pPr>
    <w:r w:rsidRPr="004C59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817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D5A" w:rsidRDefault="00324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4D5A" w:rsidRDefault="00324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D5A" w:rsidRPr="004C598D" w:rsidRDefault="00324D5A">
      <w:r w:rsidRPr="004C598D">
        <w:separator/>
      </w:r>
    </w:p>
  </w:footnote>
  <w:footnote w:type="continuationSeparator" w:id="0">
    <w:p w:rsidR="00324D5A" w:rsidRPr="004C598D" w:rsidRDefault="00324D5A">
      <w:r w:rsidRPr="004C59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D5A" w:rsidRPr="004C598D" w:rsidRDefault="004C598D">
    <w:pPr>
      <w:pStyle w:val="Sidhuvud"/>
    </w:pPr>
    <w:r w:rsidRPr="004C59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081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D5A" w:rsidRDefault="00324D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4D5A" w:rsidRDefault="00324D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D5A" w:rsidRPr="004C598D" w:rsidRDefault="004C598D">
    <w:pPr>
      <w:pStyle w:val="Sidhuvud"/>
    </w:pPr>
    <w:r w:rsidRPr="004C59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061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D5A" w:rsidRDefault="00324D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4D5A" w:rsidRDefault="00324D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D5A" w:rsidRPr="004C598D" w:rsidRDefault="00324D5A">
    <w:pPr>
      <w:pStyle w:val="FSHNormal"/>
      <w:tabs>
        <w:tab w:val="right" w:pos="5840"/>
      </w:tabs>
    </w:pPr>
    <w:r w:rsidRPr="004C598D">
      <w:br/>
    </w:r>
    <w:r w:rsidRPr="004C598D">
      <w:fldChar w:fldCharType="begin" w:fldLock="1"/>
    </w:r>
    <w:r w:rsidRPr="004C598D">
      <w:instrText xml:space="preserve"> DOCPROPERTY</w:instrText>
    </w:r>
    <w:r w:rsidRPr="004C598D">
      <w:rPr>
        <w:sz w:val="18"/>
      </w:rPr>
      <w:instrText xml:space="preserve"> "YearUser" *\charformat </w:instrText>
    </w:r>
    <w:r w:rsidRPr="004C598D">
      <w:fldChar w:fldCharType="separate"/>
    </w:r>
    <w:r w:rsidRPr="004C598D">
      <w:t>2010/11</w:t>
    </w:r>
    <w:r w:rsidRPr="004C598D">
      <w:fldChar w:fldCharType="end"/>
    </w:r>
    <w:r w:rsidRPr="004C598D">
      <w:t xml:space="preserve"> </w:t>
    </w:r>
    <w:r w:rsidRPr="004C598D">
      <w:tab/>
      <w:t xml:space="preserve">mnr: </w:t>
    </w:r>
    <w:r w:rsidRPr="004C598D">
      <w:fldChar w:fldCharType="begin" w:fldLock="1"/>
    </w:r>
    <w:r w:rsidRPr="004C598D">
      <w:instrText xml:space="preserve"> DOCPROPERTY</w:instrText>
    </w:r>
    <w:r w:rsidRPr="004C598D">
      <w:rPr>
        <w:sz w:val="18"/>
      </w:rPr>
      <w:instrText xml:space="preserve"> "Motionsnummer" *\charformat </w:instrText>
    </w:r>
    <w:r w:rsidRPr="004C598D">
      <w:fldChar w:fldCharType="separate"/>
    </w:r>
    <w:r w:rsidRPr="004C598D">
      <w:t>U214</w:t>
    </w:r>
    <w:r w:rsidRPr="004C598D">
      <w:fldChar w:fldCharType="end"/>
    </w:r>
    <w:r w:rsidRPr="004C598D">
      <w:br/>
    </w:r>
    <w:r w:rsidRPr="004C598D">
      <w:fldChar w:fldCharType="begin" w:fldLock="1"/>
    </w:r>
    <w:r w:rsidRPr="004C598D">
      <w:instrText xml:space="preserve"> DOCPROPERTY</w:instrText>
    </w:r>
    <w:r w:rsidRPr="004C598D">
      <w:rPr>
        <w:sz w:val="18"/>
      </w:rPr>
      <w:instrText xml:space="preserve"> "Samling" *\charformat </w:instrText>
    </w:r>
    <w:r w:rsidRPr="004C598D">
      <w:fldChar w:fldCharType="end"/>
    </w:r>
    <w:r w:rsidRPr="004C598D">
      <w:tab/>
      <w:t xml:space="preserve">pnr: </w:t>
    </w:r>
    <w:r w:rsidRPr="004C598D">
      <w:fldChar w:fldCharType="begin" w:fldLock="1"/>
    </w:r>
    <w:r w:rsidRPr="004C598D">
      <w:instrText xml:space="preserve"> DOCPROPERTY</w:instrText>
    </w:r>
    <w:r w:rsidRPr="004C598D">
      <w:rPr>
        <w:sz w:val="18"/>
      </w:rPr>
      <w:instrText xml:space="preserve"> "Partinummer" *\charformat </w:instrText>
    </w:r>
    <w:r w:rsidRPr="004C598D">
      <w:fldChar w:fldCharType="separate"/>
    </w:r>
    <w:r w:rsidRPr="004C598D">
      <w:t>FP1219</w:t>
    </w:r>
    <w:r w:rsidRPr="004C598D">
      <w:fldChar w:fldCharType="end"/>
    </w:r>
  </w:p>
  <w:p w:rsidR="00324D5A" w:rsidRPr="004C598D" w:rsidRDefault="00324D5A">
    <w:pPr>
      <w:pStyle w:val="FSHRub1"/>
    </w:pPr>
    <w:r w:rsidRPr="004C598D">
      <w:t>Motion till riksdagen</w:t>
    </w:r>
    <w:r w:rsidRPr="004C598D">
      <w:br/>
    </w:r>
    <w:r w:rsidRPr="004C598D">
      <w:fldChar w:fldCharType="begin" w:fldLock="1"/>
    </w:r>
    <w:r w:rsidRPr="004C598D">
      <w:instrText xml:space="preserve"> DOCPROPERTY "YearUser" *\charformat </w:instrText>
    </w:r>
    <w:r w:rsidRPr="004C598D">
      <w:fldChar w:fldCharType="separate"/>
    </w:r>
    <w:r w:rsidRPr="004C598D">
      <w:t>2010/11</w:t>
    </w:r>
    <w:r w:rsidRPr="004C598D">
      <w:fldChar w:fldCharType="end"/>
    </w:r>
    <w:r w:rsidRPr="004C598D">
      <w:t>:</w:t>
    </w:r>
    <w:r w:rsidRPr="004C598D">
      <w:fldChar w:fldCharType="begin" w:fldLock="1"/>
    </w:r>
    <w:r w:rsidRPr="004C598D">
      <w:instrText xml:space="preserve"> DOCPROPERTY "Motionsnummer" *\charformat </w:instrText>
    </w:r>
    <w:r w:rsidRPr="004C598D">
      <w:fldChar w:fldCharType="separate"/>
    </w:r>
    <w:r w:rsidRPr="004C598D">
      <w:t>U214</w:t>
    </w:r>
    <w:r w:rsidRPr="004C598D">
      <w:fldChar w:fldCharType="end"/>
    </w:r>
  </w:p>
  <w:p w:rsidR="00324D5A" w:rsidRPr="004C598D" w:rsidRDefault="00324D5A">
    <w:pPr>
      <w:pStyle w:val="FSHNormalS5"/>
    </w:pPr>
    <w:r w:rsidRPr="004C598D">
      <w:fldChar w:fldCharType="begin" w:fldLock="1"/>
    </w:r>
    <w:r w:rsidRPr="004C598D">
      <w:instrText xml:space="preserve"> DOCPROPERTY "MotionarText" *\charformat </w:instrText>
    </w:r>
    <w:r w:rsidRPr="004C598D">
      <w:fldChar w:fldCharType="separate"/>
    </w:r>
    <w:r w:rsidRPr="004C598D">
      <w:t>av Allan Widman och Ulf Nilsson (FP)</w:t>
    </w:r>
    <w:r w:rsidRPr="004C598D">
      <w:fldChar w:fldCharType="end"/>
    </w:r>
    <w:r w:rsidRPr="004C598D">
      <w:br/>
    </w:r>
    <w:r w:rsidRPr="004C598D">
      <w:fldChar w:fldCharType="begin" w:fldLock="1"/>
    </w:r>
    <w:r w:rsidRPr="004C598D">
      <w:instrText xml:space="preserve"> DOCPROPERTY "SvarFrasKort" *\charformat </w:instrText>
    </w:r>
    <w:r w:rsidRPr="004C598D">
      <w:fldChar w:fldCharType="end"/>
    </w:r>
  </w:p>
  <w:p w:rsidR="00324D5A" w:rsidRPr="004C598D" w:rsidRDefault="00324D5A">
    <w:pPr>
      <w:pStyle w:val="FSHTitel"/>
    </w:pPr>
    <w:r w:rsidRPr="004C598D">
      <w:fldChar w:fldCharType="begin" w:fldLock="1"/>
    </w:r>
    <w:r w:rsidRPr="004C598D">
      <w:instrText xml:space="preserve"> DOCPROPERTY</w:instrText>
    </w:r>
    <w:r w:rsidRPr="004C598D">
      <w:rPr>
        <w:sz w:val="18"/>
      </w:rPr>
      <w:instrText xml:space="preserve"> "RubrikSvar" *\charformat </w:instrText>
    </w:r>
    <w:r w:rsidRPr="004C598D">
      <w:fldChar w:fldCharType="separate"/>
    </w:r>
    <w:r w:rsidRPr="004C598D">
      <w:t>Angränsande zon</w:t>
    </w:r>
    <w:r w:rsidRPr="004C598D">
      <w:fldChar w:fldCharType="end"/>
    </w:r>
  </w:p>
  <w:p w:rsidR="00324D5A" w:rsidRPr="004C598D" w:rsidRDefault="00324D5A">
    <w:pPr>
      <w:pStyle w:val="Normal00"/>
    </w:pPr>
  </w:p>
  <w:p w:rsidR="00324D5A" w:rsidRPr="004C598D" w:rsidRDefault="00324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1236016">
    <w:abstractNumId w:val="3"/>
  </w:num>
  <w:num w:numId="2" w16cid:durableId="277181960">
    <w:abstractNumId w:val="2"/>
  </w:num>
  <w:num w:numId="3" w16cid:durableId="1469931616">
    <w:abstractNumId w:val="1"/>
  </w:num>
  <w:num w:numId="4" w16cid:durableId="105197489">
    <w:abstractNumId w:val="0"/>
  </w:num>
  <w:num w:numId="5" w16cid:durableId="1333602818">
    <w:abstractNumId w:val="7"/>
  </w:num>
  <w:num w:numId="6" w16cid:durableId="1527210715">
    <w:abstractNumId w:val="6"/>
  </w:num>
  <w:num w:numId="7" w16cid:durableId="1171065735">
    <w:abstractNumId w:val="5"/>
  </w:num>
  <w:num w:numId="8" w16cid:durableId="1785952512">
    <w:abstractNumId w:val="4"/>
  </w:num>
  <w:num w:numId="9" w16cid:durableId="928268696">
    <w:abstractNumId w:val="8"/>
  </w:num>
  <w:num w:numId="10" w16cid:durableId="894775750">
    <w:abstractNumId w:val="9"/>
  </w:num>
  <w:num w:numId="11" w16cid:durableId="878935611">
    <w:abstractNumId w:val="10"/>
  </w:num>
  <w:num w:numId="12" w16cid:durableId="2090733748">
    <w:abstractNumId w:val="13"/>
  </w:num>
  <w:num w:numId="13" w16cid:durableId="2146655729">
    <w:abstractNumId w:val="15"/>
  </w:num>
  <w:num w:numId="14" w16cid:durableId="504171924">
    <w:abstractNumId w:val="16"/>
  </w:num>
  <w:num w:numId="15" w16cid:durableId="370231248">
    <w:abstractNumId w:val="11"/>
  </w:num>
  <w:num w:numId="16" w16cid:durableId="776220971">
    <w:abstractNumId w:val="18"/>
  </w:num>
  <w:num w:numId="17" w16cid:durableId="196090583">
    <w:abstractNumId w:val="17"/>
  </w:num>
  <w:num w:numId="18" w16cid:durableId="1315181027">
    <w:abstractNumId w:val="14"/>
  </w:num>
  <w:num w:numId="19" w16cid:durableId="1423603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809B7790-4E6B-4CDA-BC94-B5D65907D473},{B527404C-8853-4961-89DF-FD1E624B7E27}"/>
  </w:docVars>
  <w:rsids>
    <w:rsidRoot w:val="006E0798"/>
    <w:rsid w:val="00324D5A"/>
    <w:rsid w:val="004C598D"/>
    <w:rsid w:val="006E07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55501D7-5E3B-432A-9CB0-1AC2D0E8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2353</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fp1219</vt:lpstr>
    </vt:vector>
  </TitlesOfParts>
  <Company>Riksdagen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fp1219</dc:title>
  <dc:subject>fp1219</dc:subject>
  <dc:creator>Riksdagen</dc:creator>
  <cp:keywords>Riksdagen</cp:keywords>
  <dc:description>Versal/gemen i partibeteckning. Gemen i tryck för 0910, versal för 1011 och nyare</dc:description>
  <cp:lastModifiedBy>Lars Brink</cp:lastModifiedBy>
  <cp:revision>2</cp:revision>
  <cp:lastPrinted>2010-11-17T13:50:00Z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Angränsande zon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Angränsande zon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Ulf Nilsson (FP)</vt:lpwstr>
  </property>
  <property fmtid="{D5CDD505-2E9C-101B-9397-08002B2CF9AE}" pid="26" name="MotionarLista">
    <vt:lpwstr>Widman, Allan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20102011000001020112000012190069</vt:lpwstr>
  </property>
  <property fmtid="{D5CDD505-2E9C-101B-9397-08002B2CF9AE}" pid="47" name="datum">
    <vt:lpwstr>101021</vt:lpwstr>
  </property>
  <property fmtid="{D5CDD505-2E9C-101B-9397-08002B2CF9AE}" pid="48" name="avsändar-e-post">
    <vt:lpwstr>cindy.sturesson@riksdagen.se</vt:lpwstr>
  </property>
  <property fmtid="{D5CDD505-2E9C-101B-9397-08002B2CF9AE}" pid="49" name="id">
    <vt:lpwstr>20102011000001020112000012190069</vt:lpwstr>
  </property>
  <property fmtid="{D5CDD505-2E9C-101B-9397-08002B2CF9AE}" pid="50" name="nummer">
    <vt:lpwstr>214</vt:lpwstr>
  </property>
  <property fmtid="{D5CDD505-2E9C-101B-9397-08002B2CF9AE}" pid="51" name="utskottsbeteckning">
    <vt:lpwstr>U</vt:lpwstr>
  </property>
  <property fmtid="{D5CDD505-2E9C-101B-9397-08002B2CF9AE}" pid="52" name="GlobalUID">
    <vt:lpwstr>{06E570F9-6933-4C82-9CB0-552ADB293AD2}</vt:lpwstr>
  </property>
  <property fmtid="{D5CDD505-2E9C-101B-9397-08002B2CF9AE}" pid="53" name="Överföringar">
    <vt:i4>0</vt:i4>
  </property>
  <property fmtid="{D5CDD505-2E9C-101B-9397-08002B2CF9AE}" pid="54" name="Checksum">
    <vt:lpwstr>*1005426284095*</vt:lpwstr>
  </property>
  <property fmtid="{D5CDD505-2E9C-101B-9397-08002B2CF9AE}" pid="55" name="skuggnummer">
    <vt:lpwstr>702</vt:lpwstr>
  </property>
  <property fmtid="{D5CDD505-2E9C-101B-9397-08002B2CF9AE}" pid="56" name="urixVersion">
    <vt:lpwstr>4.3.0.0</vt:lpwstr>
  </property>
  <property fmtid="{D5CDD505-2E9C-101B-9397-08002B2CF9AE}" pid="57" name="urixOrigin">
    <vt:lpwstr>101124 15:25:04.788</vt:lpwstr>
  </property>
  <property fmtid="{D5CDD505-2E9C-101B-9397-08002B2CF9AE}" pid="58" name="urixGuid">
    <vt:lpwstr>{19BDF49C-EE5D-4512-8363-CAB4723E8E29}</vt:lpwstr>
  </property>
</Properties>
</file>