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1208" w:rsidRDefault="00640E73" w14:paraId="27096AB3" w14:textId="77777777">
      <w:pPr>
        <w:pStyle w:val="Rubrik1"/>
        <w:spacing w:after="300"/>
      </w:pPr>
      <w:sdt>
        <w:sdtPr>
          <w:alias w:val="CC_Boilerplate_4"/>
          <w:tag w:val="CC_Boilerplate_4"/>
          <w:id w:val="-1644581176"/>
          <w:lock w:val="sdtLocked"/>
          <w:placeholder>
            <w:docPart w:val="100487EA54B6458C9738F3F83812025B"/>
          </w:placeholder>
          <w:text/>
        </w:sdtPr>
        <w:sdtEndPr/>
        <w:sdtContent>
          <w:r w:rsidRPr="009B062B" w:rsidR="00AF30DD">
            <w:t>Förslag till riksdagsbeslut</w:t>
          </w:r>
        </w:sdtContent>
      </w:sdt>
      <w:bookmarkEnd w:id="0"/>
      <w:bookmarkEnd w:id="1"/>
    </w:p>
    <w:sdt>
      <w:sdtPr>
        <w:alias w:val="Yrkande 1"/>
        <w:tag w:val="5851d60d-f9f4-4c53-906d-12a5cbc881b7"/>
        <w:id w:val="-2091838126"/>
        <w:lock w:val="sdtLocked"/>
      </w:sdtPr>
      <w:sdtEndPr/>
      <w:sdtContent>
        <w:p w:rsidR="00A55BB9" w:rsidRDefault="0088506B" w14:paraId="23CC04F8" w14:textId="77777777">
          <w:pPr>
            <w:pStyle w:val="Frslagstext"/>
          </w:pPr>
          <w:r>
            <w:t>Riksdagen antar regeringens förslag till lag om tilläggsskatt med den ändringen att 2 kap. 20 § ska ha den lydelse som föreslås i bilaga 1 i motionen.</w:t>
          </w:r>
        </w:p>
      </w:sdtContent>
    </w:sdt>
    <w:sdt>
      <w:sdtPr>
        <w:alias w:val="Yrkande 2"/>
        <w:tag w:val="c9b2c084-3d18-45c6-94fd-382c9dbb529a"/>
        <w:id w:val="-1883705090"/>
        <w:lock w:val="sdtLocked"/>
      </w:sdtPr>
      <w:sdtEndPr/>
      <w:sdtContent>
        <w:p w:rsidR="00A55BB9" w:rsidRDefault="0088506B" w14:paraId="16AB6209" w14:textId="77777777">
          <w:pPr>
            <w:pStyle w:val="Frslagstext"/>
          </w:pPr>
          <w:r>
            <w:t>Riksdagen ställer sig bakom det som anförs i motionen om att regeringen skyndsamt ska genomföra en nödvändig översyn med förbättringar av lagtext och motivtexter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CA5D7219D144F88A713CB285C35945"/>
        </w:placeholder>
        <w:text/>
      </w:sdtPr>
      <w:sdtEndPr/>
      <w:sdtContent>
        <w:p w:rsidRPr="009B062B" w:rsidR="006D79C9" w:rsidP="00333E95" w:rsidRDefault="006D79C9" w14:paraId="09A684C4" w14:textId="77777777">
          <w:pPr>
            <w:pStyle w:val="Rubrik1"/>
          </w:pPr>
          <w:r>
            <w:t>Motivering</w:t>
          </w:r>
        </w:p>
      </w:sdtContent>
    </w:sdt>
    <w:bookmarkEnd w:displacedByCustomXml="prev" w:id="3"/>
    <w:bookmarkEnd w:displacedByCustomXml="prev" w:id="4"/>
    <w:p w:rsidRPr="009B5F94" w:rsidR="008E4CED" w:rsidP="009B5F94" w:rsidRDefault="008E4CED" w14:paraId="6FC7444C" w14:textId="238CF00F">
      <w:pPr>
        <w:pStyle w:val="Rubrik2"/>
        <w:spacing w:before="440"/>
      </w:pPr>
      <w:r w:rsidRPr="009B5F94">
        <w:t>Bakgrund</w:t>
      </w:r>
    </w:p>
    <w:p w:rsidR="009B5F94" w:rsidP="009B5F94" w:rsidRDefault="00A63903" w14:paraId="48F9E6A7" w14:textId="6639AB50">
      <w:pPr>
        <w:pStyle w:val="Normalutanindragellerluft"/>
      </w:pPr>
      <w:r>
        <w:t xml:space="preserve">Propositionen </w:t>
      </w:r>
      <w:r w:rsidR="00741504">
        <w:t>syft</w:t>
      </w:r>
      <w:r>
        <w:t xml:space="preserve">ar till att </w:t>
      </w:r>
      <w:r w:rsidR="00741504">
        <w:t xml:space="preserve">genomföra </w:t>
      </w:r>
      <w:r>
        <w:t>EU-</w:t>
      </w:r>
      <w:r w:rsidR="00741504">
        <w:t xml:space="preserve">direktivet om säkerställande av en global minimiskattenivå för multinationella koncerner </w:t>
      </w:r>
      <w:r w:rsidR="007E49E7">
        <w:t xml:space="preserve">och </w:t>
      </w:r>
      <w:r w:rsidR="00741504">
        <w:t>helt inhemska koncerner</w:t>
      </w:r>
      <w:r>
        <w:t xml:space="preserve"> i svensk rätt</w:t>
      </w:r>
      <w:r w:rsidR="00741504">
        <w:t xml:space="preserve">. </w:t>
      </w:r>
      <w:r w:rsidR="003244B0">
        <w:t>Direktivet bygger på OECD:s modellregler för enheter i multinationella koncerner, och är ett omfattande och helt nytt regelverk som ska motverka aggressiva skatte</w:t>
      </w:r>
      <w:r w:rsidR="009B5F94">
        <w:softHyphen/>
      </w:r>
      <w:r w:rsidR="003244B0">
        <w:t xml:space="preserve">planeringsstrategier. </w:t>
      </w:r>
      <w:r w:rsidR="007E49E7">
        <w:t xml:space="preserve">Innebörden är att säkerställa att </w:t>
      </w:r>
      <w:r w:rsidR="00741504">
        <w:t>intäkter hos företag som ingår i stora koncerner beskattas med minst 15 procent</w:t>
      </w:r>
      <w:r w:rsidR="00CB355F">
        <w:t xml:space="preserve">, och </w:t>
      </w:r>
      <w:r w:rsidR="003D5826">
        <w:t>medför</w:t>
      </w:r>
      <w:r w:rsidR="00CB355F">
        <w:t xml:space="preserve"> att tilläggsskatt ska betalas under vissa angivna förutsättningar</w:t>
      </w:r>
      <w:r w:rsidR="00741504">
        <w:t xml:space="preserve">.  </w:t>
      </w:r>
    </w:p>
    <w:p w:rsidR="008E4CED" w:rsidP="009B5F94" w:rsidRDefault="00CB355F" w14:paraId="3ECCAA5A" w14:textId="4D6E0197">
      <w:r>
        <w:t>Meningen med d</w:t>
      </w:r>
      <w:r w:rsidR="008A5071">
        <w:t xml:space="preserve">irektivet </w:t>
      </w:r>
      <w:r>
        <w:t xml:space="preserve">är </w:t>
      </w:r>
      <w:r w:rsidR="008A5071">
        <w:t xml:space="preserve">att skapa en ordning för att bestämma ytterligare skatt </w:t>
      </w:r>
      <w:r>
        <w:t xml:space="preserve">när </w:t>
      </w:r>
      <w:r w:rsidR="008A5071">
        <w:t>skattenivån i koncernen i stort inte når upp till en viss miniminivå. Detta medför</w:t>
      </w:r>
      <w:r>
        <w:t xml:space="preserve"> </w:t>
      </w:r>
      <w:r w:rsidR="008A5071">
        <w:t xml:space="preserve">omfattande beräkningar och bedömningar i flera led </w:t>
      </w:r>
      <w:r w:rsidR="00215576">
        <w:t xml:space="preserve">av nya och komplicerade regelverk, </w:t>
      </w:r>
      <w:r w:rsidR="003244B0">
        <w:t xml:space="preserve">vilket </w:t>
      </w:r>
      <w:r w:rsidR="00215576">
        <w:t xml:space="preserve">ställer stora krav på </w:t>
      </w:r>
      <w:r w:rsidR="008A5071">
        <w:t>de skattskyldiga som ska tillämpa reglerna</w:t>
      </w:r>
      <w:r w:rsidR="00530CF1">
        <w:t xml:space="preserve"> </w:t>
      </w:r>
      <w:r w:rsidR="00215576">
        <w:t>i sina verksam</w:t>
      </w:r>
      <w:r w:rsidR="009B5F94">
        <w:softHyphen/>
      </w:r>
      <w:r w:rsidR="00215576">
        <w:t xml:space="preserve">heter. För de skattskyldiga bolagen kommer arbetet </w:t>
      </w:r>
      <w:r w:rsidR="005E2DC6">
        <w:t xml:space="preserve">med att uppfylla de nya kraven </w:t>
      </w:r>
      <w:r w:rsidR="00215576">
        <w:t xml:space="preserve">att vara resurskrävande och mycket </w:t>
      </w:r>
      <w:r w:rsidR="005E2DC6">
        <w:t>kostsamt</w:t>
      </w:r>
      <w:r w:rsidR="008A5071">
        <w:t xml:space="preserve">. </w:t>
      </w:r>
      <w:r w:rsidR="005E2DC6">
        <w:t xml:space="preserve">Det är därför avgörande att </w:t>
      </w:r>
      <w:r w:rsidR="008A5071">
        <w:t xml:space="preserve">genomförandet i svensk </w:t>
      </w:r>
      <w:r w:rsidR="005E2DC6">
        <w:t xml:space="preserve">rätt </w:t>
      </w:r>
      <w:r w:rsidR="008A5071">
        <w:t xml:space="preserve">utformas så enkelt </w:t>
      </w:r>
      <w:r w:rsidR="005E2DC6">
        <w:t xml:space="preserve">och tydligt </w:t>
      </w:r>
      <w:r w:rsidR="008A5071">
        <w:t>som möjligt.</w:t>
      </w:r>
      <w:r w:rsidR="00530CF1">
        <w:t xml:space="preserve"> </w:t>
      </w:r>
      <w:r w:rsidR="008A5071">
        <w:t>Samtidigt har Sverige enligt EU-rätten en skyldighet att införa bestämmelser i enlighet med direktivet</w:t>
      </w:r>
      <w:r w:rsidR="005E2DC6">
        <w:t>, och s</w:t>
      </w:r>
      <w:r w:rsidR="008A5071">
        <w:t xml:space="preserve">pråkliga </w:t>
      </w:r>
      <w:r w:rsidR="008A5071">
        <w:lastRenderedPageBreak/>
        <w:t xml:space="preserve">förenklingar </w:t>
      </w:r>
      <w:r w:rsidR="005E2DC6">
        <w:t xml:space="preserve">riskerar </w:t>
      </w:r>
      <w:r w:rsidR="008A5071">
        <w:t>att uppfattas som innehåll</w:t>
      </w:r>
      <w:r w:rsidR="005E2DC6">
        <w:t>smässiga</w:t>
      </w:r>
      <w:r w:rsidR="008A5071">
        <w:t xml:space="preserve"> avvike</w:t>
      </w:r>
      <w:r w:rsidR="005E2DC6">
        <w:t>lser</w:t>
      </w:r>
      <w:r w:rsidR="008A5071">
        <w:t xml:space="preserve"> från direktivet</w:t>
      </w:r>
      <w:r w:rsidR="005E2DC6">
        <w:t>,</w:t>
      </w:r>
      <w:r w:rsidR="008A5071">
        <w:t xml:space="preserve"> även om det inte varit syftet. </w:t>
      </w:r>
    </w:p>
    <w:p w:rsidRPr="009B5F94" w:rsidR="008E4CED" w:rsidP="009B5F94" w:rsidRDefault="008E4CED" w14:paraId="30E77032" w14:textId="33D89B08">
      <w:pPr>
        <w:pStyle w:val="Rubrik2"/>
      </w:pPr>
      <w:r w:rsidRPr="009B5F94">
        <w:t>Allmänt erkända redovisningsprinciper i 2</w:t>
      </w:r>
      <w:r w:rsidRPr="009B5F94" w:rsidR="00793296">
        <w:t> </w:t>
      </w:r>
      <w:r w:rsidRPr="009B5F94">
        <w:t>kap</w:t>
      </w:r>
      <w:r w:rsidRPr="009B5F94" w:rsidR="00793296">
        <w:t>.</w:t>
      </w:r>
      <w:r w:rsidRPr="009B5F94">
        <w:t xml:space="preserve"> 20</w:t>
      </w:r>
      <w:r w:rsidRPr="009B5F94" w:rsidR="00793296">
        <w:t> </w:t>
      </w:r>
      <w:r w:rsidRPr="009B5F94">
        <w:t xml:space="preserve">§ </w:t>
      </w:r>
    </w:p>
    <w:p w:rsidR="008E4CED" w:rsidP="009B5F94" w:rsidRDefault="008E4CED" w14:paraId="05A7F5EB" w14:textId="776D3ED9">
      <w:pPr>
        <w:pStyle w:val="Normalutanindragellerluft"/>
      </w:pPr>
      <w:r>
        <w:t>Tilläggsskattelagens 2</w:t>
      </w:r>
      <w:r w:rsidR="00793296">
        <w:t> </w:t>
      </w:r>
      <w:r>
        <w:t>kap. 20</w:t>
      </w:r>
      <w:r w:rsidR="00793296">
        <w:t> </w:t>
      </w:r>
      <w:r>
        <w:t>§ innehåller en definition av begreppet allmänt erkänd redovisningsstandard i enlighet med direktivet. I uppräkningen i paragrafens tredje strecksats i såväl betänkandet som i lagrådsremissen nämndes, bl</w:t>
      </w:r>
      <w:r w:rsidR="00793296">
        <w:t>.a.</w:t>
      </w:r>
      <w:r>
        <w:t xml:space="preserve">, ”de allmänt erkända redovisningsprinciperna i </w:t>
      </w:r>
      <w:r w:rsidR="00295CAA">
        <w:t>[</w:t>
      </w:r>
      <w:r>
        <w:t>...</w:t>
      </w:r>
      <w:r w:rsidR="00295CAA">
        <w:t>]</w:t>
      </w:r>
      <w:r>
        <w:t xml:space="preserve"> </w:t>
      </w:r>
      <w:r w:rsidRPr="008E4CED">
        <w:rPr>
          <w:i/>
          <w:iCs/>
        </w:rPr>
        <w:t>staterna inom EU/EES</w:t>
      </w:r>
      <w:r>
        <w:t>”. Detta motsvarar vad som anges i artikel 3.25 i direktivet. Lagrådet påtalade dock otydligheter av stor praktisk betydelse kring hur frågan om allmänt erkända redovisningsprinciperna inom EU/EES skulle tillämpas i svensk kontext, och framhöll att direktivets innebörd i den delen behövde analyseras och om möjligt klargöras i lagtexten. Detta resulterade i att lydel</w:t>
      </w:r>
      <w:r w:rsidR="009B5F94">
        <w:softHyphen/>
      </w:r>
      <w:r>
        <w:t>se</w:t>
      </w:r>
      <w:r w:rsidR="00C040CD">
        <w:t>r</w:t>
      </w:r>
      <w:r>
        <w:t>n</w:t>
      </w:r>
      <w:r w:rsidR="00C040CD">
        <w:t>a om</w:t>
      </w:r>
      <w:r>
        <w:t xml:space="preserve"> ”</w:t>
      </w:r>
      <w:r w:rsidRPr="00295CAA">
        <w:t>staterna inom EU/EES</w:t>
      </w:r>
      <w:r>
        <w:t xml:space="preserve">” lyftes bort ur förslaget till lagtext i propositionen. Konsekvenserna av detta utreddes inte, och det framgår nu att detta bl.a. innebär att onoterade bolag skulle, utöver den redovisningsstandard som man redan tillämpar, även tvingas börja använda det internationella redovisningsregelverket IFRS (som avser noterade bolag). En sådan </w:t>
      </w:r>
      <w:r w:rsidR="00C040CD">
        <w:t>nyordning</w:t>
      </w:r>
      <w:r>
        <w:t xml:space="preserve"> skulle ta år att genomföra, och förutsätter dess</w:t>
      </w:r>
      <w:r w:rsidR="009B5F94">
        <w:softHyphen/>
      </w:r>
      <w:r>
        <w:t xml:space="preserve">utom omfattande investeringar i </w:t>
      </w:r>
      <w:r w:rsidR="00793296">
        <w:t>it</w:t>
      </w:r>
      <w:r>
        <w:t>-system</w:t>
      </w:r>
      <w:r w:rsidR="00C040CD">
        <w:t>, kompetensutveckling</w:t>
      </w:r>
      <w:r>
        <w:t xml:space="preserve"> m</w:t>
      </w:r>
      <w:r w:rsidR="00793296">
        <w:t>.</w:t>
      </w:r>
      <w:r>
        <w:t xml:space="preserve">m. Det säger sig självt att detta skulle innebära enorma kostnader, som i praktiken kommer </w:t>
      </w:r>
      <w:r w:rsidR="00793296">
        <w:t xml:space="preserve">att </w:t>
      </w:r>
      <w:r>
        <w:t xml:space="preserve">landa på försäkringstagarna. En sådan ordning är såklart otänkbar. Det är dessutom sannolikt att den sena ändringen, med dess omfattande konsekvenser för bolag och enskilda, inte uppfyller grundlagens beredningskrav för lagstiftning. Centerpartiet </w:t>
      </w:r>
      <w:r>
        <w:rPr>
          <w:rStyle w:val="FrslagstextChar"/>
        </w:rPr>
        <w:t xml:space="preserve">antar därför regeringens förslag till </w:t>
      </w:r>
      <w:r w:rsidRPr="00F21D71">
        <w:rPr>
          <w:rStyle w:val="FrslagstextChar"/>
        </w:rPr>
        <w:t xml:space="preserve">lag om </w:t>
      </w:r>
      <w:r>
        <w:rPr>
          <w:rStyle w:val="FrslagstextChar"/>
        </w:rPr>
        <w:t xml:space="preserve">tilläggsskatt </w:t>
      </w:r>
      <w:r w:rsidRPr="00F21D71">
        <w:rPr>
          <w:rStyle w:val="FrslagstextChar"/>
        </w:rPr>
        <w:t xml:space="preserve">med den ändringen att </w:t>
      </w:r>
      <w:r>
        <w:rPr>
          <w:rStyle w:val="FrslagstextChar"/>
        </w:rPr>
        <w:t>2</w:t>
      </w:r>
      <w:r w:rsidR="00793296">
        <w:rPr>
          <w:rStyle w:val="FrslagstextChar"/>
        </w:rPr>
        <w:t> </w:t>
      </w:r>
      <w:r w:rsidRPr="00F21D71">
        <w:rPr>
          <w:rStyle w:val="FrslagstextChar"/>
        </w:rPr>
        <w:t xml:space="preserve">kap. </w:t>
      </w:r>
      <w:r>
        <w:rPr>
          <w:rStyle w:val="FrslagstextChar"/>
        </w:rPr>
        <w:t>20</w:t>
      </w:r>
      <w:r w:rsidR="00793296">
        <w:rPr>
          <w:rStyle w:val="FrslagstextChar"/>
        </w:rPr>
        <w:t> </w:t>
      </w:r>
      <w:r w:rsidRPr="00F21D71">
        <w:rPr>
          <w:rStyle w:val="FrslagstextChar"/>
        </w:rPr>
        <w:t xml:space="preserve">§ ska </w:t>
      </w:r>
      <w:r>
        <w:rPr>
          <w:rStyle w:val="FrslagstextChar"/>
        </w:rPr>
        <w:t xml:space="preserve">ha </w:t>
      </w:r>
      <w:r w:rsidRPr="00F21D71">
        <w:rPr>
          <w:rStyle w:val="FrslagstextChar"/>
        </w:rPr>
        <w:t>den lydelse som föreslås i bilaga 1</w:t>
      </w:r>
      <w:r>
        <w:rPr>
          <w:rStyle w:val="FrslagstextChar"/>
        </w:rPr>
        <w:t xml:space="preserve">, vilket motsvarar den lydelse som föreslogs i lagrådsremissen. </w:t>
      </w:r>
    </w:p>
    <w:p w:rsidR="009B5F94" w:rsidP="009B5F94" w:rsidRDefault="008E4CED" w14:paraId="7ED543FC" w14:textId="77777777">
      <w:pPr>
        <w:pStyle w:val="Rubrik2"/>
      </w:pPr>
      <w:r w:rsidRPr="009B5F94">
        <w:t xml:space="preserve">Behovet av ytterligare </w:t>
      </w:r>
      <w:r w:rsidRPr="009B5F94" w:rsidR="00FE3C15">
        <w:t>kvalitetssäkring</w:t>
      </w:r>
    </w:p>
    <w:p w:rsidR="009B5F94" w:rsidP="002D7031" w:rsidRDefault="00E86DC6" w14:paraId="0C43D49B" w14:textId="77777777">
      <w:pPr>
        <w:pStyle w:val="Normalutanindragellerluft"/>
      </w:pPr>
      <w:r>
        <w:t xml:space="preserve">Förslagen </w:t>
      </w:r>
      <w:r w:rsidR="00793296">
        <w:t xml:space="preserve">i </w:t>
      </w:r>
      <w:r>
        <w:t>propositionen har tagits fram under stark tidspress. OECD:s modellregler antogs den 14 december 2021 och EU-direktivet den 14 december 2022. Direktivet ska vara genomfört i nationell rätt senast den 31 december 2023</w:t>
      </w:r>
      <w:r w:rsidR="00793296">
        <w:t>,</w:t>
      </w:r>
      <w:r>
        <w:t xml:space="preserve"> och de nya bestämmelserna ska tillämpas för räkenskapsåren </w:t>
      </w:r>
      <w:r w:rsidR="00793296">
        <w:t>fr.o.m.</w:t>
      </w:r>
      <w:r>
        <w:t xml:space="preserve"> den 31 december 2023. Förslage</w:t>
      </w:r>
      <w:r w:rsidR="00F24E2C">
        <w:t>t</w:t>
      </w:r>
      <w:r>
        <w:t xml:space="preserve"> </w:t>
      </w:r>
      <w:r w:rsidR="00F24E2C">
        <w:t xml:space="preserve">om lagen om tilläggsskatt </w:t>
      </w:r>
      <w:r>
        <w:t xml:space="preserve">har </w:t>
      </w:r>
      <w:r w:rsidR="00C040CD">
        <w:t>tagits fram genom</w:t>
      </w:r>
      <w:r>
        <w:t xml:space="preserve"> sedvanlig beredning</w:t>
      </w:r>
      <w:r w:rsidR="00F24E2C">
        <w:t xml:space="preserve"> inom </w:t>
      </w:r>
      <w:r w:rsidR="00793296">
        <w:t>R</w:t>
      </w:r>
      <w:r w:rsidR="00F24E2C">
        <w:t xml:space="preserve">egeringskansliet </w:t>
      </w:r>
      <w:r w:rsidR="007141FB">
        <w:t xml:space="preserve">men </w:t>
      </w:r>
      <w:r w:rsidRPr="009B5F94" w:rsidR="00F24E2C">
        <w:rPr>
          <w:spacing w:val="-3"/>
        </w:rPr>
        <w:t>har av uppenbara varit påskyndad</w:t>
      </w:r>
      <w:r w:rsidRPr="009B5F94" w:rsidR="002D7031">
        <w:rPr>
          <w:spacing w:val="-3"/>
        </w:rPr>
        <w:t xml:space="preserve">, </w:t>
      </w:r>
      <w:r w:rsidRPr="009B5F94" w:rsidR="003D5826">
        <w:rPr>
          <w:spacing w:val="-3"/>
        </w:rPr>
        <w:t>vilket</w:t>
      </w:r>
      <w:r w:rsidRPr="009B5F94" w:rsidR="002D7031">
        <w:rPr>
          <w:spacing w:val="-3"/>
        </w:rPr>
        <w:t xml:space="preserve"> fått konsekvenser </w:t>
      </w:r>
      <w:r w:rsidRPr="009B5F94" w:rsidR="00C040CD">
        <w:rPr>
          <w:spacing w:val="-3"/>
        </w:rPr>
        <w:t>för</w:t>
      </w:r>
      <w:r w:rsidRPr="009B5F94" w:rsidR="002D7031">
        <w:rPr>
          <w:spacing w:val="-3"/>
        </w:rPr>
        <w:t xml:space="preserve"> lagstiftningen</w:t>
      </w:r>
      <w:r w:rsidRPr="009B5F94" w:rsidR="003D5826">
        <w:rPr>
          <w:spacing w:val="-3"/>
        </w:rPr>
        <w:t>s utformning</w:t>
      </w:r>
      <w:r w:rsidRPr="009B5F94" w:rsidR="00C040CD">
        <w:rPr>
          <w:spacing w:val="-3"/>
        </w:rPr>
        <w:t xml:space="preserve"> och </w:t>
      </w:r>
      <w:r w:rsidRPr="009B5F94" w:rsidR="00637285">
        <w:rPr>
          <w:spacing w:val="-3"/>
        </w:rPr>
        <w:t>tydlighet</w:t>
      </w:r>
      <w:r>
        <w:t xml:space="preserve">. </w:t>
      </w:r>
      <w:r w:rsidR="00AB61E7">
        <w:t xml:space="preserve">Många remissinstanser har </w:t>
      </w:r>
      <w:r w:rsidR="003D5826">
        <w:t xml:space="preserve">därför </w:t>
      </w:r>
      <w:r w:rsidR="00F24E2C">
        <w:t xml:space="preserve">också </w:t>
      </w:r>
      <w:r w:rsidR="00AB61E7">
        <w:t xml:space="preserve">uttryckt både kritik och farhågor vad gäller </w:t>
      </w:r>
      <w:r>
        <w:t xml:space="preserve">tydligheten i </w:t>
      </w:r>
      <w:r w:rsidR="00AB61E7">
        <w:t xml:space="preserve">regelverkets utformning. Finansinspektionen </w:t>
      </w:r>
      <w:r w:rsidR="002810E0">
        <w:t xml:space="preserve">(FI) </w:t>
      </w:r>
      <w:r w:rsidR="00AB61E7">
        <w:t xml:space="preserve">har t.ex. påtalat svårigheter att </w:t>
      </w:r>
      <w:r w:rsidR="008A5071">
        <w:t>analysera hur lagen kan komma att påverka företag under</w:t>
      </w:r>
      <w:r>
        <w:t xml:space="preserve"> </w:t>
      </w:r>
      <w:r w:rsidR="008A5071">
        <w:t>inspektionens tillsyn</w:t>
      </w:r>
      <w:r>
        <w:t xml:space="preserve">, men även </w:t>
      </w:r>
      <w:r w:rsidR="008A5071">
        <w:t xml:space="preserve">finansmarknaden i stort. </w:t>
      </w:r>
      <w:r w:rsidR="00AB61E7">
        <w:t>De anser inte</w:t>
      </w:r>
      <w:r w:rsidR="00637285">
        <w:t xml:space="preserve"> heller</w:t>
      </w:r>
      <w:r w:rsidR="00AB61E7">
        <w:t xml:space="preserve"> att </w:t>
      </w:r>
      <w:r w:rsidR="008A5071">
        <w:t>motivtexte</w:t>
      </w:r>
      <w:r w:rsidR="003D5826">
        <w:t>r</w:t>
      </w:r>
      <w:r w:rsidR="008A5071">
        <w:t>n</w:t>
      </w:r>
      <w:r w:rsidR="003D5826">
        <w:t>a</w:t>
      </w:r>
      <w:r w:rsidR="008A5071">
        <w:t xml:space="preserve"> </w:t>
      </w:r>
      <w:r w:rsidR="00AB61E7">
        <w:t xml:space="preserve">tillräckligt </w:t>
      </w:r>
      <w:r w:rsidR="008A5071">
        <w:t xml:space="preserve">belyser hur reglerna ska tillämpas på svenska förhållanden. </w:t>
      </w:r>
    </w:p>
    <w:p w:rsidR="009B5F94" w:rsidP="009B5F94" w:rsidRDefault="00E86DC6" w14:paraId="2B6831FF" w14:textId="77777777">
      <w:r>
        <w:t xml:space="preserve">Även Lagrådet har framfört kritik. </w:t>
      </w:r>
      <w:r w:rsidR="00637285">
        <w:t>D</w:t>
      </w:r>
      <w:r w:rsidR="00F722DA">
        <w:t xml:space="preserve">e </w:t>
      </w:r>
      <w:r w:rsidR="00637285">
        <w:t xml:space="preserve">konstaterar i och för sig </w:t>
      </w:r>
      <w:r w:rsidR="00F722DA">
        <w:t xml:space="preserve">att </w:t>
      </w:r>
      <w:r w:rsidR="00902AD8">
        <w:t>beredningskravet i 7</w:t>
      </w:r>
      <w:r w:rsidR="00793296">
        <w:t> </w:t>
      </w:r>
      <w:r w:rsidR="00902AD8">
        <w:t>kap. 2</w:t>
      </w:r>
      <w:r w:rsidR="00793296">
        <w:t> </w:t>
      </w:r>
      <w:r w:rsidR="00902AD8">
        <w:t xml:space="preserve">§ regeringsformen </w:t>
      </w:r>
      <w:r w:rsidR="003D5826">
        <w:t xml:space="preserve">formellt sett </w:t>
      </w:r>
      <w:r w:rsidR="00902AD8">
        <w:t>har iakttagits</w:t>
      </w:r>
      <w:r w:rsidR="00637285">
        <w:t>, men</w:t>
      </w:r>
      <w:r w:rsidR="00902AD8">
        <w:t xml:space="preserve"> </w:t>
      </w:r>
      <w:r w:rsidR="00F722DA">
        <w:t xml:space="preserve">framhåller </w:t>
      </w:r>
      <w:r w:rsidR="004B6591">
        <w:t xml:space="preserve">att </w:t>
      </w:r>
      <w:r w:rsidR="00902AD8">
        <w:t xml:space="preserve">det med hänsyn till förslagens omfattning och komplexitet </w:t>
      </w:r>
      <w:r w:rsidR="004B6591">
        <w:t xml:space="preserve">är </w:t>
      </w:r>
      <w:r w:rsidR="00902AD8">
        <w:t xml:space="preserve">uppenbart att lagstiftningsarbetet </w:t>
      </w:r>
      <w:r w:rsidR="004B6591">
        <w:t xml:space="preserve">borde ha fått </w:t>
      </w:r>
      <w:r w:rsidR="00902AD8">
        <w:t>ytterligare tid</w:t>
      </w:r>
      <w:r w:rsidR="00F722DA">
        <w:t xml:space="preserve">, </w:t>
      </w:r>
      <w:r w:rsidR="00902AD8">
        <w:t>direktivet</w:t>
      </w:r>
      <w:r w:rsidR="004B6591">
        <w:t>s</w:t>
      </w:r>
      <w:r w:rsidR="00902AD8">
        <w:t xml:space="preserve"> ikraftträdandedatum </w:t>
      </w:r>
      <w:r w:rsidR="00637285">
        <w:t>till trots</w:t>
      </w:r>
      <w:r w:rsidR="00902AD8">
        <w:t xml:space="preserve">. </w:t>
      </w:r>
      <w:r w:rsidR="00F722DA">
        <w:t xml:space="preserve">Man konstaterar att </w:t>
      </w:r>
      <w:r w:rsidR="00902AD8">
        <w:t>det höga lagstiftningstempot</w:t>
      </w:r>
      <w:r w:rsidR="004B6591">
        <w:t xml:space="preserve"> </w:t>
      </w:r>
      <w:r w:rsidR="00902AD8">
        <w:t xml:space="preserve">har fått till följd att lagförslagen i åtskilliga avseenden inte är </w:t>
      </w:r>
      <w:r w:rsidR="004B6591">
        <w:t xml:space="preserve">tillräckligt </w:t>
      </w:r>
      <w:r w:rsidR="00902AD8">
        <w:t xml:space="preserve">genomarbetade. </w:t>
      </w:r>
    </w:p>
    <w:p w:rsidR="009B5F94" w:rsidP="009B5F94" w:rsidRDefault="00FE0C04" w14:paraId="14055FC7" w14:textId="2DD0CE3F">
      <w:r>
        <w:t xml:space="preserve">Lagrådet </w:t>
      </w:r>
      <w:r w:rsidR="004B6591">
        <w:t>notera</w:t>
      </w:r>
      <w:r w:rsidR="000D1AB3">
        <w:t>r</w:t>
      </w:r>
      <w:r w:rsidR="004B6591">
        <w:t xml:space="preserve"> </w:t>
      </w:r>
      <w:r w:rsidR="00793296">
        <w:t>R</w:t>
      </w:r>
      <w:r w:rsidR="004B6591">
        <w:t xml:space="preserve">egeringskansliets </w:t>
      </w:r>
      <w:r w:rsidR="00D12110">
        <w:t xml:space="preserve">strävan att hålla sig så nära ordalydelsen </w:t>
      </w:r>
      <w:r w:rsidR="004B6591">
        <w:t xml:space="preserve">i de </w:t>
      </w:r>
      <w:r w:rsidR="00D12110">
        <w:t>bakomliggande OECD-reglerna och EU-direktivet som möjligt</w:t>
      </w:r>
      <w:r>
        <w:t xml:space="preserve">, men </w:t>
      </w:r>
      <w:r w:rsidR="000B5D5C">
        <w:t xml:space="preserve">framför </w:t>
      </w:r>
      <w:r>
        <w:t xml:space="preserve">att </w:t>
      </w:r>
      <w:r w:rsidR="000D1AB3">
        <w:t>konse</w:t>
      </w:r>
      <w:r w:rsidR="009B5F94">
        <w:softHyphen/>
      </w:r>
      <w:r w:rsidR="000D1AB3">
        <w:lastRenderedPageBreak/>
        <w:t xml:space="preserve">kvensen </w:t>
      </w:r>
      <w:r>
        <w:t xml:space="preserve">blivit att </w:t>
      </w:r>
      <w:r w:rsidR="00D12110">
        <w:t xml:space="preserve">lagförslagen </w:t>
      </w:r>
      <w:r w:rsidR="000D1AB3">
        <w:t xml:space="preserve">inte </w:t>
      </w:r>
      <w:r w:rsidR="000B5D5C">
        <w:t xml:space="preserve">uppfyller de </w:t>
      </w:r>
      <w:r w:rsidR="00D12110">
        <w:t xml:space="preserve">krav på tillgänglighet, begriplighet och tydlighet som gäller för svensk lagstiftning. </w:t>
      </w:r>
      <w:r w:rsidR="000B5D5C">
        <w:t xml:space="preserve">De anser vidare att </w:t>
      </w:r>
      <w:r>
        <w:t xml:space="preserve">det </w:t>
      </w:r>
      <w:r w:rsidR="000B5D5C">
        <w:t xml:space="preserve">är mycket </w:t>
      </w:r>
      <w:r w:rsidR="00D12110">
        <w:t xml:space="preserve">svårt att </w:t>
      </w:r>
      <w:r w:rsidRPr="009B5F94" w:rsidR="00D12110">
        <w:rPr>
          <w:spacing w:val="-3"/>
        </w:rPr>
        <w:t xml:space="preserve">genom lagtexten </w:t>
      </w:r>
      <w:r w:rsidRPr="009B5F94" w:rsidR="000B5D5C">
        <w:rPr>
          <w:spacing w:val="-3"/>
        </w:rPr>
        <w:t xml:space="preserve">förstå </w:t>
      </w:r>
      <w:r w:rsidRPr="009B5F94" w:rsidR="00D12110">
        <w:rPr>
          <w:spacing w:val="-3"/>
        </w:rPr>
        <w:t>hur skattesystemet är avsett att fungera</w:t>
      </w:r>
      <w:r w:rsidRPr="009B5F94" w:rsidR="005933E4">
        <w:rPr>
          <w:spacing w:val="-3"/>
        </w:rPr>
        <w:t xml:space="preserve">, att många av </w:t>
      </w:r>
      <w:r w:rsidRPr="009B5F94" w:rsidR="00D12110">
        <w:rPr>
          <w:spacing w:val="-3"/>
        </w:rPr>
        <w:t xml:space="preserve">de föreslagna bestämmelserna </w:t>
      </w:r>
      <w:r w:rsidRPr="009B5F94" w:rsidR="00793296">
        <w:rPr>
          <w:spacing w:val="-3"/>
        </w:rPr>
        <w:t xml:space="preserve">är </w:t>
      </w:r>
      <w:r w:rsidRPr="009B5F94" w:rsidR="000B5D5C">
        <w:rPr>
          <w:spacing w:val="-3"/>
        </w:rPr>
        <w:t>otydli</w:t>
      </w:r>
      <w:r w:rsidRPr="009B5F94" w:rsidR="005933E4">
        <w:rPr>
          <w:spacing w:val="-3"/>
        </w:rPr>
        <w:t>ga och svårtolkade</w:t>
      </w:r>
      <w:r w:rsidRPr="009B5F94" w:rsidR="000B5D5C">
        <w:rPr>
          <w:spacing w:val="-3"/>
        </w:rPr>
        <w:t xml:space="preserve">, </w:t>
      </w:r>
      <w:r w:rsidRPr="009B5F94" w:rsidR="00D12110">
        <w:rPr>
          <w:spacing w:val="-3"/>
        </w:rPr>
        <w:t>och</w:t>
      </w:r>
      <w:r w:rsidRPr="009B5F94" w:rsidR="002D7031">
        <w:rPr>
          <w:spacing w:val="-3"/>
        </w:rPr>
        <w:t xml:space="preserve"> </w:t>
      </w:r>
      <w:r w:rsidRPr="009B5F94" w:rsidR="005933E4">
        <w:rPr>
          <w:spacing w:val="-3"/>
        </w:rPr>
        <w:t xml:space="preserve">att </w:t>
      </w:r>
      <w:r w:rsidRPr="009B5F94" w:rsidR="00D12110">
        <w:rPr>
          <w:spacing w:val="-3"/>
        </w:rPr>
        <w:t>författningskommentarerna</w:t>
      </w:r>
      <w:r w:rsidR="00D12110">
        <w:t xml:space="preserve"> </w:t>
      </w:r>
      <w:r w:rsidR="005933E4">
        <w:t xml:space="preserve">dessutom saknar </w:t>
      </w:r>
      <w:r w:rsidR="00D12110">
        <w:t xml:space="preserve">den ytterligare ledning som </w:t>
      </w:r>
      <w:r w:rsidR="00CD1A54">
        <w:t>är nödvändig</w:t>
      </w:r>
      <w:r w:rsidR="00D12110">
        <w:t xml:space="preserve">. </w:t>
      </w:r>
      <w:r w:rsidR="00001DFF">
        <w:t xml:space="preserve">För att göra </w:t>
      </w:r>
      <w:r w:rsidR="00D12110">
        <w:t>regleringen</w:t>
      </w:r>
      <w:r w:rsidR="00001DFF">
        <w:t xml:space="preserve"> begriplig </w:t>
      </w:r>
      <w:r w:rsidR="00CD1A54">
        <w:t xml:space="preserve">måste </w:t>
      </w:r>
      <w:r w:rsidR="00001DFF">
        <w:t>därför lagtexten och motiven bearbet</w:t>
      </w:r>
      <w:r w:rsidR="00CD1A54">
        <w:t>as ytterligare</w:t>
      </w:r>
      <w:r w:rsidR="0075696B">
        <w:t xml:space="preserve"> </w:t>
      </w:r>
      <w:r w:rsidR="00793296">
        <w:t>bl.a.</w:t>
      </w:r>
      <w:r w:rsidR="0075696B">
        <w:t xml:space="preserve"> gällande</w:t>
      </w:r>
      <w:r w:rsidR="00295CAA">
        <w:t xml:space="preserve"> –</w:t>
      </w:r>
      <w:r w:rsidR="0075696B">
        <w:t xml:space="preserve"> men inte begränsat till</w:t>
      </w:r>
      <w:r w:rsidR="00295CAA">
        <w:t xml:space="preserve"> –</w:t>
      </w:r>
      <w:r w:rsidR="0075696B">
        <w:t xml:space="preserve"> regleringen om allmänt erkända redovisningsprinciper</w:t>
      </w:r>
      <w:r w:rsidR="00D12110">
        <w:t xml:space="preserve">. </w:t>
      </w:r>
      <w:r w:rsidR="00A36987">
        <w:t xml:space="preserve">I ljuset av </w:t>
      </w:r>
      <w:r w:rsidR="006E767B">
        <w:t>d</w:t>
      </w:r>
      <w:r w:rsidR="00A36987">
        <w:t xml:space="preserve">en snäva tidsramen för implementering </w:t>
      </w:r>
      <w:r w:rsidR="006E767B">
        <w:t>av direktivet a</w:t>
      </w:r>
      <w:r w:rsidR="00A36987">
        <w:t xml:space="preserve">nser Centerpartiet att det saknas alternativ till att </w:t>
      </w:r>
      <w:r w:rsidR="006E767B">
        <w:t xml:space="preserve">låta lagen träda i kraft innan implementeringstidens utgång, men att det är uppenbart att arbetet med att kvalitetssäkra </w:t>
      </w:r>
      <w:r w:rsidR="0075696B">
        <w:t>tilläggsskatte</w:t>
      </w:r>
      <w:r w:rsidR="006E767B">
        <w:t xml:space="preserve">lagen måste fortsätta. </w:t>
      </w:r>
      <w:r w:rsidR="00001DFF">
        <w:t xml:space="preserve">Regeringen måste därför skyndsamt </w:t>
      </w:r>
      <w:r w:rsidR="00A36987">
        <w:t>tillsätta en utredning med syfte att klargöra och förtydliga innebörden av lagtexten och dess tillämpning</w:t>
      </w:r>
      <w:r w:rsidR="006E767B">
        <w:t xml:space="preserve"> i </w:t>
      </w:r>
      <w:r w:rsidR="00CD1A54">
        <w:t>ljuset av</w:t>
      </w:r>
      <w:r w:rsidR="006E767B">
        <w:t xml:space="preserve"> såväl Lagrådets, som remissinstansernas</w:t>
      </w:r>
      <w:r w:rsidR="0075696B">
        <w:t>,</w:t>
      </w:r>
      <w:r w:rsidR="006E767B">
        <w:t xml:space="preserve"> synpunkter.</w:t>
      </w:r>
    </w:p>
    <w:sdt>
      <w:sdtPr>
        <w:alias w:val="CC_Underskrifter"/>
        <w:tag w:val="CC_Underskrifter"/>
        <w:id w:val="583496634"/>
        <w:lock w:val="sdtContentLocked"/>
        <w:placeholder>
          <w:docPart w:val="E558DBB8D17E4F18861490A68AEE184F"/>
        </w:placeholder>
      </w:sdtPr>
      <w:sdtEndPr/>
      <w:sdtContent>
        <w:p w:rsidR="008F1208" w:rsidP="00CA48A0" w:rsidRDefault="008F1208" w14:paraId="15738CA2" w14:textId="64CC7DDC"/>
        <w:p w:rsidR="008F1208" w:rsidP="00CA48A0" w:rsidRDefault="00640E73" w14:paraId="51AEF4B4" w14:textId="77777777"/>
      </w:sdtContent>
    </w:sdt>
    <w:tbl>
      <w:tblPr>
        <w:tblW w:w="5000" w:type="pct"/>
        <w:tblLook w:val="04A0" w:firstRow="1" w:lastRow="0" w:firstColumn="1" w:lastColumn="0" w:noHBand="0" w:noVBand="1"/>
        <w:tblCaption w:val="underskrifter"/>
      </w:tblPr>
      <w:tblGrid>
        <w:gridCol w:w="4252"/>
        <w:gridCol w:w="4252"/>
      </w:tblGrid>
      <w:tr w:rsidR="00A55BB9" w14:paraId="3E084AED" w14:textId="77777777">
        <w:trPr>
          <w:cantSplit/>
        </w:trPr>
        <w:tc>
          <w:tcPr>
            <w:tcW w:w="50" w:type="pct"/>
            <w:vAlign w:val="bottom"/>
          </w:tcPr>
          <w:p w:rsidR="00A55BB9" w:rsidRDefault="0088506B" w14:paraId="505E26DC" w14:textId="77777777">
            <w:pPr>
              <w:pStyle w:val="Underskrifter"/>
              <w:spacing w:after="0"/>
            </w:pPr>
            <w:r>
              <w:t>Helena Lindahl (C)</w:t>
            </w:r>
          </w:p>
        </w:tc>
        <w:tc>
          <w:tcPr>
            <w:tcW w:w="50" w:type="pct"/>
            <w:vAlign w:val="bottom"/>
          </w:tcPr>
          <w:p w:rsidR="00A55BB9" w:rsidRDefault="00A55BB9" w14:paraId="4705A142" w14:textId="77777777">
            <w:pPr>
              <w:pStyle w:val="Underskrifter"/>
              <w:spacing w:after="0"/>
            </w:pPr>
          </w:p>
        </w:tc>
      </w:tr>
      <w:tr w:rsidR="00A55BB9" w14:paraId="05A40548" w14:textId="77777777">
        <w:trPr>
          <w:cantSplit/>
        </w:trPr>
        <w:tc>
          <w:tcPr>
            <w:tcW w:w="50" w:type="pct"/>
            <w:vAlign w:val="bottom"/>
          </w:tcPr>
          <w:p w:rsidR="00A55BB9" w:rsidRDefault="0088506B" w14:paraId="5F2F39CA" w14:textId="77777777">
            <w:pPr>
              <w:pStyle w:val="Underskrifter"/>
              <w:spacing w:after="0"/>
            </w:pPr>
            <w:r>
              <w:t>Helena Vilhelmsson (C)</w:t>
            </w:r>
          </w:p>
        </w:tc>
        <w:tc>
          <w:tcPr>
            <w:tcW w:w="50" w:type="pct"/>
            <w:vAlign w:val="bottom"/>
          </w:tcPr>
          <w:p w:rsidR="00A55BB9" w:rsidRDefault="0088506B" w14:paraId="31C8F677" w14:textId="77777777">
            <w:pPr>
              <w:pStyle w:val="Underskrifter"/>
              <w:spacing w:after="0"/>
            </w:pPr>
            <w:r>
              <w:t>Anders Karlsson (C)</w:t>
            </w:r>
          </w:p>
        </w:tc>
      </w:tr>
    </w:tbl>
    <w:p w:rsidR="004801AC" w:rsidP="00616B5B" w:rsidRDefault="00693A57" w14:paraId="373488EA" w14:textId="77DF6EE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B5F94" w:rsidP="00DE25F8" w:rsidRDefault="00DE25F8" w14:paraId="5CAEFC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jc w:val="right"/>
        <w:rPr>
          <w:b/>
          <w:bCs/>
        </w:rPr>
      </w:pPr>
      <w:r w:rsidRPr="00DE25F8">
        <w:rPr>
          <w:b/>
          <w:bCs/>
        </w:rPr>
        <w:lastRenderedPageBreak/>
        <w:t>BILAGA 1</w:t>
      </w:r>
    </w:p>
    <w:p w:rsidR="00616B5B" w:rsidP="00616B5B" w:rsidRDefault="00616B5B" w14:paraId="40053CB4" w14:textId="2D381CA0">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616B5B">
        <w:t xml:space="preserve">Ändring </w:t>
      </w:r>
      <w:r>
        <w:t>2</w:t>
      </w:r>
      <w:r w:rsidR="0088506B">
        <w:t> </w:t>
      </w:r>
      <w:r>
        <w:t>kap. 20</w:t>
      </w:r>
      <w:r w:rsidR="0088506B">
        <w:t> </w:t>
      </w:r>
      <w:r>
        <w:t xml:space="preserve">§ </w:t>
      </w:r>
      <w:r w:rsidR="00DE25F8">
        <w:t xml:space="preserve">om allmänt erkänd redovisningsstandard </w:t>
      </w:r>
      <w:r>
        <w:t xml:space="preserve">i </w:t>
      </w:r>
      <w:r w:rsidRPr="00616B5B">
        <w:t xml:space="preserve">regeringens förslag till </w:t>
      </w:r>
      <w:r>
        <w:t>lag om tilläggsskatt</w:t>
      </w:r>
    </w:p>
    <w:p w:rsidR="00693A57" w:rsidP="00DF3554" w:rsidRDefault="00693A57" w14:paraId="095FE7E4" w14:textId="590187AF"/>
    <w:tbl>
      <w:tblPr>
        <w:tblW w:w="0" w:type="auto"/>
        <w:tblLayout w:type="fixed"/>
        <w:tblCellMar>
          <w:left w:w="70" w:type="dxa"/>
          <w:right w:w="70" w:type="dxa"/>
        </w:tblCellMar>
        <w:tblLook w:val="0000" w:firstRow="0" w:lastRow="0" w:firstColumn="0" w:lastColumn="0" w:noHBand="0" w:noVBand="0"/>
      </w:tblPr>
      <w:tblGrid>
        <w:gridCol w:w="4252"/>
        <w:gridCol w:w="4252"/>
      </w:tblGrid>
      <w:tr w:rsidRPr="00616B5B" w:rsidR="00616B5B" w:rsidTr="007179D5" w14:paraId="4AB95674" w14:textId="77777777">
        <w:tc>
          <w:tcPr>
            <w:tcW w:w="4252" w:type="dxa"/>
            <w:shd w:val="clear" w:color="auto" w:fill="auto"/>
          </w:tcPr>
          <w:p w:rsidRPr="00616B5B" w:rsidR="00616B5B" w:rsidP="00616B5B" w:rsidRDefault="00616B5B" w14:paraId="1E54712D" w14:textId="77777777">
            <w:pPr>
              <w:rPr>
                <w:i/>
              </w:rPr>
            </w:pPr>
            <w:r w:rsidRPr="00616B5B">
              <w:rPr>
                <w:i/>
              </w:rPr>
              <w:t>Nuvarande lydelse</w:t>
            </w:r>
          </w:p>
        </w:tc>
        <w:tc>
          <w:tcPr>
            <w:tcW w:w="4252" w:type="dxa"/>
            <w:shd w:val="clear" w:color="auto" w:fill="auto"/>
          </w:tcPr>
          <w:p w:rsidRPr="00616B5B" w:rsidR="00616B5B" w:rsidP="00616B5B" w:rsidRDefault="00616B5B" w14:paraId="28867EC0" w14:textId="77777777">
            <w:pPr>
              <w:rPr>
                <w:i/>
              </w:rPr>
            </w:pPr>
            <w:r w:rsidRPr="00616B5B">
              <w:rPr>
                <w:i/>
              </w:rPr>
              <w:t>Föreslagen lydelse</w:t>
            </w:r>
          </w:p>
        </w:tc>
      </w:tr>
      <w:tr w:rsidRPr="00616B5B" w:rsidR="00616B5B" w:rsidTr="007179D5" w14:paraId="0F8AA96B" w14:textId="77777777">
        <w:tc>
          <w:tcPr>
            <w:tcW w:w="4252" w:type="dxa"/>
            <w:shd w:val="clear" w:color="auto" w:fill="auto"/>
          </w:tcPr>
          <w:p w:rsidRPr="00616B5B" w:rsidR="00616B5B" w:rsidP="00616B5B" w:rsidRDefault="00616B5B" w14:paraId="43367DA7" w14:textId="77777777"/>
        </w:tc>
        <w:tc>
          <w:tcPr>
            <w:tcW w:w="4252" w:type="dxa"/>
            <w:shd w:val="clear" w:color="auto" w:fill="auto"/>
          </w:tcPr>
          <w:p w:rsidRPr="00D12110" w:rsidR="00D12110" w:rsidP="00D12110" w:rsidRDefault="00616B5B" w14:paraId="363437AE" w14:textId="77777777">
            <w:pPr>
              <w:rPr>
                <w:i/>
                <w:iCs/>
              </w:rPr>
            </w:pPr>
            <w:r w:rsidRPr="00DE25F8">
              <w:rPr>
                <w:i/>
                <w:iCs/>
              </w:rPr>
              <w:t xml:space="preserve">20 § </w:t>
            </w:r>
            <w:r w:rsidRPr="00D12110" w:rsidR="00D12110">
              <w:rPr>
                <w:i/>
                <w:iCs/>
              </w:rPr>
              <w:t xml:space="preserve">Med allmänt erkänd redovisningsstandard avses följande </w:t>
            </w:r>
          </w:p>
          <w:p w:rsidRPr="00D12110" w:rsidR="00D12110" w:rsidP="00D12110" w:rsidRDefault="00D12110" w14:paraId="0C48DC5D" w14:textId="77777777">
            <w:pPr>
              <w:ind w:firstLine="0"/>
              <w:rPr>
                <w:i/>
                <w:iCs/>
              </w:rPr>
            </w:pPr>
            <w:r w:rsidRPr="00D12110">
              <w:rPr>
                <w:i/>
                <w:iCs/>
              </w:rPr>
              <w:t xml:space="preserve">redovisningsstandarder: </w:t>
            </w:r>
          </w:p>
          <w:p w:rsidRPr="00D12110" w:rsidR="00D12110" w:rsidP="00D12110" w:rsidRDefault="00D12110" w14:paraId="623AA091" w14:textId="77777777">
            <w:pPr>
              <w:ind w:firstLine="0"/>
              <w:rPr>
                <w:i/>
                <w:iCs/>
              </w:rPr>
            </w:pPr>
            <w:r w:rsidRPr="00D12110">
              <w:rPr>
                <w:i/>
                <w:iCs/>
              </w:rPr>
              <w:t xml:space="preserve">– International Financial Reporting Standards (IFRS) som antagits av </w:t>
            </w:r>
          </w:p>
          <w:p w:rsidRPr="00D12110" w:rsidR="00D12110" w:rsidP="00D12110" w:rsidRDefault="00D12110" w14:paraId="7E2ED122" w14:textId="77777777">
            <w:pPr>
              <w:ind w:firstLine="0"/>
              <w:rPr>
                <w:i/>
                <w:iCs/>
              </w:rPr>
            </w:pPr>
            <w:r w:rsidRPr="00D12110">
              <w:rPr>
                <w:i/>
                <w:iCs/>
              </w:rPr>
              <w:t xml:space="preserve">International Accounting Standards Board, </w:t>
            </w:r>
          </w:p>
          <w:p w:rsidRPr="00D12110" w:rsidR="00D12110" w:rsidP="00D12110" w:rsidRDefault="00D12110" w14:paraId="651A0C38" w14:textId="77777777">
            <w:pPr>
              <w:ind w:firstLine="0"/>
              <w:rPr>
                <w:i/>
                <w:iCs/>
              </w:rPr>
            </w:pPr>
            <w:r w:rsidRPr="00D12110">
              <w:rPr>
                <w:i/>
                <w:iCs/>
              </w:rPr>
              <w:t xml:space="preserve">– IFRS som antagits av unionen i enlighet med Europaparlamentets och </w:t>
            </w:r>
          </w:p>
          <w:p w:rsidRPr="00D12110" w:rsidR="00D12110" w:rsidP="00D12110" w:rsidRDefault="00D12110" w14:paraId="3353BEC0" w14:textId="77777777">
            <w:pPr>
              <w:ind w:firstLine="0"/>
              <w:rPr>
                <w:i/>
                <w:iCs/>
              </w:rPr>
            </w:pPr>
            <w:r w:rsidRPr="00D12110">
              <w:rPr>
                <w:i/>
                <w:iCs/>
              </w:rPr>
              <w:t xml:space="preserve">rådets förordning (EG) nr 1606/2002 om tillämpning av internationella </w:t>
            </w:r>
          </w:p>
          <w:p w:rsidR="00D12110" w:rsidP="00D12110" w:rsidRDefault="00D12110" w14:paraId="3979D978" w14:textId="77777777">
            <w:pPr>
              <w:ind w:firstLine="0"/>
              <w:rPr>
                <w:i/>
                <w:iCs/>
              </w:rPr>
            </w:pPr>
            <w:r w:rsidRPr="00D12110">
              <w:rPr>
                <w:i/>
                <w:iCs/>
              </w:rPr>
              <w:t xml:space="preserve">redovisningsstandarder, eller </w:t>
            </w:r>
          </w:p>
          <w:p w:rsidRPr="00DE25F8" w:rsidR="00616B5B" w:rsidP="00D12110" w:rsidRDefault="00616B5B" w14:paraId="0A2A0B03" w14:textId="63EDAC18">
            <w:pPr>
              <w:ind w:firstLine="0"/>
              <w:rPr>
                <w:i/>
                <w:iCs/>
              </w:rPr>
            </w:pPr>
            <w:r w:rsidRPr="00DE25F8">
              <w:rPr>
                <w:i/>
                <w:iCs/>
              </w:rPr>
              <w:t>– de allmänt erkända redovisningsprinciperna i Australien, Brasilien, Kanada, medlemsstaterna i Europeiska unionen, staterna inom Europeiska ekonomiska</w:t>
            </w:r>
            <w:r w:rsidR="006C79AC">
              <w:rPr>
                <w:i/>
                <w:iCs/>
              </w:rPr>
              <w:t xml:space="preserve"> </w:t>
            </w:r>
            <w:r w:rsidRPr="00DE25F8">
              <w:rPr>
                <w:i/>
                <w:iCs/>
              </w:rPr>
              <w:t xml:space="preserve">samarbetsområdet, Hongkong (Kina), Japan, Mexiko, Nya Zeeland, Folkrepubliken Kina, Republiken Indien, Republiken Korea, Ryssland, Singapore, Schweiz, Förenade kungariket och Amerikas förenta stater. </w:t>
            </w:r>
          </w:p>
          <w:p w:rsidRPr="00616B5B" w:rsidR="00616B5B" w:rsidP="00616B5B" w:rsidRDefault="00616B5B" w14:paraId="3B8F9D19" w14:textId="77777777"/>
        </w:tc>
      </w:tr>
      <w:tr w:rsidRPr="00616B5B" w:rsidR="00616B5B" w:rsidTr="007179D5" w14:paraId="41B6197D" w14:textId="77777777">
        <w:tc>
          <w:tcPr>
            <w:tcW w:w="4252" w:type="dxa"/>
            <w:shd w:val="clear" w:color="auto" w:fill="auto"/>
          </w:tcPr>
          <w:p w:rsidRPr="00616B5B" w:rsidR="00616B5B" w:rsidP="00616B5B" w:rsidRDefault="00616B5B" w14:paraId="55921F79" w14:textId="77777777"/>
        </w:tc>
        <w:tc>
          <w:tcPr>
            <w:tcW w:w="4252" w:type="dxa"/>
            <w:shd w:val="clear" w:color="auto" w:fill="auto"/>
          </w:tcPr>
          <w:p w:rsidRPr="00616B5B" w:rsidR="00616B5B" w:rsidP="00616B5B" w:rsidRDefault="00616B5B" w14:paraId="61CE483C" w14:textId="77777777">
            <w:pPr>
              <w:rPr>
                <w:i/>
              </w:rPr>
            </w:pPr>
          </w:p>
        </w:tc>
      </w:tr>
    </w:tbl>
    <w:p w:rsidR="00693A57" w:rsidP="00DF3554" w:rsidRDefault="00693A57" w14:paraId="2ABF1DBE" w14:textId="41F0EAD7"/>
    <w:p w:rsidRPr="008E0FE2" w:rsidR="00693A57" w:rsidP="00693A57" w:rsidRDefault="00693A57" w14:paraId="2B2EBE47" w14:textId="605815EA"/>
    <w:sectPr w:rsidRPr="008E0FE2" w:rsidR="00693A57" w:rsidSect="00DE25F8">
      <w:headerReference w:type="even" r:id="rId11"/>
      <w:headerReference w:type="default" r:id="rId12"/>
      <w:footerReference w:type="even" r:id="rId13"/>
      <w:footerReference w:type="default" r:id="rId14"/>
      <w:headerReference w:type="first" r:id="rId15"/>
      <w:footerReference w:type="first" r:id="rId16"/>
      <w:pgSz w:w="11906" w:h="16838" w:code="9"/>
      <w:pgMar w:top="284"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8A3F9" w14:textId="77777777" w:rsidR="00012788" w:rsidRDefault="00012788" w:rsidP="000C1CAD">
      <w:pPr>
        <w:spacing w:line="240" w:lineRule="auto"/>
      </w:pPr>
      <w:r>
        <w:separator/>
      </w:r>
    </w:p>
  </w:endnote>
  <w:endnote w:type="continuationSeparator" w:id="0">
    <w:p w14:paraId="64D13F6A" w14:textId="77777777" w:rsidR="00012788" w:rsidRDefault="000127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67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E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67A3" w14:textId="6C2596A5" w:rsidR="00262EA3" w:rsidRPr="00CA48A0" w:rsidRDefault="00262EA3" w:rsidP="00CA4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6864" w14:textId="77777777" w:rsidR="00012788" w:rsidRDefault="00012788" w:rsidP="000C1CAD">
      <w:pPr>
        <w:spacing w:line="240" w:lineRule="auto"/>
      </w:pPr>
      <w:r>
        <w:separator/>
      </w:r>
    </w:p>
  </w:footnote>
  <w:footnote w:type="continuationSeparator" w:id="0">
    <w:p w14:paraId="6D12C336" w14:textId="77777777" w:rsidR="00012788" w:rsidRDefault="000127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4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4E3B8A" wp14:editId="484EC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5C20D" w14:textId="2D56B0FA" w:rsidR="00262EA3" w:rsidRDefault="00640E73" w:rsidP="008103B5">
                          <w:pPr>
                            <w:jc w:val="right"/>
                          </w:pPr>
                          <w:sdt>
                            <w:sdtPr>
                              <w:alias w:val="CC_Noformat_Partikod"/>
                              <w:tag w:val="CC_Noformat_Partikod"/>
                              <w:id w:val="-53464382"/>
                              <w:text/>
                            </w:sdtPr>
                            <w:sdtEndPr/>
                            <w:sdtContent>
                              <w:r w:rsidR="00471D6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4E3B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5C20D" w14:textId="2D56B0FA" w:rsidR="00262EA3" w:rsidRDefault="00640E73" w:rsidP="008103B5">
                    <w:pPr>
                      <w:jc w:val="right"/>
                    </w:pPr>
                    <w:sdt>
                      <w:sdtPr>
                        <w:alias w:val="CC_Noformat_Partikod"/>
                        <w:tag w:val="CC_Noformat_Partikod"/>
                        <w:id w:val="-53464382"/>
                        <w:text/>
                      </w:sdtPr>
                      <w:sdtEndPr/>
                      <w:sdtContent>
                        <w:r w:rsidR="00471D6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60B8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2F6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DE4" w14:textId="77777777" w:rsidR="00262EA3" w:rsidRDefault="00640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2FE87" wp14:editId="6C5B35A4">
              <wp:simplePos x="0" y="0"/>
              <wp:positionH relativeFrom="leftMargin">
                <wp:posOffset>5688965</wp:posOffset>
              </wp:positionH>
              <wp:positionV relativeFrom="page">
                <wp:posOffset>431800</wp:posOffset>
              </wp:positionV>
              <wp:extent cx="1440000" cy="385200"/>
              <wp:effectExtent l="0" t="0" r="8255"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E036F" w14:textId="55152489" w:rsidR="00262EA3" w:rsidRDefault="00640E73" w:rsidP="00A314CF">
    <w:pPr>
      <w:pStyle w:val="FSHNormal"/>
      <w:spacing w:before="40"/>
    </w:pPr>
    <w:sdt>
      <w:sdtPr>
        <w:alias w:val="CC_Noformat_Motionstyp"/>
        <w:tag w:val="CC_Noformat_Motionstyp"/>
        <w:id w:val="1162973129"/>
        <w:lock w:val="sdtContentLocked"/>
        <w15:appearance w15:val="hidden"/>
        <w:text/>
      </w:sdtPr>
      <w:sdtEndPr/>
      <w:sdtContent>
        <w:r w:rsidR="00CA48A0">
          <w:t>Kommittémotion</w:t>
        </w:r>
      </w:sdtContent>
    </w:sdt>
    <w:r w:rsidR="00821B36">
      <w:t xml:space="preserve"> </w:t>
    </w:r>
    <w:sdt>
      <w:sdtPr>
        <w:alias w:val="CC_Noformat_Partikod"/>
        <w:tag w:val="CC_Noformat_Partikod"/>
        <w:id w:val="1471015553"/>
        <w:text/>
      </w:sdtPr>
      <w:sdtEndPr/>
      <w:sdtContent>
        <w:r w:rsidR="00471D62">
          <w:t>C</w:t>
        </w:r>
      </w:sdtContent>
    </w:sdt>
    <w:sdt>
      <w:sdtPr>
        <w:alias w:val="CC_Noformat_Partinummer"/>
        <w:tag w:val="CC_Noformat_Partinummer"/>
        <w:id w:val="-2014525982"/>
        <w:showingPlcHdr/>
        <w:text/>
      </w:sdtPr>
      <w:sdtEndPr/>
      <w:sdtContent>
        <w:r w:rsidR="00821B36">
          <w:t xml:space="preserve"> </w:t>
        </w:r>
      </w:sdtContent>
    </w:sdt>
  </w:p>
  <w:p w14:paraId="54B6B0D5" w14:textId="77777777" w:rsidR="00262EA3" w:rsidRPr="008227B3" w:rsidRDefault="00640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AAD0CA" w14:textId="790B8840" w:rsidR="00262EA3" w:rsidRPr="008227B3" w:rsidRDefault="00640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8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8A0">
          <w:t>:2775</w:t>
        </w:r>
      </w:sdtContent>
    </w:sdt>
  </w:p>
  <w:p w14:paraId="5718C76C" w14:textId="232F1F77" w:rsidR="00262EA3" w:rsidRDefault="00640E73" w:rsidP="00E03A3D">
    <w:pPr>
      <w:pStyle w:val="Motionr"/>
    </w:pPr>
    <w:sdt>
      <w:sdtPr>
        <w:alias w:val="CC_Noformat_Avtext"/>
        <w:tag w:val="CC_Noformat_Avtext"/>
        <w:id w:val="-2020768203"/>
        <w:lock w:val="sdtContentLocked"/>
        <w15:appearance w15:val="hidden"/>
        <w:text/>
      </w:sdtPr>
      <w:sdtEndPr/>
      <w:sdtContent>
        <w:r w:rsidR="00CA48A0">
          <w:t>av Helena Lindahl m.fl. (C)</w:t>
        </w:r>
      </w:sdtContent>
    </w:sdt>
  </w:p>
  <w:sdt>
    <w:sdtPr>
      <w:alias w:val="CC_Noformat_Rubtext"/>
      <w:tag w:val="CC_Noformat_Rubtext"/>
      <w:id w:val="-218060500"/>
      <w:lock w:val="sdtLocked"/>
      <w:text/>
    </w:sdtPr>
    <w:sdtEndPr/>
    <w:sdtContent>
      <w:p w14:paraId="6CA765C1" w14:textId="58ED930C" w:rsidR="00262EA3" w:rsidRDefault="00471D62" w:rsidP="00283E0F">
        <w:pPr>
          <w:pStyle w:val="FSHRub2"/>
        </w:pPr>
        <w:r>
          <w:t>med anledning av prop. 2023/24:32 Tilläggsskatt för företag i stora koncerner</w:t>
        </w:r>
      </w:p>
    </w:sdtContent>
  </w:sdt>
  <w:sdt>
    <w:sdtPr>
      <w:alias w:val="CC_Boilerplate_3"/>
      <w:tag w:val="CC_Boilerplate_3"/>
      <w:id w:val="1606463544"/>
      <w:lock w:val="sdtContentLocked"/>
      <w15:appearance w15:val="hidden"/>
      <w:text w:multiLine="1"/>
    </w:sdtPr>
    <w:sdtEndPr/>
    <w:sdtContent>
      <w:p w14:paraId="6CF790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24635DF"/>
    <w:multiLevelType w:val="hybridMultilevel"/>
    <w:tmpl w:val="7EACF87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D62"/>
    <w:rsid w:val="000000E0"/>
    <w:rsid w:val="00000761"/>
    <w:rsid w:val="000014AF"/>
    <w:rsid w:val="00001DF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88"/>
    <w:rsid w:val="00012EAF"/>
    <w:rsid w:val="000132DC"/>
    <w:rsid w:val="00014034"/>
    <w:rsid w:val="00014823"/>
    <w:rsid w:val="00014F39"/>
    <w:rsid w:val="00015064"/>
    <w:rsid w:val="00015205"/>
    <w:rsid w:val="000156D9"/>
    <w:rsid w:val="000167D8"/>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C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5C"/>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B3"/>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554"/>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E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ABC"/>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57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5C"/>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E0"/>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AA"/>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31"/>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4B0"/>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26"/>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D6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5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59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C9E"/>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F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3E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C6"/>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5B"/>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285"/>
    <w:rsid w:val="00640995"/>
    <w:rsid w:val="00640DDC"/>
    <w:rsid w:val="00640E7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57"/>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BE"/>
    <w:rsid w:val="006C4B9F"/>
    <w:rsid w:val="006C4E9A"/>
    <w:rsid w:val="006C5179"/>
    <w:rsid w:val="006C51F5"/>
    <w:rsid w:val="006C5E6C"/>
    <w:rsid w:val="006C72FB"/>
    <w:rsid w:val="006C79A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7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1FB"/>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04"/>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96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9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B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E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6B"/>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7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ED"/>
    <w:rsid w:val="008E529F"/>
    <w:rsid w:val="008E5C06"/>
    <w:rsid w:val="008E6959"/>
    <w:rsid w:val="008E70F1"/>
    <w:rsid w:val="008E71FE"/>
    <w:rsid w:val="008E7F69"/>
    <w:rsid w:val="008F03C6"/>
    <w:rsid w:val="008F0928"/>
    <w:rsid w:val="008F120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AD8"/>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39A"/>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E4"/>
    <w:rsid w:val="009855B9"/>
    <w:rsid w:val="00985A0F"/>
    <w:rsid w:val="00986368"/>
    <w:rsid w:val="00986688"/>
    <w:rsid w:val="009869DB"/>
    <w:rsid w:val="00987077"/>
    <w:rsid w:val="00987083"/>
    <w:rsid w:val="00987369"/>
    <w:rsid w:val="0099062D"/>
    <w:rsid w:val="0099089F"/>
    <w:rsid w:val="00990D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9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987"/>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B9"/>
    <w:rsid w:val="00A55C1E"/>
    <w:rsid w:val="00A562FC"/>
    <w:rsid w:val="00A56409"/>
    <w:rsid w:val="00A565D7"/>
    <w:rsid w:val="00A5767D"/>
    <w:rsid w:val="00A579BA"/>
    <w:rsid w:val="00A57B5B"/>
    <w:rsid w:val="00A6089A"/>
    <w:rsid w:val="00A60DAD"/>
    <w:rsid w:val="00A61984"/>
    <w:rsid w:val="00A6234D"/>
    <w:rsid w:val="00A62AAE"/>
    <w:rsid w:val="00A63903"/>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E7"/>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012"/>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C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F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8A0"/>
    <w:rsid w:val="00CA4E7B"/>
    <w:rsid w:val="00CA5A17"/>
    <w:rsid w:val="00CA5EC4"/>
    <w:rsid w:val="00CA6389"/>
    <w:rsid w:val="00CA699F"/>
    <w:rsid w:val="00CA7301"/>
    <w:rsid w:val="00CA7CF9"/>
    <w:rsid w:val="00CB0385"/>
    <w:rsid w:val="00CB0A61"/>
    <w:rsid w:val="00CB0B7D"/>
    <w:rsid w:val="00CB1448"/>
    <w:rsid w:val="00CB23C4"/>
    <w:rsid w:val="00CB355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54"/>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49"/>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10"/>
    <w:rsid w:val="00D12A28"/>
    <w:rsid w:val="00D12A78"/>
    <w:rsid w:val="00D12B31"/>
    <w:rsid w:val="00D131C0"/>
    <w:rsid w:val="00D15504"/>
    <w:rsid w:val="00D15950"/>
    <w:rsid w:val="00D16F80"/>
    <w:rsid w:val="00D170BE"/>
    <w:rsid w:val="00D17F21"/>
    <w:rsid w:val="00D21525"/>
    <w:rsid w:val="00D22922"/>
    <w:rsid w:val="00D2384D"/>
    <w:rsid w:val="00D23B5C"/>
    <w:rsid w:val="00D242C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F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3D"/>
    <w:rsid w:val="00DD7EDD"/>
    <w:rsid w:val="00DE0052"/>
    <w:rsid w:val="00DE08A2"/>
    <w:rsid w:val="00DE0E28"/>
    <w:rsid w:val="00DE138D"/>
    <w:rsid w:val="00DE18C0"/>
    <w:rsid w:val="00DE247B"/>
    <w:rsid w:val="00DE25F8"/>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D9"/>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C6"/>
    <w:rsid w:val="00E86DE1"/>
    <w:rsid w:val="00E86FFF"/>
    <w:rsid w:val="00E877FC"/>
    <w:rsid w:val="00E87BE5"/>
    <w:rsid w:val="00E90119"/>
    <w:rsid w:val="00E91692"/>
    <w:rsid w:val="00E91C6B"/>
    <w:rsid w:val="00E92B28"/>
    <w:rsid w:val="00E9447B"/>
    <w:rsid w:val="00E94538"/>
    <w:rsid w:val="00E94BAB"/>
    <w:rsid w:val="00E94D39"/>
    <w:rsid w:val="00E95408"/>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71"/>
    <w:rsid w:val="00F22233"/>
    <w:rsid w:val="00F2265D"/>
    <w:rsid w:val="00F22B29"/>
    <w:rsid w:val="00F22EEF"/>
    <w:rsid w:val="00F22F17"/>
    <w:rsid w:val="00F2329A"/>
    <w:rsid w:val="00F238B6"/>
    <w:rsid w:val="00F246D6"/>
    <w:rsid w:val="00F2494A"/>
    <w:rsid w:val="00F24E2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D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C04"/>
    <w:rsid w:val="00FE1094"/>
    <w:rsid w:val="00FE3142"/>
    <w:rsid w:val="00FE3C1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2D42C"/>
  <w15:chartTrackingRefBased/>
  <w15:docId w15:val="{EA57B652-98CC-41BA-82C0-F7DB2B2D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0487EA54B6458C9738F3F83812025B"/>
        <w:category>
          <w:name w:val="Allmänt"/>
          <w:gallery w:val="placeholder"/>
        </w:category>
        <w:types>
          <w:type w:val="bbPlcHdr"/>
        </w:types>
        <w:behaviors>
          <w:behavior w:val="content"/>
        </w:behaviors>
        <w:guid w:val="{44A86498-1FF5-4796-9DD2-99D4AFD34B7E}"/>
      </w:docPartPr>
      <w:docPartBody>
        <w:p w:rsidR="00D528A6" w:rsidRDefault="00FF018A">
          <w:pPr>
            <w:pStyle w:val="100487EA54B6458C9738F3F83812025B"/>
          </w:pPr>
          <w:r w:rsidRPr="005A0A93">
            <w:rPr>
              <w:rStyle w:val="Platshllartext"/>
            </w:rPr>
            <w:t>Förslag till riksdagsbeslut</w:t>
          </w:r>
        </w:p>
      </w:docPartBody>
    </w:docPart>
    <w:docPart>
      <w:docPartPr>
        <w:name w:val="9CCA5D7219D144F88A713CB285C35945"/>
        <w:category>
          <w:name w:val="Allmänt"/>
          <w:gallery w:val="placeholder"/>
        </w:category>
        <w:types>
          <w:type w:val="bbPlcHdr"/>
        </w:types>
        <w:behaviors>
          <w:behavior w:val="content"/>
        </w:behaviors>
        <w:guid w:val="{6979558F-682B-4353-A36B-523863D48697}"/>
      </w:docPartPr>
      <w:docPartBody>
        <w:p w:rsidR="00D528A6" w:rsidRDefault="00FF018A">
          <w:pPr>
            <w:pStyle w:val="9CCA5D7219D144F88A713CB285C35945"/>
          </w:pPr>
          <w:r w:rsidRPr="005A0A93">
            <w:rPr>
              <w:rStyle w:val="Platshllartext"/>
            </w:rPr>
            <w:t>Motivering</w:t>
          </w:r>
        </w:p>
      </w:docPartBody>
    </w:docPart>
    <w:docPart>
      <w:docPartPr>
        <w:name w:val="E558DBB8D17E4F18861490A68AEE184F"/>
        <w:category>
          <w:name w:val="Allmänt"/>
          <w:gallery w:val="placeholder"/>
        </w:category>
        <w:types>
          <w:type w:val="bbPlcHdr"/>
        </w:types>
        <w:behaviors>
          <w:behavior w:val="content"/>
        </w:behaviors>
        <w:guid w:val="{8F023E54-1C46-40D9-8256-E73FC71C3F84}"/>
      </w:docPartPr>
      <w:docPartBody>
        <w:p w:rsidR="007229F4" w:rsidRDefault="007229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8A"/>
    <w:rsid w:val="007229F4"/>
    <w:rsid w:val="00CE00E6"/>
    <w:rsid w:val="00D528A6"/>
    <w:rsid w:val="00FF0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0487EA54B6458C9738F3F83812025B">
    <w:name w:val="100487EA54B6458C9738F3F83812025B"/>
  </w:style>
  <w:style w:type="paragraph" w:customStyle="1" w:styleId="9CCA5D7219D144F88A713CB285C35945">
    <w:name w:val="9CCA5D7219D144F88A713CB285C35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643D4-5D08-4561-86AF-A4B69BC44BA5}"/>
</file>

<file path=customXml/itemProps2.xml><?xml version="1.0" encoding="utf-8"?>
<ds:datastoreItem xmlns:ds="http://schemas.openxmlformats.org/officeDocument/2006/customXml" ds:itemID="{A1931F3F-FB16-428C-AF73-37B39568B1ED}"/>
</file>

<file path=customXml/itemProps3.xml><?xml version="1.0" encoding="utf-8"?>
<ds:datastoreItem xmlns:ds="http://schemas.openxmlformats.org/officeDocument/2006/customXml" ds:itemID="{24E2C99F-6276-402E-B1B2-9E21FA536EE8}"/>
</file>

<file path=docProps/app.xml><?xml version="1.0" encoding="utf-8"?>
<Properties xmlns="http://schemas.openxmlformats.org/officeDocument/2006/extended-properties" xmlns:vt="http://schemas.openxmlformats.org/officeDocument/2006/docPropsVTypes">
  <Template>Normal</Template>
  <TotalTime>81</TotalTime>
  <Pages>4</Pages>
  <Words>982</Words>
  <Characters>6212</Characters>
  <Application>Microsoft Office Word</Application>
  <DocSecurity>0</DocSecurity>
  <Lines>121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32  Tilläggsskatt för företag i stora koncerner</vt:lpstr>
      <vt:lpstr>
      </vt:lpstr>
    </vt:vector>
  </TitlesOfParts>
  <Company>Sveriges riksdag</Company>
  <LinksUpToDate>false</LinksUpToDate>
  <CharactersWithSpaces>7162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