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3377F" w:rsidTr="0046202A">
        <w:tc>
          <w:tcPr>
            <w:tcW w:w="2268" w:type="dxa"/>
          </w:tcPr>
          <w:p w:rsidR="0043377F" w:rsidRDefault="0043377F"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43377F" w:rsidRDefault="0043377F" w:rsidP="007242A3">
            <w:pPr>
              <w:framePr w:w="5035" w:h="1644" w:wrap="notBeside" w:vAnchor="page" w:hAnchor="page" w:x="6573" w:y="721"/>
              <w:rPr>
                <w:rFonts w:ascii="TradeGothic" w:hAnsi="TradeGothic"/>
                <w:i/>
                <w:sz w:val="18"/>
              </w:rPr>
            </w:pPr>
          </w:p>
        </w:tc>
      </w:tr>
      <w:tr w:rsidR="0043377F" w:rsidTr="0046202A">
        <w:tc>
          <w:tcPr>
            <w:tcW w:w="5267" w:type="dxa"/>
            <w:gridSpan w:val="3"/>
          </w:tcPr>
          <w:p w:rsidR="0043377F" w:rsidRDefault="0043377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43377F" w:rsidTr="0046202A">
        <w:tc>
          <w:tcPr>
            <w:tcW w:w="3402" w:type="dxa"/>
            <w:gridSpan w:val="2"/>
          </w:tcPr>
          <w:p w:rsidR="0043377F" w:rsidRDefault="0043377F" w:rsidP="007242A3">
            <w:pPr>
              <w:framePr w:w="5035" w:h="1644" w:wrap="notBeside" w:vAnchor="page" w:hAnchor="page" w:x="6573" w:y="721"/>
            </w:pPr>
          </w:p>
        </w:tc>
        <w:tc>
          <w:tcPr>
            <w:tcW w:w="1865" w:type="dxa"/>
          </w:tcPr>
          <w:p w:rsidR="0043377F" w:rsidRDefault="0043377F" w:rsidP="007242A3">
            <w:pPr>
              <w:framePr w:w="5035" w:h="1644" w:wrap="notBeside" w:vAnchor="page" w:hAnchor="page" w:x="6573" w:y="721"/>
            </w:pPr>
          </w:p>
        </w:tc>
      </w:tr>
      <w:tr w:rsidR="0043377F" w:rsidTr="0046202A">
        <w:tc>
          <w:tcPr>
            <w:tcW w:w="2268" w:type="dxa"/>
          </w:tcPr>
          <w:p w:rsidR="0043377F" w:rsidRDefault="0043377F" w:rsidP="007242A3">
            <w:pPr>
              <w:framePr w:w="5035" w:h="1644" w:wrap="notBeside" w:vAnchor="page" w:hAnchor="page" w:x="6573" w:y="721"/>
            </w:pPr>
            <w:r>
              <w:t>2013-05-14</w:t>
            </w:r>
          </w:p>
        </w:tc>
        <w:tc>
          <w:tcPr>
            <w:tcW w:w="2999" w:type="dxa"/>
            <w:gridSpan w:val="2"/>
          </w:tcPr>
          <w:p w:rsidR="0043377F" w:rsidRPr="00ED583F" w:rsidRDefault="0043377F" w:rsidP="007242A3">
            <w:pPr>
              <w:framePr w:w="5035" w:h="1644" w:wrap="notBeside" w:vAnchor="page" w:hAnchor="page" w:x="6573" w:y="721"/>
              <w:rPr>
                <w:sz w:val="20"/>
              </w:rPr>
            </w:pPr>
          </w:p>
        </w:tc>
      </w:tr>
      <w:tr w:rsidR="0043377F" w:rsidTr="0046202A">
        <w:tc>
          <w:tcPr>
            <w:tcW w:w="2268" w:type="dxa"/>
          </w:tcPr>
          <w:p w:rsidR="0043377F" w:rsidRDefault="0043377F" w:rsidP="007242A3">
            <w:pPr>
              <w:framePr w:w="5035" w:h="1644" w:wrap="notBeside" w:vAnchor="page" w:hAnchor="page" w:x="6573" w:y="721"/>
            </w:pPr>
          </w:p>
        </w:tc>
        <w:tc>
          <w:tcPr>
            <w:tcW w:w="2999" w:type="dxa"/>
            <w:gridSpan w:val="2"/>
          </w:tcPr>
          <w:p w:rsidR="0043377F" w:rsidRDefault="0043377F" w:rsidP="007242A3">
            <w:pPr>
              <w:framePr w:w="5035" w:h="1644" w:wrap="notBeside" w:vAnchor="page" w:hAnchor="page" w:x="6573" w:y="721"/>
            </w:pPr>
          </w:p>
        </w:tc>
      </w:tr>
    </w:tbl>
    <w:tbl>
      <w:tblPr>
        <w:tblW w:w="0" w:type="auto"/>
        <w:tblLayout w:type="fixed"/>
        <w:tblLook w:val="0000"/>
      </w:tblPr>
      <w:tblGrid>
        <w:gridCol w:w="4911"/>
      </w:tblGrid>
      <w:tr w:rsidR="0043377F">
        <w:trPr>
          <w:trHeight w:val="284"/>
        </w:trPr>
        <w:tc>
          <w:tcPr>
            <w:tcW w:w="4911" w:type="dxa"/>
          </w:tcPr>
          <w:p w:rsidR="0043377F" w:rsidRDefault="0043377F">
            <w:pPr>
              <w:pStyle w:val="Avsndare"/>
              <w:framePr w:h="2483" w:wrap="notBeside" w:x="1504"/>
              <w:rPr>
                <w:b/>
                <w:i w:val="0"/>
                <w:sz w:val="22"/>
              </w:rPr>
            </w:pPr>
            <w:r>
              <w:rPr>
                <w:b/>
                <w:i w:val="0"/>
                <w:sz w:val="22"/>
              </w:rPr>
              <w:t>Näringsdepartementet</w:t>
            </w:r>
          </w:p>
        </w:tc>
      </w:tr>
      <w:tr w:rsidR="0043377F">
        <w:trPr>
          <w:trHeight w:val="284"/>
        </w:trPr>
        <w:tc>
          <w:tcPr>
            <w:tcW w:w="4911" w:type="dxa"/>
          </w:tcPr>
          <w:p w:rsidR="0043377F" w:rsidRDefault="0043377F">
            <w:pPr>
              <w:pStyle w:val="Avsndare"/>
              <w:framePr w:h="2483" w:wrap="notBeside" w:x="1504"/>
              <w:rPr>
                <w:bCs/>
                <w:iCs/>
              </w:rPr>
            </w:pPr>
          </w:p>
        </w:tc>
      </w:tr>
      <w:tr w:rsidR="0043377F">
        <w:trPr>
          <w:trHeight w:val="284"/>
        </w:trPr>
        <w:tc>
          <w:tcPr>
            <w:tcW w:w="4911" w:type="dxa"/>
          </w:tcPr>
          <w:p w:rsidR="0043377F" w:rsidRDefault="0043377F">
            <w:pPr>
              <w:pStyle w:val="Avsndare"/>
              <w:framePr w:h="2483" w:wrap="notBeside" w:x="1504"/>
              <w:rPr>
                <w:bCs/>
                <w:iCs/>
              </w:rPr>
            </w:pPr>
            <w:r>
              <w:rPr>
                <w:bCs/>
                <w:iCs/>
              </w:rPr>
              <w:t>Energi</w:t>
            </w:r>
          </w:p>
        </w:tc>
      </w:tr>
      <w:tr w:rsidR="0043377F">
        <w:trPr>
          <w:trHeight w:val="284"/>
        </w:trPr>
        <w:tc>
          <w:tcPr>
            <w:tcW w:w="4911" w:type="dxa"/>
          </w:tcPr>
          <w:p w:rsidR="0043377F" w:rsidRDefault="0043377F">
            <w:pPr>
              <w:pStyle w:val="Avsndare"/>
              <w:framePr w:h="2483" w:wrap="notBeside" w:x="1504"/>
              <w:rPr>
                <w:bCs/>
                <w:iCs/>
              </w:rPr>
            </w:pPr>
          </w:p>
        </w:tc>
      </w:tr>
      <w:tr w:rsidR="0043377F">
        <w:trPr>
          <w:trHeight w:val="284"/>
        </w:trPr>
        <w:tc>
          <w:tcPr>
            <w:tcW w:w="4911" w:type="dxa"/>
          </w:tcPr>
          <w:p w:rsidR="0043377F" w:rsidRDefault="0043377F">
            <w:pPr>
              <w:pStyle w:val="Avsndare"/>
              <w:framePr w:h="2483" w:wrap="notBeside" w:x="1504"/>
              <w:rPr>
                <w:bCs/>
                <w:iCs/>
              </w:rPr>
            </w:pPr>
          </w:p>
        </w:tc>
      </w:tr>
      <w:tr w:rsidR="0043377F">
        <w:trPr>
          <w:trHeight w:val="284"/>
        </w:trPr>
        <w:tc>
          <w:tcPr>
            <w:tcW w:w="4911" w:type="dxa"/>
          </w:tcPr>
          <w:p w:rsidR="0043377F" w:rsidRDefault="0043377F">
            <w:pPr>
              <w:pStyle w:val="Avsndare"/>
              <w:framePr w:h="2483" w:wrap="notBeside" w:x="1504"/>
              <w:rPr>
                <w:bCs/>
                <w:iCs/>
              </w:rPr>
            </w:pPr>
          </w:p>
        </w:tc>
      </w:tr>
      <w:tr w:rsidR="0043377F">
        <w:trPr>
          <w:trHeight w:val="284"/>
        </w:trPr>
        <w:tc>
          <w:tcPr>
            <w:tcW w:w="4911" w:type="dxa"/>
          </w:tcPr>
          <w:p w:rsidR="0043377F" w:rsidRDefault="0043377F">
            <w:pPr>
              <w:pStyle w:val="Avsndare"/>
              <w:framePr w:h="2483" w:wrap="notBeside" w:x="1504"/>
              <w:rPr>
                <w:bCs/>
                <w:iCs/>
              </w:rPr>
            </w:pPr>
          </w:p>
        </w:tc>
      </w:tr>
      <w:tr w:rsidR="0043377F">
        <w:trPr>
          <w:trHeight w:val="284"/>
        </w:trPr>
        <w:tc>
          <w:tcPr>
            <w:tcW w:w="4911" w:type="dxa"/>
          </w:tcPr>
          <w:p w:rsidR="0043377F" w:rsidRDefault="0043377F">
            <w:pPr>
              <w:pStyle w:val="Avsndare"/>
              <w:framePr w:h="2483" w:wrap="notBeside" w:x="1504"/>
              <w:rPr>
                <w:bCs/>
                <w:iCs/>
              </w:rPr>
            </w:pPr>
          </w:p>
        </w:tc>
      </w:tr>
      <w:tr w:rsidR="0043377F">
        <w:trPr>
          <w:trHeight w:val="284"/>
        </w:trPr>
        <w:tc>
          <w:tcPr>
            <w:tcW w:w="4911" w:type="dxa"/>
          </w:tcPr>
          <w:p w:rsidR="0043377F" w:rsidRDefault="0043377F">
            <w:pPr>
              <w:pStyle w:val="Avsndare"/>
              <w:framePr w:h="2483" w:wrap="notBeside" w:x="1504"/>
              <w:rPr>
                <w:bCs/>
                <w:iCs/>
              </w:rPr>
            </w:pPr>
          </w:p>
        </w:tc>
      </w:tr>
    </w:tbl>
    <w:p w:rsidR="0043377F" w:rsidRPr="0046202A" w:rsidRDefault="0043377F">
      <w:pPr>
        <w:framePr w:w="4400" w:h="2523" w:wrap="notBeside" w:vAnchor="page" w:hAnchor="page" w:x="6453" w:y="2445"/>
        <w:ind w:left="142"/>
        <w:rPr>
          <w:b/>
        </w:rPr>
      </w:pPr>
    </w:p>
    <w:p w:rsidR="0043377F" w:rsidRDefault="0043377F">
      <w:pPr>
        <w:pStyle w:val="RKrubrik"/>
        <w:pBdr>
          <w:bottom w:val="single" w:sz="6" w:space="1" w:color="auto"/>
        </w:pBdr>
      </w:pPr>
      <w:bookmarkStart w:id="1" w:name="bRubrik"/>
      <w:bookmarkEnd w:id="1"/>
      <w:r>
        <w:t xml:space="preserve">Rådets möte (TTE) den 7 juni 2013 </w:t>
      </w:r>
    </w:p>
    <w:p w:rsidR="0043377F" w:rsidRDefault="0043377F">
      <w:pPr>
        <w:pStyle w:val="RKnormal"/>
      </w:pPr>
    </w:p>
    <w:p w:rsidR="0043377F" w:rsidRDefault="0043377F">
      <w:pPr>
        <w:pStyle w:val="RKnormal"/>
      </w:pPr>
      <w:r>
        <w:t>Dagordningspunkt 11</w:t>
      </w:r>
    </w:p>
    <w:p w:rsidR="0043377F" w:rsidRDefault="0043377F">
      <w:pPr>
        <w:pStyle w:val="RKnormal"/>
      </w:pPr>
    </w:p>
    <w:p w:rsidR="0043377F" w:rsidRDefault="0043377F">
      <w:pPr>
        <w:pStyle w:val="RKnormal"/>
      </w:pPr>
      <w:r>
        <w:t>Rubrik: Kommissionens meddelande Energiteknik och innovation</w:t>
      </w:r>
    </w:p>
    <w:p w:rsidR="0043377F" w:rsidRDefault="0043377F">
      <w:pPr>
        <w:pStyle w:val="RKnormal"/>
      </w:pPr>
    </w:p>
    <w:p w:rsidR="0043377F" w:rsidRDefault="0043377F">
      <w:pPr>
        <w:pStyle w:val="RKnormal"/>
      </w:pPr>
      <w:r>
        <w:t>Dokument: KOM (2013) 253</w:t>
      </w:r>
    </w:p>
    <w:p w:rsidR="0043377F" w:rsidRDefault="0043377F">
      <w:pPr>
        <w:pStyle w:val="RKnormal"/>
      </w:pPr>
    </w:p>
    <w:p w:rsidR="0043377F" w:rsidRDefault="0043377F">
      <w:pPr>
        <w:pStyle w:val="RKnormal"/>
      </w:pPr>
      <w:r>
        <w:t>Tidigare dokument: (Faktapromemoria under beredning)</w:t>
      </w:r>
    </w:p>
    <w:p w:rsidR="0043377F" w:rsidRDefault="0043377F">
      <w:pPr>
        <w:pStyle w:val="RKnormal"/>
      </w:pPr>
    </w:p>
    <w:p w:rsidR="0043377F" w:rsidRDefault="0043377F">
      <w:pPr>
        <w:pStyle w:val="RKnormal"/>
      </w:pPr>
      <w:r>
        <w:t>Tidigare behandlad vid samråd med EU-nämnden: Har inte behandlats vid samråd med EU-nämnden tidigare.</w:t>
      </w:r>
    </w:p>
    <w:p w:rsidR="0043377F" w:rsidRDefault="0043377F">
      <w:pPr>
        <w:pStyle w:val="RKrubrik"/>
      </w:pPr>
      <w:r>
        <w:t>Bakgrund</w:t>
      </w:r>
    </w:p>
    <w:p w:rsidR="0043377F" w:rsidRPr="00487F3E" w:rsidRDefault="0043377F" w:rsidP="00487F3E">
      <w:pPr>
        <w:pStyle w:val="RKnormal"/>
        <w:spacing w:before="120" w:after="120" w:line="280" w:lineRule="atLeast"/>
      </w:pPr>
      <w:r w:rsidRPr="00487F3E">
        <w:t>Energiteknik och innovation är en integrerad del av den europeiska energipolitiken. Vid det Europeiska rådets vårtoppmöte 2007 antogs de s.k. 20-20-20-målen som ska vara uppfyllda år 2020. Vid sidan om dessa mål antogs en energipolitisk handlingsplan som lyfter fram behovet av att stärka energiforskningen. Europeiska rådet uppmanade kommissionen att ta fram en strategisk handlingsplan för energiteknik.</w:t>
      </w:r>
    </w:p>
    <w:p w:rsidR="0043377F" w:rsidRDefault="0043377F" w:rsidP="00487F3E">
      <w:pPr>
        <w:pStyle w:val="RKnormal"/>
        <w:spacing w:before="120" w:after="120" w:line="280" w:lineRule="atLeast"/>
      </w:pPr>
      <w:r w:rsidRPr="00487F3E">
        <w:t>Med utgångspunkt i handlingsplanen presenterade kommissionen den 22 november 2007 med</w:t>
      </w:r>
      <w:r w:rsidRPr="00487F3E">
        <w:softHyphen/>
        <w:t xml:space="preserve">delandet </w:t>
      </w:r>
      <w:r w:rsidRPr="00487F3E">
        <w:rPr>
          <w:i/>
        </w:rPr>
        <w:t>En Europeisk strategisk plan för energiteknik (SET-Plan) - mot en framtid med låga koldioxidutsläpp</w:t>
      </w:r>
      <w:r w:rsidRPr="00487F3E">
        <w:t xml:space="preserve"> </w:t>
      </w:r>
      <w:r w:rsidRPr="00203994">
        <w:t>KOM</w:t>
      </w:r>
      <w:r>
        <w:t xml:space="preserve"> </w:t>
      </w:r>
      <w:r w:rsidRPr="00203994">
        <w:t xml:space="preserve">(2007) </w:t>
      </w:r>
      <w:r>
        <w:t>723</w:t>
      </w:r>
      <w:r w:rsidRPr="00203994">
        <w:t xml:space="preserve"> slutlig</w:t>
      </w:r>
      <w:r>
        <w:t xml:space="preserve">, FPM </w:t>
      </w:r>
      <w:r w:rsidRPr="00B12B3F">
        <w:t>2007/08:49).</w:t>
      </w:r>
      <w:r w:rsidRPr="00487F3E">
        <w:t xml:space="preserve"> </w:t>
      </w:r>
    </w:p>
    <w:p w:rsidR="0043377F" w:rsidRPr="00487F3E" w:rsidRDefault="0043377F" w:rsidP="00487F3E">
      <w:pPr>
        <w:pStyle w:val="RKnormal"/>
        <w:spacing w:before="120" w:after="120" w:line="280" w:lineRule="atLeast"/>
      </w:pPr>
      <w:r w:rsidRPr="00487F3E">
        <w:t>Den strategiska energiteknikplanen utgår från behovet av ny teknik för att kunna uppnå de mål som satts för utsläpp för växthusgaser, förnybar energi och energieffektivitet för 2020 och 2050, och föreslår ett nytt tillvägagångs</w:t>
      </w:r>
      <w:r w:rsidRPr="00487F3E">
        <w:softHyphen/>
        <w:t>sätt när det gäller forskning och utveckling på energiområdet samt fullt ut</w:t>
      </w:r>
      <w:r w:rsidRPr="00487F3E">
        <w:softHyphen/>
        <w:t xml:space="preserve">nyttjande av de möjligheter den inre marknaden ger. </w:t>
      </w:r>
    </w:p>
    <w:p w:rsidR="0043377F" w:rsidRPr="00487F3E" w:rsidRDefault="0043377F" w:rsidP="00452D07">
      <w:pPr>
        <w:spacing w:before="120" w:after="120" w:line="280" w:lineRule="atLeast"/>
      </w:pPr>
      <w:r w:rsidRPr="00487F3E">
        <w:t xml:space="preserve">En högnivågrupp med representanter för medlemsstaterna har bildats för gemensam strategisk planering. Dessutom har ett informations- och kunskapshanteringssystem med öppen åtkomst kallat SETIS (Strategic Energy Technology Information System) etablerats, liksom en europeisk energiforskningsallians (EERA) för samarbete mellan europeiska forskningsinstitut. </w:t>
      </w:r>
    </w:p>
    <w:p w:rsidR="0043377F" w:rsidRPr="00487F3E" w:rsidRDefault="0043377F" w:rsidP="00452D07">
      <w:pPr>
        <w:spacing w:before="120" w:after="120" w:line="280" w:lineRule="atLeast"/>
      </w:pPr>
      <w:r w:rsidRPr="00487F3E">
        <w:t>Strategiska insatser har organiseras inom sju s.k. europeiska närings</w:t>
      </w:r>
      <w:r w:rsidRPr="00487F3E">
        <w:softHyphen/>
        <w:t>livs</w:t>
      </w:r>
      <w:r w:rsidRPr="00487F3E">
        <w:softHyphen/>
        <w:t>initiativ (European Industrial Initiatives, EII) kring vindkraft, solkraft, bio</w:t>
      </w:r>
      <w:r w:rsidRPr="00487F3E">
        <w:softHyphen/>
        <w:t>energi, elnät (smarta nät), s.k. Smart Cities, hållbart ut</w:t>
      </w:r>
      <w:r w:rsidRPr="00487F3E">
        <w:softHyphen/>
        <w:t>nyttjande av fissionsteknik, samt avskiljning, transport och lagring av kol</w:t>
      </w:r>
      <w:r w:rsidRPr="00487F3E">
        <w:softHyphen/>
        <w:t xml:space="preserve">dioxid. </w:t>
      </w:r>
    </w:p>
    <w:p w:rsidR="0043377F" w:rsidRPr="00487F3E" w:rsidRDefault="0043377F" w:rsidP="00452D07">
      <w:pPr>
        <w:spacing w:before="120" w:after="120" w:line="280" w:lineRule="atLeast"/>
      </w:pPr>
      <w:r w:rsidRPr="00487F3E">
        <w:t>Verksamheten inom de olika näringslivsinitiativen bygger på färd</w:t>
      </w:r>
      <w:r w:rsidRPr="00487F3E">
        <w:softHyphen/>
        <w:t>planer och genomförandeplaner som tagits fram av intressenter och näringsliv på respektive område. Finansieringen av dessa insatser kan vara av olika slag, men bygger</w:t>
      </w:r>
      <w:r w:rsidRPr="00487F3E">
        <w:rPr>
          <w:color w:val="000000"/>
          <w:lang w:eastAsia="sv-SE"/>
        </w:rPr>
        <w:t xml:space="preserve"> gene</w:t>
      </w:r>
      <w:r w:rsidRPr="00487F3E">
        <w:rPr>
          <w:color w:val="000000"/>
          <w:lang w:eastAsia="sv-SE"/>
        </w:rPr>
        <w:softHyphen/>
        <w:t>rellt på samfinansiering mellan EU, medlemsstaterna och närings</w:t>
      </w:r>
      <w:r w:rsidRPr="00487F3E">
        <w:rPr>
          <w:color w:val="000000"/>
          <w:lang w:eastAsia="sv-SE"/>
        </w:rPr>
        <w:softHyphen/>
        <w:t>livet</w:t>
      </w:r>
      <w:r w:rsidRPr="00487F3E">
        <w:t xml:space="preserve"> </w:t>
      </w:r>
    </w:p>
    <w:p w:rsidR="0043377F" w:rsidRPr="00487F3E" w:rsidRDefault="0043377F" w:rsidP="00CD6D07">
      <w:pPr>
        <w:spacing w:before="120" w:after="120" w:line="280" w:lineRule="atLeast"/>
      </w:pPr>
      <w:r w:rsidRPr="00487F3E">
        <w:t>Vid Europeiska rådet den 4 februari 2011 och vid energirådet den 28 februari 2011 antogs en ny energipolitisk handlingsplan för åren 2011–2020 (Faktapromemoria 2010/11:FPM43). I handlingsplanen fästs stor vikt vid energiteknik och innovation för att stödja de tre benen i energi</w:t>
      </w:r>
      <w:r w:rsidRPr="00487F3E">
        <w:softHyphen/>
        <w:t>politiken; hållbarhet, konkurrenskraft och försörjningstrygghet.</w:t>
      </w:r>
    </w:p>
    <w:p w:rsidR="0043377F" w:rsidRDefault="0043377F" w:rsidP="00CD6D07">
      <w:pPr>
        <w:spacing w:before="120" w:after="120" w:line="280" w:lineRule="atLeast"/>
      </w:pPr>
      <w:r>
        <w:t xml:space="preserve">I oktober 2009 antogs ett mål för EU att minska utsläppen av växthusgaser med 80-95 procent till 2050 för att tvågradersmålet ska kunna uppfyllas. </w:t>
      </w:r>
      <w:r w:rsidRPr="00487F3E">
        <w:t>Under 2011 lade kommissionen fram tre färdplaner för klimat, transport respektive energiområdet för att diskutera hur målet ska kunna nås. Kommissionens meddelande Energifärdplan 2050 presenterades 15 december 2011</w:t>
      </w:r>
      <w:r w:rsidRPr="00644240">
        <w:t xml:space="preserve"> </w:t>
      </w:r>
      <w:r>
        <w:t>(</w:t>
      </w:r>
      <w:r w:rsidRPr="00487F3E">
        <w:t xml:space="preserve">KOM (2011) 885, FPM2011/12:95). Flera följdmeddelanden har sedan dess presenteras som fokuserar på olika aspekter av energipolitiken ur ett 2050-perspektiv. </w:t>
      </w:r>
    </w:p>
    <w:p w:rsidR="0043377F" w:rsidRPr="00487F3E" w:rsidRDefault="0043377F" w:rsidP="00CD6D07">
      <w:pPr>
        <w:spacing w:before="120" w:after="120" w:line="280" w:lineRule="atLeast"/>
      </w:pPr>
      <w:r>
        <w:t>Den 2 maj 2013 presenterade kommissionen ett meddelande</w:t>
      </w:r>
      <w:r w:rsidRPr="00487F3E">
        <w:t xml:space="preserve"> om energiteknik och innovation</w:t>
      </w:r>
      <w:r>
        <w:t xml:space="preserve"> som</w:t>
      </w:r>
      <w:r w:rsidRPr="0038001D">
        <w:t xml:space="preserve"> kan ses som en uppföljning av befintliga initiativ inom omr</w:t>
      </w:r>
      <w:r>
        <w:t xml:space="preserve">ådet och </w:t>
      </w:r>
      <w:r w:rsidRPr="00487F3E">
        <w:t>av Energifärdplan 2050.</w:t>
      </w:r>
      <w:r>
        <w:t xml:space="preserve"> Det är ännu inte klart om ordförandeskapet avser att anta rådsslutsatser på basis av meddelandet.</w:t>
      </w:r>
    </w:p>
    <w:p w:rsidR="0043377F" w:rsidRDefault="0043377F">
      <w:pPr>
        <w:pStyle w:val="RKrubrik"/>
      </w:pPr>
      <w:r>
        <w:t>Rättslig grund och beslutsförfarande</w:t>
      </w:r>
    </w:p>
    <w:p w:rsidR="0043377F" w:rsidRDefault="0043377F">
      <w:pPr>
        <w:pStyle w:val="RKnormal"/>
      </w:pPr>
      <w:r>
        <w:t>Ej relevant. Inga beslut avses fattas vid rådsmötet.</w:t>
      </w:r>
    </w:p>
    <w:p w:rsidR="0043377F" w:rsidRDefault="0043377F">
      <w:pPr>
        <w:pStyle w:val="RKrubrik"/>
        <w:rPr>
          <w:i/>
          <w:iCs/>
        </w:rPr>
      </w:pPr>
      <w:r>
        <w:rPr>
          <w:i/>
          <w:iCs/>
        </w:rPr>
        <w:t>Svensk ståndpunkt</w:t>
      </w:r>
    </w:p>
    <w:p w:rsidR="0043377F" w:rsidRPr="00487F3E" w:rsidRDefault="0043377F" w:rsidP="00487F3E">
      <w:pPr>
        <w:pStyle w:val="RKnormal"/>
        <w:spacing w:before="120" w:after="120" w:line="280" w:lineRule="atLeast"/>
      </w:pPr>
      <w:r w:rsidRPr="00487F3E">
        <w:t>Regeringen välkomnar kommissionens meddelande och förslaget till en strategi för energiteknik och inno</w:t>
      </w:r>
      <w:r w:rsidRPr="00487F3E">
        <w:softHyphen/>
        <w:t xml:space="preserve">vation med sikte på tiden bortom 2020. </w:t>
      </w:r>
    </w:p>
    <w:p w:rsidR="0043377F" w:rsidRPr="00487F3E" w:rsidRDefault="0043377F" w:rsidP="00487F3E">
      <w:pPr>
        <w:pStyle w:val="RKnormal"/>
        <w:spacing w:before="120" w:after="120" w:line="280" w:lineRule="atLeast"/>
      </w:pPr>
      <w:r w:rsidRPr="00487F3E">
        <w:t>Regeringen ser forskning utveckling och innovation som en viktig förutsättning för att möjliggöra utvecklingen av ett långsiktigt hållbart energisystem, för att öka möjligheterna att möta de stora samhällsutmaningarna kring energi, klimat och miljö, och som centralt för att EU ska uppnå uppsatta klimat- och energimål till 2020 och 2050.</w:t>
      </w:r>
    </w:p>
    <w:p w:rsidR="0043377F" w:rsidRPr="00487F3E" w:rsidRDefault="0043377F" w:rsidP="00487F3E">
      <w:pPr>
        <w:pStyle w:val="RKnormal"/>
        <w:spacing w:before="120" w:after="120" w:line="280" w:lineRule="atLeast"/>
      </w:pPr>
      <w:r w:rsidRPr="00487F3E">
        <w:t>Regeringen instämmer i de utgångspunkter kommissionen redovisar om europeisk nytta, energisystemperspektiv, integrerade insatser längs hela innovations</w:t>
      </w:r>
      <w:r w:rsidRPr="00487F3E">
        <w:softHyphen/>
        <w:t xml:space="preserve">processen, förstärkta länkar till energipolitiken, användandet av en portfölj av finansiella instrument, m.m. </w:t>
      </w:r>
    </w:p>
    <w:p w:rsidR="0043377F" w:rsidRPr="00487F3E" w:rsidRDefault="0043377F" w:rsidP="00487F3E">
      <w:pPr>
        <w:pStyle w:val="RKnormal"/>
        <w:spacing w:before="120" w:after="120" w:line="280" w:lineRule="atLeast"/>
      </w:pPr>
      <w:r w:rsidRPr="00487F3E">
        <w:t xml:space="preserve">Regeringen välkomnar förslaget att ta fram en integrerad färdplan. </w:t>
      </w:r>
    </w:p>
    <w:p w:rsidR="0043377F" w:rsidRPr="00487F3E" w:rsidRDefault="0043377F" w:rsidP="00487F3E">
      <w:pPr>
        <w:pStyle w:val="RKnormal"/>
        <w:spacing w:before="120" w:after="120" w:line="280" w:lineRule="atLeast"/>
      </w:pPr>
      <w:r w:rsidRPr="00487F3E">
        <w:t>Regeringen menar dock att det är viktigt att koordinering och samverkan av insatser för forskning, utveckling och innovation mellan medlemsstater bygger på fri</w:t>
      </w:r>
      <w:r w:rsidRPr="00487F3E">
        <w:softHyphen/>
        <w:t xml:space="preserve">villigt samarbete. </w:t>
      </w:r>
    </w:p>
    <w:p w:rsidR="0043377F" w:rsidRPr="00487F3E" w:rsidRDefault="0043377F" w:rsidP="00487F3E">
      <w:pPr>
        <w:pStyle w:val="RKnormal"/>
        <w:spacing w:before="120" w:after="120" w:line="280" w:lineRule="atLeast"/>
      </w:pPr>
      <w:r w:rsidRPr="00487F3E">
        <w:t xml:space="preserve">Regeringen anser att förslaget att en handlingsplan framtagen på EU-nivå ska styra medlemsländernas investeringar i insatser kring forskning och innovation på energiområdet är för långtgående. </w:t>
      </w:r>
    </w:p>
    <w:p w:rsidR="0043377F" w:rsidRPr="00487F3E" w:rsidRDefault="0043377F" w:rsidP="00487F3E">
      <w:pPr>
        <w:pStyle w:val="RKnormal"/>
        <w:spacing w:before="120" w:after="120" w:line="280" w:lineRule="atLeast"/>
      </w:pPr>
      <w:r w:rsidRPr="00487F3E">
        <w:t xml:space="preserve">Regeringen anser inte att medlemsstaterna bör överlåta prioriteringen av nationella insatser på EU, och förbigå de processer som etablerats på nationell nivå för att säkra fokusering, relevans och kvalitet. </w:t>
      </w:r>
    </w:p>
    <w:p w:rsidR="0043377F" w:rsidRDefault="0043377F">
      <w:pPr>
        <w:pStyle w:val="RKrubrik"/>
      </w:pPr>
      <w:r>
        <w:t>Europaparlamentets inställning</w:t>
      </w:r>
    </w:p>
    <w:p w:rsidR="0043377F" w:rsidRDefault="0043377F">
      <w:pPr>
        <w:pStyle w:val="RKnormal"/>
      </w:pPr>
      <w:r>
        <w:t xml:space="preserve">Europaparlamentets inställning är okänd. </w:t>
      </w:r>
    </w:p>
    <w:p w:rsidR="0043377F" w:rsidRDefault="0043377F">
      <w:pPr>
        <w:pStyle w:val="RKrubrik"/>
        <w:rPr>
          <w:i/>
          <w:iCs/>
        </w:rPr>
      </w:pPr>
      <w:r>
        <w:rPr>
          <w:i/>
          <w:iCs/>
        </w:rPr>
        <w:t>Förslaget</w:t>
      </w:r>
    </w:p>
    <w:p w:rsidR="0043377F" w:rsidRPr="00487F3E" w:rsidRDefault="0043377F" w:rsidP="00487F3E">
      <w:pPr>
        <w:pStyle w:val="RKnormal"/>
        <w:spacing w:before="120" w:after="120" w:line="280" w:lineRule="atLeast"/>
      </w:pPr>
      <w:r w:rsidRPr="00487F3E">
        <w:t>Meddelandet utgår från behovet av en stark och dynamisk teknik- och inno</w:t>
      </w:r>
      <w:r w:rsidRPr="00487F3E">
        <w:softHyphen/>
        <w:t xml:space="preserve">vationspolitik på energiområdet inom EU för att bidra till möjligheterna att nå målen för 2020 och 2050. </w:t>
      </w:r>
    </w:p>
    <w:p w:rsidR="0043377F" w:rsidRDefault="0043377F" w:rsidP="00487F3E">
      <w:pPr>
        <w:pStyle w:val="RKnormal"/>
        <w:spacing w:before="120" w:after="120" w:line="280" w:lineRule="atLeast"/>
      </w:pPr>
      <w:r w:rsidRPr="00487F3E">
        <w:t>Kommissionen anser att en sådan teknik- och innovationspolitik bör utformas för att samverka med andra insatser inom EU:s energipolitik i främjandet av introduktionen av ny teknik och nya lösningar på marknaden; exempelvis lagstiftning om den inre marknaden, energieffektivi</w:t>
      </w:r>
      <w:r w:rsidRPr="00487F3E">
        <w:softHyphen/>
        <w:t xml:space="preserve">sering och introduktionen av förnybar energi. Kommissionen anser att EU-lagstiftning på dessa områden bidragit till utvecklingen introduktionen av nya lösningar. </w:t>
      </w:r>
    </w:p>
    <w:p w:rsidR="0043377F" w:rsidRPr="00487F3E" w:rsidRDefault="0043377F" w:rsidP="00487F3E">
      <w:pPr>
        <w:pStyle w:val="RKnormal"/>
        <w:spacing w:before="120" w:after="120" w:line="280" w:lineRule="atLeast"/>
      </w:pPr>
      <w:r w:rsidRPr="00487F3E">
        <w:t>I meddelandet redogör kommissionen för befintliga initiativ på området, bland annat Innovationsunionen, EU:s strategiska energiteknikplan (SET-Plan), innovationsprogrammet Intelligent Energi Europa och Sjunde ramprogrammet för forskning och utveckling. Meddelandet tar också hänsyn till förslaget till kommande ramprogram, Horisont 2020.</w:t>
      </w:r>
    </w:p>
    <w:p w:rsidR="0043377F" w:rsidRPr="00487F3E" w:rsidRDefault="0043377F" w:rsidP="00487F3E">
      <w:pPr>
        <w:pStyle w:val="RKnormal"/>
        <w:spacing w:before="120" w:after="120" w:line="280" w:lineRule="atLeast"/>
      </w:pPr>
      <w:r w:rsidRPr="00487F3E">
        <w:t xml:space="preserve">Kommissionen konstaterar att EU är på rätt väg men att mer måste göras. Till exempel anser kommissionen att SET-planen i större utsträckning behöver anlägga ett systemperspektiv. Kommissionen menar också att de europeiska industriinitiativen och EERA behöver koordineras bättre. Vidare anser kommissionen att medlemsstaterna visserligen har gemensamma mål för energiforskningen, men att deras arbete med SET-planen är sub-optimalt. Kommissionen </w:t>
      </w:r>
      <w:r>
        <w:t>anser</w:t>
      </w:r>
      <w:r w:rsidRPr="00487F3E">
        <w:t xml:space="preserve"> att </w:t>
      </w:r>
      <w:r>
        <w:t>s</w:t>
      </w:r>
      <w:r w:rsidRPr="00487F3E">
        <w:t xml:space="preserve">amordnade och/eller gemensamma investeringar mellan EU och medlemsstaterna måste främjas för att ge privata investeringar.  </w:t>
      </w:r>
    </w:p>
    <w:p w:rsidR="0043377F" w:rsidRPr="00487F3E" w:rsidRDefault="0043377F" w:rsidP="00487F3E">
      <w:pPr>
        <w:pStyle w:val="RKnormal"/>
        <w:spacing w:before="120" w:after="120" w:line="280" w:lineRule="atLeast"/>
      </w:pPr>
      <w:r w:rsidRPr="00487F3E">
        <w:t>Kommissionen anser också att det behövs tydligare åtaganden från industrin på basis av gemensamma mål. Programmet för intelligent energi framhålls som ett bra exempel för att eliminera icke-tekniska hinder för marknadsintroduktion av energiteknik, och kommissionen menar att modellen skulle kunna användas inom andra områden.</w:t>
      </w:r>
    </w:p>
    <w:p w:rsidR="0043377F" w:rsidRPr="00487F3E" w:rsidRDefault="0043377F" w:rsidP="00487F3E">
      <w:pPr>
        <w:pStyle w:val="RKnormal"/>
      </w:pPr>
      <w:r w:rsidRPr="00487F3E">
        <w:t xml:space="preserve">Mot bakgrund av sina slutsatser om det befintliga ramverket förslår kommissionen en strategi för teknologi och innovation till 2020 och </w:t>
      </w:r>
      <w:r>
        <w:t xml:space="preserve">tiden </w:t>
      </w:r>
      <w:r w:rsidRPr="00487F3E">
        <w:t>därefter och anger ett antal principer för denna. Strategin ska:</w:t>
      </w:r>
    </w:p>
    <w:p w:rsidR="0043377F" w:rsidRPr="00487F3E" w:rsidRDefault="0043377F" w:rsidP="00226D53">
      <w:pPr>
        <w:pStyle w:val="ListParagraph"/>
        <w:numPr>
          <w:ilvl w:val="0"/>
          <w:numId w:val="1"/>
        </w:numPr>
        <w:spacing w:before="40" w:after="40" w:line="240" w:lineRule="auto"/>
        <w:ind w:left="714" w:hanging="357"/>
        <w:contextualSpacing w:val="0"/>
        <w:rPr>
          <w:rFonts w:ascii="OrigGarmnd BT" w:hAnsi="OrigGarmnd BT"/>
          <w:sz w:val="24"/>
        </w:rPr>
      </w:pPr>
      <w:r w:rsidRPr="00487F3E">
        <w:rPr>
          <w:rFonts w:ascii="OrigGarmnd BT" w:hAnsi="OrigGarmnd BT"/>
          <w:sz w:val="24"/>
        </w:rPr>
        <w:t>Fokusera på områden där gemensamma insatser kan ge betydande europeisk nytta</w:t>
      </w:r>
    </w:p>
    <w:p w:rsidR="0043377F" w:rsidRPr="00487F3E" w:rsidRDefault="0043377F" w:rsidP="00226D53">
      <w:pPr>
        <w:pStyle w:val="ListParagraph"/>
        <w:numPr>
          <w:ilvl w:val="0"/>
          <w:numId w:val="1"/>
        </w:numPr>
        <w:spacing w:before="40" w:after="40" w:line="240" w:lineRule="auto"/>
        <w:ind w:left="714" w:hanging="357"/>
        <w:contextualSpacing w:val="0"/>
        <w:rPr>
          <w:rFonts w:ascii="OrigGarmnd BT" w:hAnsi="OrigGarmnd BT"/>
          <w:sz w:val="24"/>
        </w:rPr>
      </w:pPr>
      <w:r w:rsidRPr="00487F3E">
        <w:rPr>
          <w:rFonts w:ascii="OrigGarmnd BT" w:hAnsi="OrigGarmnd BT"/>
          <w:sz w:val="24"/>
        </w:rPr>
        <w:t>Utgå från ett energisystemperspektiv när insatser prioriteras</w:t>
      </w:r>
    </w:p>
    <w:p w:rsidR="0043377F" w:rsidRPr="00487F3E" w:rsidRDefault="0043377F" w:rsidP="00226D53">
      <w:pPr>
        <w:pStyle w:val="ListParagraph"/>
        <w:numPr>
          <w:ilvl w:val="0"/>
          <w:numId w:val="1"/>
        </w:numPr>
        <w:spacing w:before="40" w:after="40" w:line="240" w:lineRule="auto"/>
        <w:ind w:left="714" w:hanging="357"/>
        <w:contextualSpacing w:val="0"/>
        <w:rPr>
          <w:rFonts w:ascii="OrigGarmnd BT" w:hAnsi="OrigGarmnd BT"/>
          <w:sz w:val="24"/>
        </w:rPr>
      </w:pPr>
      <w:r w:rsidRPr="00487F3E">
        <w:rPr>
          <w:rFonts w:ascii="OrigGarmnd BT" w:hAnsi="OrigGarmnd BT"/>
          <w:sz w:val="24"/>
        </w:rPr>
        <w:t>Integrera insatser längs hela innovationsprocessen och förstärka länkarna till energipolitiken</w:t>
      </w:r>
    </w:p>
    <w:p w:rsidR="0043377F" w:rsidRPr="00487F3E" w:rsidRDefault="0043377F" w:rsidP="00226D53">
      <w:pPr>
        <w:pStyle w:val="ListParagraph"/>
        <w:numPr>
          <w:ilvl w:val="0"/>
          <w:numId w:val="1"/>
        </w:numPr>
        <w:spacing w:before="40" w:after="40" w:line="240" w:lineRule="auto"/>
        <w:ind w:left="714" w:hanging="357"/>
        <w:contextualSpacing w:val="0"/>
        <w:rPr>
          <w:rFonts w:ascii="OrigGarmnd BT" w:hAnsi="OrigGarmnd BT"/>
          <w:sz w:val="24"/>
        </w:rPr>
      </w:pPr>
      <w:r w:rsidRPr="00487F3E">
        <w:rPr>
          <w:rFonts w:ascii="OrigGarmnd BT" w:hAnsi="OrigGarmnd BT"/>
          <w:sz w:val="24"/>
        </w:rPr>
        <w:t>Lägga samman resurser från olika källor och använda en portfölj av finansiella instrument</w:t>
      </w:r>
    </w:p>
    <w:p w:rsidR="0043377F" w:rsidRPr="00487F3E" w:rsidRDefault="0043377F" w:rsidP="00226D53">
      <w:pPr>
        <w:pStyle w:val="ListParagraph"/>
        <w:numPr>
          <w:ilvl w:val="0"/>
          <w:numId w:val="1"/>
        </w:numPr>
        <w:spacing w:before="40" w:after="40" w:line="240" w:lineRule="auto"/>
        <w:ind w:left="714" w:hanging="357"/>
        <w:contextualSpacing w:val="0"/>
        <w:rPr>
          <w:rFonts w:ascii="OrigGarmnd BT" w:hAnsi="OrigGarmnd BT"/>
          <w:sz w:val="24"/>
        </w:rPr>
      </w:pPr>
      <w:r w:rsidRPr="00487F3E">
        <w:rPr>
          <w:rFonts w:ascii="OrigGarmnd BT" w:hAnsi="OrigGarmnd BT"/>
          <w:sz w:val="24"/>
        </w:rPr>
        <w:t>Koncentrera insatserna på de mest lovande lösningarna för tiden efter 2020 samtidigt som man håller öppet för andra, tillkommande möj</w:t>
      </w:r>
      <w:r w:rsidRPr="00487F3E">
        <w:rPr>
          <w:rFonts w:ascii="OrigGarmnd BT" w:hAnsi="OrigGarmnd BT"/>
          <w:sz w:val="24"/>
        </w:rPr>
        <w:softHyphen/>
        <w:t xml:space="preserve">ligheter. </w:t>
      </w:r>
    </w:p>
    <w:p w:rsidR="0043377F" w:rsidRPr="00487F3E" w:rsidRDefault="0043377F" w:rsidP="00487F3E">
      <w:pPr>
        <w:pStyle w:val="RKnormal"/>
        <w:spacing w:before="120" w:after="120" w:line="280" w:lineRule="atLeast"/>
      </w:pPr>
      <w:r w:rsidRPr="00487F3E">
        <w:t>Kommissionen vill att strategin ska bidra inom några nyckelområden</w:t>
      </w:r>
    </w:p>
    <w:p w:rsidR="0043377F" w:rsidRPr="00487F3E" w:rsidRDefault="0043377F" w:rsidP="00487F3E">
      <w:pPr>
        <w:pStyle w:val="RKnormal"/>
        <w:numPr>
          <w:ilvl w:val="0"/>
          <w:numId w:val="5"/>
        </w:numPr>
      </w:pPr>
      <w:r w:rsidRPr="00487F3E">
        <w:t>till att realisera energieffektiviseringens fulla potential, med fokus på slutanvändning</w:t>
      </w:r>
    </w:p>
    <w:p w:rsidR="0043377F" w:rsidRPr="00487F3E" w:rsidRDefault="0043377F" w:rsidP="00487F3E">
      <w:pPr>
        <w:pStyle w:val="RKnormal"/>
        <w:numPr>
          <w:ilvl w:val="0"/>
          <w:numId w:val="5"/>
        </w:numPr>
      </w:pPr>
      <w:r w:rsidRPr="00487F3E">
        <w:t>till att leverera lösningar för ett rent, hållbart, säkert och effektivt energi</w:t>
      </w:r>
      <w:r w:rsidRPr="00487F3E">
        <w:softHyphen/>
        <w:t xml:space="preserve">system, </w:t>
      </w:r>
    </w:p>
    <w:p w:rsidR="0043377F" w:rsidRPr="00487F3E" w:rsidRDefault="0043377F" w:rsidP="00487F3E">
      <w:pPr>
        <w:pStyle w:val="RKnormal"/>
        <w:numPr>
          <w:ilvl w:val="0"/>
          <w:numId w:val="5"/>
        </w:numPr>
      </w:pPr>
      <w:r w:rsidRPr="00487F3E">
        <w:t>till att främja innovation i verkliga miljöer och med ett marknads</w:t>
      </w:r>
      <w:r w:rsidRPr="00487F3E">
        <w:softHyphen/>
        <w:t>drivet angreppssätt,</w:t>
      </w:r>
    </w:p>
    <w:p w:rsidR="0043377F" w:rsidRPr="00487F3E" w:rsidRDefault="0043377F" w:rsidP="00487F3E">
      <w:pPr>
        <w:pStyle w:val="RKnormal"/>
        <w:spacing w:before="120" w:after="120" w:line="280" w:lineRule="atLeast"/>
      </w:pPr>
      <w:r w:rsidRPr="00487F3E">
        <w:t xml:space="preserve">Kommissionen föreslår i meddelandet att strategin ska bygga vidare utifrån de aktörer och processer som etablerats inom SET-planarbetet och implementeras genom att: </w:t>
      </w:r>
    </w:p>
    <w:p w:rsidR="0043377F" w:rsidRPr="00487F3E" w:rsidRDefault="0043377F" w:rsidP="00927FCC">
      <w:pPr>
        <w:pStyle w:val="ListParagraph"/>
        <w:numPr>
          <w:ilvl w:val="0"/>
          <w:numId w:val="1"/>
        </w:numPr>
        <w:spacing w:before="40" w:after="40" w:line="240" w:lineRule="auto"/>
        <w:ind w:left="714" w:hanging="357"/>
        <w:contextualSpacing w:val="0"/>
        <w:rPr>
          <w:rFonts w:ascii="OrigGarmnd BT" w:hAnsi="OrigGarmnd BT"/>
          <w:sz w:val="24"/>
        </w:rPr>
      </w:pPr>
      <w:r w:rsidRPr="00487F3E">
        <w:rPr>
          <w:rFonts w:ascii="OrigGarmnd BT" w:hAnsi="OrigGarmnd BT"/>
          <w:sz w:val="24"/>
        </w:rPr>
        <w:t xml:space="preserve">Kommissionen och medlemsstaterna tillsammans ska ta fram en integrerad färdplan för </w:t>
      </w:r>
      <w:r>
        <w:rPr>
          <w:rFonts w:ascii="OrigGarmnd BT" w:hAnsi="OrigGarmnd BT"/>
          <w:sz w:val="24"/>
        </w:rPr>
        <w:t xml:space="preserve">forskning och innovation inom </w:t>
      </w:r>
      <w:r w:rsidRPr="00487F3E">
        <w:rPr>
          <w:rFonts w:ascii="OrigGarmnd BT" w:hAnsi="OrigGarmnd BT"/>
          <w:sz w:val="24"/>
        </w:rPr>
        <w:t>hela energiområdet, med utgångspunkt i de principer som angetts i meddelandet. Färdplanen ska konsolidera de enskilda tekniska färdplaner som tagits fram inom de olika euro</w:t>
      </w:r>
      <w:r w:rsidRPr="00487F3E">
        <w:rPr>
          <w:rFonts w:ascii="OrigGarmnd BT" w:hAnsi="OrigGarmnd BT"/>
          <w:sz w:val="24"/>
        </w:rPr>
        <w:softHyphen/>
        <w:t>peiska näringslivsinitiativen. Det ska täcka hela innovations</w:t>
      </w:r>
      <w:r w:rsidRPr="00487F3E">
        <w:rPr>
          <w:rFonts w:ascii="OrigGarmnd BT" w:hAnsi="OrigGarmnd BT"/>
          <w:sz w:val="24"/>
        </w:rPr>
        <w:softHyphen/>
        <w:t>processen från grundforskning till marknadsintroduktion och identi</w:t>
      </w:r>
      <w:r w:rsidRPr="00487F3E">
        <w:rPr>
          <w:rFonts w:ascii="OrigGarmnd BT" w:hAnsi="OrigGarmnd BT"/>
          <w:sz w:val="24"/>
        </w:rPr>
        <w:softHyphen/>
        <w:t xml:space="preserve">fiera roller och uppgifter för relevanta intressenter och aktörer, bl.a. för EERA, EII och Europeiska institutet för Innovation och Teknik (EIT). Den första integrerade färdplanen ska vara färdig vid slutet av 2013. </w:t>
      </w:r>
    </w:p>
    <w:p w:rsidR="0043377F" w:rsidRPr="00487F3E" w:rsidRDefault="0043377F" w:rsidP="00927FCC">
      <w:pPr>
        <w:pStyle w:val="ListParagraph"/>
        <w:numPr>
          <w:ilvl w:val="0"/>
          <w:numId w:val="1"/>
        </w:numPr>
        <w:spacing w:before="40" w:after="40" w:line="240" w:lineRule="auto"/>
        <w:ind w:left="714" w:hanging="357"/>
        <w:contextualSpacing w:val="0"/>
        <w:rPr>
          <w:rFonts w:ascii="OrigGarmnd BT" w:hAnsi="OrigGarmnd BT"/>
          <w:sz w:val="24"/>
        </w:rPr>
      </w:pPr>
      <w:r w:rsidRPr="00487F3E">
        <w:rPr>
          <w:rFonts w:ascii="OrigGarmnd BT" w:hAnsi="OrigGarmnd BT"/>
          <w:sz w:val="24"/>
        </w:rPr>
        <w:t>Med denna som utgångspunkt ska kommissionen och medlems</w:t>
      </w:r>
      <w:r w:rsidRPr="00487F3E">
        <w:rPr>
          <w:rFonts w:ascii="OrigGarmnd BT" w:hAnsi="OrigGarmnd BT"/>
          <w:sz w:val="24"/>
        </w:rPr>
        <w:softHyphen/>
        <w:t>staterna ta fram en handlings</w:t>
      </w:r>
      <w:r w:rsidRPr="00487F3E">
        <w:rPr>
          <w:rFonts w:ascii="OrigGarmnd BT" w:hAnsi="OrigGarmnd BT"/>
          <w:sz w:val="24"/>
        </w:rPr>
        <w:softHyphen/>
        <w:t xml:space="preserve">plan </w:t>
      </w:r>
      <w:r w:rsidRPr="00836AF5">
        <w:rPr>
          <w:rFonts w:ascii="OrigGarmnd BT" w:hAnsi="OrigGarmnd BT"/>
          <w:sz w:val="24"/>
        </w:rPr>
        <w:t>som ska slå fast de koordinerade och/eller gemensamma investeringar som kommer att göras av enskilda medlemsstater, av med</w:t>
      </w:r>
      <w:r w:rsidRPr="00836AF5">
        <w:rPr>
          <w:rFonts w:ascii="OrigGarmnd BT" w:hAnsi="OrigGarmnd BT"/>
          <w:sz w:val="24"/>
        </w:rPr>
        <w:softHyphen/>
        <w:t>lemsstaterna i samverkan, och av medlems</w:t>
      </w:r>
      <w:r w:rsidRPr="00836AF5">
        <w:rPr>
          <w:rFonts w:ascii="OrigGarmnd BT" w:hAnsi="OrigGarmnd BT"/>
          <w:sz w:val="24"/>
        </w:rPr>
        <w:softHyphen/>
        <w:t xml:space="preserve">staterna i samarbete med kommissionen, samt insatserna </w:t>
      </w:r>
      <w:r w:rsidRPr="00487F3E">
        <w:rPr>
          <w:rFonts w:ascii="OrigGarmnd BT" w:hAnsi="OrigGarmnd BT"/>
          <w:sz w:val="24"/>
        </w:rPr>
        <w:t>inom EERA. Investeringarna förväntas använda även andra finansiella instrument än bidrag</w:t>
      </w:r>
      <w:r>
        <w:rPr>
          <w:rFonts w:ascii="OrigGarmnd BT" w:hAnsi="OrigGarmnd BT"/>
          <w:sz w:val="24"/>
        </w:rPr>
        <w:t xml:space="preserve"> som t.ex. upphandling</w:t>
      </w:r>
      <w:r w:rsidRPr="00487F3E">
        <w:rPr>
          <w:rFonts w:ascii="OrigGarmnd BT" w:hAnsi="OrigGarmnd BT"/>
          <w:sz w:val="24"/>
        </w:rPr>
        <w:t xml:space="preserve">. </w:t>
      </w:r>
      <w:r>
        <w:rPr>
          <w:rFonts w:ascii="OrigGarmnd BT" w:hAnsi="OrigGarmnd BT"/>
          <w:sz w:val="24"/>
        </w:rPr>
        <w:t>Handlingsplanen</w:t>
      </w:r>
      <w:r w:rsidRPr="00487F3E">
        <w:rPr>
          <w:rFonts w:ascii="OrigGarmnd BT" w:hAnsi="OrigGarmnd BT"/>
          <w:sz w:val="24"/>
        </w:rPr>
        <w:t xml:space="preserve"> ska vara framtagen vid mitten av 2014 och </w:t>
      </w:r>
      <w:r>
        <w:rPr>
          <w:rFonts w:ascii="OrigGarmnd BT" w:hAnsi="OrigGarmnd BT"/>
          <w:sz w:val="24"/>
        </w:rPr>
        <w:t xml:space="preserve">ska </w:t>
      </w:r>
      <w:r w:rsidRPr="00487F3E">
        <w:rPr>
          <w:rFonts w:ascii="OrigGarmnd BT" w:hAnsi="OrigGarmnd BT"/>
          <w:sz w:val="24"/>
        </w:rPr>
        <w:t xml:space="preserve">uppdateras regelbundet. </w:t>
      </w:r>
    </w:p>
    <w:p w:rsidR="0043377F" w:rsidRPr="00487F3E" w:rsidRDefault="0043377F" w:rsidP="00927FCC">
      <w:pPr>
        <w:pStyle w:val="ListParagraph"/>
        <w:numPr>
          <w:ilvl w:val="0"/>
          <w:numId w:val="1"/>
        </w:numPr>
        <w:spacing w:before="40" w:after="40" w:line="240" w:lineRule="auto"/>
        <w:ind w:left="714" w:hanging="357"/>
        <w:contextualSpacing w:val="0"/>
        <w:rPr>
          <w:rFonts w:ascii="OrigGarmnd BT" w:hAnsi="OrigGarmnd BT"/>
          <w:sz w:val="24"/>
        </w:rPr>
      </w:pPr>
      <w:r w:rsidRPr="00487F3E">
        <w:rPr>
          <w:rFonts w:ascii="OrigGarmnd BT" w:hAnsi="OrigGarmnd BT"/>
          <w:sz w:val="24"/>
        </w:rPr>
        <w:t>Insatserna och utvecklingen ska följas upp med ett rapporterings</w:t>
      </w:r>
      <w:r w:rsidRPr="00487F3E">
        <w:rPr>
          <w:rFonts w:ascii="OrigGarmnd BT" w:hAnsi="OrigGarmnd BT"/>
          <w:sz w:val="24"/>
        </w:rPr>
        <w:softHyphen/>
        <w:t xml:space="preserve">system som vidareutvecklas ur dagens baserat på dagens Strategic Energy Technology Information System, SETIS. Rapporteringen ska bygga på uppgifter från medlemsstaterna och redovisa utvecklingen årligen. </w:t>
      </w:r>
    </w:p>
    <w:p w:rsidR="0043377F" w:rsidRPr="00487F3E" w:rsidRDefault="0043377F" w:rsidP="00927FCC">
      <w:pPr>
        <w:pStyle w:val="ListParagraph"/>
        <w:numPr>
          <w:ilvl w:val="0"/>
          <w:numId w:val="1"/>
        </w:numPr>
        <w:spacing w:before="40" w:after="40" w:line="240" w:lineRule="auto"/>
        <w:ind w:left="714" w:hanging="357"/>
        <w:contextualSpacing w:val="0"/>
        <w:rPr>
          <w:rFonts w:ascii="OrigGarmnd BT" w:hAnsi="OrigGarmnd BT"/>
          <w:sz w:val="24"/>
        </w:rPr>
      </w:pPr>
      <w:r w:rsidRPr="00487F3E">
        <w:rPr>
          <w:rFonts w:ascii="OrigGarmnd BT" w:hAnsi="OrigGarmnd BT"/>
          <w:sz w:val="24"/>
        </w:rPr>
        <w:t>Etablera en koordineringsstruktur under SET-Planens styrgrupp för att främja investeringar i forskning och innovation om energieffekti</w:t>
      </w:r>
      <w:r w:rsidRPr="00487F3E">
        <w:rPr>
          <w:rFonts w:ascii="OrigGarmnd BT" w:hAnsi="OrigGarmnd BT"/>
          <w:sz w:val="24"/>
        </w:rPr>
        <w:softHyphen/>
        <w:t xml:space="preserve">visering. Strukturen ska samla representanter för forskarsamhället, näringslivet, offentliga organisationer och finansiärer. </w:t>
      </w:r>
    </w:p>
    <w:p w:rsidR="0043377F" w:rsidRPr="00487F3E" w:rsidRDefault="0043377F" w:rsidP="00487F3E">
      <w:pPr>
        <w:pStyle w:val="RKnormal"/>
        <w:spacing w:before="120" w:after="120" w:line="280" w:lineRule="atLeast"/>
      </w:pPr>
      <w:r w:rsidRPr="00487F3E">
        <w:t xml:space="preserve">De grupper och organisationer som idag finns inom SET-planarbetet kan komma att behöva anpassa sina mandat, strukturer och verksamhet. Nya aktörer måste involveras för att adresser icke-tekniska barriärer. </w:t>
      </w:r>
    </w:p>
    <w:p w:rsidR="0043377F" w:rsidRDefault="0043377F">
      <w:pPr>
        <w:pStyle w:val="RKrubrik"/>
        <w:rPr>
          <w:i/>
          <w:iCs/>
        </w:rPr>
      </w:pPr>
      <w:r>
        <w:rPr>
          <w:i/>
          <w:iCs/>
        </w:rPr>
        <w:t>Gällande svenska regler och förslagets effekter på dessa</w:t>
      </w:r>
    </w:p>
    <w:p w:rsidR="0043377F" w:rsidRPr="00487F3E" w:rsidRDefault="0043377F" w:rsidP="00487F3E">
      <w:pPr>
        <w:pStyle w:val="RKnormal"/>
        <w:spacing w:before="120" w:after="120" w:line="280" w:lineRule="atLeast"/>
      </w:pPr>
      <w:r w:rsidRPr="00487F3E">
        <w:t xml:space="preserve">Kommissionens meddelande innehåller inga lagstiftningsförslag och får därför inga effekter på svenska regler. </w:t>
      </w:r>
    </w:p>
    <w:p w:rsidR="0043377F" w:rsidRDefault="0043377F">
      <w:pPr>
        <w:pStyle w:val="RKrubrik"/>
      </w:pPr>
      <w:r>
        <w:t>Ekonomiska konsekvenser</w:t>
      </w:r>
    </w:p>
    <w:p w:rsidR="0043377F" w:rsidRPr="00487F3E" w:rsidRDefault="0043377F" w:rsidP="00487F3E">
      <w:pPr>
        <w:pStyle w:val="RKnormal"/>
        <w:spacing w:before="120" w:after="120" w:line="280" w:lineRule="atLeast"/>
      </w:pPr>
      <w:r w:rsidRPr="00487F3E">
        <w:t>Kommissionens meddelande innehåller inga lagstiftningsförslag och får därför inga direkta ekonomiska konsekvenser.</w:t>
      </w:r>
    </w:p>
    <w:sectPr w:rsidR="0043377F" w:rsidRPr="00487F3E" w:rsidSect="002D696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77F" w:rsidRDefault="0043377F">
      <w:r>
        <w:separator/>
      </w:r>
    </w:p>
  </w:endnote>
  <w:endnote w:type="continuationSeparator" w:id="0">
    <w:p w:rsidR="0043377F" w:rsidRDefault="00433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77F" w:rsidRDefault="0043377F">
      <w:r>
        <w:separator/>
      </w:r>
    </w:p>
  </w:footnote>
  <w:footnote w:type="continuationSeparator" w:id="0">
    <w:p w:rsidR="0043377F" w:rsidRDefault="00433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77F" w:rsidRDefault="004337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43377F">
      <w:trPr>
        <w:cantSplit/>
      </w:trPr>
      <w:tc>
        <w:tcPr>
          <w:tcW w:w="3119" w:type="dxa"/>
        </w:tcPr>
        <w:p w:rsidR="0043377F" w:rsidRDefault="0043377F">
          <w:pPr>
            <w:pStyle w:val="Header"/>
            <w:spacing w:line="200" w:lineRule="atLeast"/>
            <w:ind w:right="357"/>
            <w:rPr>
              <w:rFonts w:ascii="TradeGothic" w:hAnsi="TradeGothic"/>
              <w:b/>
              <w:bCs/>
              <w:sz w:val="16"/>
            </w:rPr>
          </w:pPr>
        </w:p>
      </w:tc>
      <w:tc>
        <w:tcPr>
          <w:tcW w:w="4111" w:type="dxa"/>
          <w:tcMar>
            <w:left w:w="567" w:type="dxa"/>
          </w:tcMar>
        </w:tcPr>
        <w:p w:rsidR="0043377F" w:rsidRDefault="0043377F">
          <w:pPr>
            <w:pStyle w:val="Header"/>
            <w:ind w:right="360"/>
          </w:pPr>
        </w:p>
      </w:tc>
      <w:tc>
        <w:tcPr>
          <w:tcW w:w="1525" w:type="dxa"/>
        </w:tcPr>
        <w:p w:rsidR="0043377F" w:rsidRDefault="0043377F">
          <w:pPr>
            <w:pStyle w:val="Header"/>
            <w:ind w:right="360"/>
          </w:pPr>
        </w:p>
      </w:tc>
    </w:tr>
  </w:tbl>
  <w:p w:rsidR="0043377F" w:rsidRDefault="0043377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77F" w:rsidRDefault="004337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43377F">
      <w:trPr>
        <w:cantSplit/>
      </w:trPr>
      <w:tc>
        <w:tcPr>
          <w:tcW w:w="3119" w:type="dxa"/>
        </w:tcPr>
        <w:p w:rsidR="0043377F" w:rsidRDefault="0043377F">
          <w:pPr>
            <w:pStyle w:val="Header"/>
            <w:spacing w:line="200" w:lineRule="atLeast"/>
            <w:ind w:right="357"/>
            <w:rPr>
              <w:rFonts w:ascii="TradeGothic" w:hAnsi="TradeGothic"/>
              <w:b/>
              <w:bCs/>
              <w:sz w:val="16"/>
            </w:rPr>
          </w:pPr>
        </w:p>
      </w:tc>
      <w:tc>
        <w:tcPr>
          <w:tcW w:w="4111" w:type="dxa"/>
          <w:tcMar>
            <w:left w:w="567" w:type="dxa"/>
          </w:tcMar>
        </w:tcPr>
        <w:p w:rsidR="0043377F" w:rsidRDefault="0043377F">
          <w:pPr>
            <w:pStyle w:val="Header"/>
            <w:ind w:right="360"/>
          </w:pPr>
        </w:p>
      </w:tc>
      <w:tc>
        <w:tcPr>
          <w:tcW w:w="1525" w:type="dxa"/>
        </w:tcPr>
        <w:p w:rsidR="0043377F" w:rsidRDefault="0043377F">
          <w:pPr>
            <w:pStyle w:val="Header"/>
            <w:ind w:right="360"/>
          </w:pPr>
        </w:p>
      </w:tc>
    </w:tr>
  </w:tbl>
  <w:p w:rsidR="0043377F" w:rsidRDefault="0043377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77F" w:rsidRDefault="0043377F">
    <w:pPr>
      <w:framePr w:w="2948" w:h="1321" w:hRule="exact" w:wrap="notBeside" w:vAnchor="page" w:hAnchor="page" w:x="1362" w:y="653"/>
    </w:pPr>
    <w:r w:rsidRPr="001856A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3377F" w:rsidRDefault="0043377F">
    <w:pPr>
      <w:pStyle w:val="RKrubrik"/>
      <w:keepNext w:val="0"/>
      <w:tabs>
        <w:tab w:val="clear" w:pos="1134"/>
        <w:tab w:val="clear" w:pos="2835"/>
      </w:tabs>
      <w:spacing w:before="0" w:after="0" w:line="320" w:lineRule="atLeast"/>
      <w:rPr>
        <w:bCs/>
      </w:rPr>
    </w:pPr>
  </w:p>
  <w:p w:rsidR="0043377F" w:rsidRDefault="0043377F">
    <w:pPr>
      <w:rPr>
        <w:rFonts w:ascii="TradeGothic" w:hAnsi="TradeGothic"/>
        <w:b/>
        <w:bCs/>
        <w:spacing w:val="12"/>
        <w:sz w:val="22"/>
      </w:rPr>
    </w:pPr>
  </w:p>
  <w:p w:rsidR="0043377F" w:rsidRDefault="0043377F">
    <w:pPr>
      <w:pStyle w:val="RKrubrik"/>
      <w:keepNext w:val="0"/>
      <w:tabs>
        <w:tab w:val="clear" w:pos="1134"/>
        <w:tab w:val="clear" w:pos="2835"/>
      </w:tabs>
      <w:spacing w:before="0" w:after="0" w:line="320" w:lineRule="atLeast"/>
      <w:rPr>
        <w:bCs/>
      </w:rPr>
    </w:pPr>
  </w:p>
  <w:p w:rsidR="0043377F" w:rsidRDefault="0043377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7885"/>
    <w:multiLevelType w:val="hybridMultilevel"/>
    <w:tmpl w:val="C37ABF5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D922075"/>
    <w:multiLevelType w:val="hybridMultilevel"/>
    <w:tmpl w:val="DC066884"/>
    <w:lvl w:ilvl="0" w:tplc="2A7E795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E7151C3"/>
    <w:multiLevelType w:val="hybridMultilevel"/>
    <w:tmpl w:val="F21CC9E4"/>
    <w:lvl w:ilvl="0" w:tplc="2A7E795E">
      <w:start w:val="1"/>
      <w:numFmt w:val="bullet"/>
      <w:lvlText w:val=""/>
      <w:lvlJc w:val="left"/>
      <w:pPr>
        <w:ind w:left="890" w:hanging="360"/>
      </w:pPr>
      <w:rPr>
        <w:rFonts w:ascii="Symbol" w:hAnsi="Symbol" w:hint="default"/>
      </w:rPr>
    </w:lvl>
    <w:lvl w:ilvl="1" w:tplc="041D0003">
      <w:start w:val="1"/>
      <w:numFmt w:val="bullet"/>
      <w:lvlText w:val="o"/>
      <w:lvlJc w:val="left"/>
      <w:pPr>
        <w:ind w:left="1610" w:hanging="360"/>
      </w:pPr>
      <w:rPr>
        <w:rFonts w:ascii="Courier New" w:hAnsi="Courier New" w:hint="default"/>
      </w:rPr>
    </w:lvl>
    <w:lvl w:ilvl="2" w:tplc="041D0005">
      <w:start w:val="1"/>
      <w:numFmt w:val="bullet"/>
      <w:lvlText w:val=""/>
      <w:lvlJc w:val="left"/>
      <w:pPr>
        <w:ind w:left="2330" w:hanging="360"/>
      </w:pPr>
      <w:rPr>
        <w:rFonts w:ascii="Wingdings" w:hAnsi="Wingdings" w:hint="default"/>
      </w:rPr>
    </w:lvl>
    <w:lvl w:ilvl="3" w:tplc="041D0001">
      <w:start w:val="1"/>
      <w:numFmt w:val="bullet"/>
      <w:lvlText w:val=""/>
      <w:lvlJc w:val="left"/>
      <w:pPr>
        <w:ind w:left="3050" w:hanging="360"/>
      </w:pPr>
      <w:rPr>
        <w:rFonts w:ascii="Symbol" w:hAnsi="Symbol" w:hint="default"/>
      </w:rPr>
    </w:lvl>
    <w:lvl w:ilvl="4" w:tplc="041D0003">
      <w:start w:val="1"/>
      <w:numFmt w:val="bullet"/>
      <w:lvlText w:val="o"/>
      <w:lvlJc w:val="left"/>
      <w:pPr>
        <w:ind w:left="3770" w:hanging="360"/>
      </w:pPr>
      <w:rPr>
        <w:rFonts w:ascii="Courier New" w:hAnsi="Courier New" w:hint="default"/>
      </w:rPr>
    </w:lvl>
    <w:lvl w:ilvl="5" w:tplc="041D0005">
      <w:start w:val="1"/>
      <w:numFmt w:val="bullet"/>
      <w:lvlText w:val=""/>
      <w:lvlJc w:val="left"/>
      <w:pPr>
        <w:ind w:left="4490" w:hanging="360"/>
      </w:pPr>
      <w:rPr>
        <w:rFonts w:ascii="Wingdings" w:hAnsi="Wingdings" w:hint="default"/>
      </w:rPr>
    </w:lvl>
    <w:lvl w:ilvl="6" w:tplc="041D0001">
      <w:start w:val="1"/>
      <w:numFmt w:val="bullet"/>
      <w:lvlText w:val=""/>
      <w:lvlJc w:val="left"/>
      <w:pPr>
        <w:ind w:left="5210" w:hanging="360"/>
      </w:pPr>
      <w:rPr>
        <w:rFonts w:ascii="Symbol" w:hAnsi="Symbol" w:hint="default"/>
      </w:rPr>
    </w:lvl>
    <w:lvl w:ilvl="7" w:tplc="041D0003">
      <w:start w:val="1"/>
      <w:numFmt w:val="bullet"/>
      <w:lvlText w:val="o"/>
      <w:lvlJc w:val="left"/>
      <w:pPr>
        <w:ind w:left="5930" w:hanging="360"/>
      </w:pPr>
      <w:rPr>
        <w:rFonts w:ascii="Courier New" w:hAnsi="Courier New" w:hint="default"/>
      </w:rPr>
    </w:lvl>
    <w:lvl w:ilvl="8" w:tplc="041D0005">
      <w:start w:val="1"/>
      <w:numFmt w:val="bullet"/>
      <w:lvlText w:val=""/>
      <w:lvlJc w:val="left"/>
      <w:pPr>
        <w:ind w:left="6650" w:hanging="360"/>
      </w:pPr>
      <w:rPr>
        <w:rFonts w:ascii="Wingdings" w:hAnsi="Wingdings" w:hint="default"/>
      </w:rPr>
    </w:lvl>
  </w:abstractNum>
  <w:abstractNum w:abstractNumId="3">
    <w:nsid w:val="68F96E1F"/>
    <w:multiLevelType w:val="hybridMultilevel"/>
    <w:tmpl w:val="D4F673FC"/>
    <w:lvl w:ilvl="0" w:tplc="85A6C08E">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46202A"/>
    <w:rsid w:val="000A3DDA"/>
    <w:rsid w:val="000D1F9B"/>
    <w:rsid w:val="00103875"/>
    <w:rsid w:val="00150384"/>
    <w:rsid w:val="00160901"/>
    <w:rsid w:val="001805B7"/>
    <w:rsid w:val="001856A8"/>
    <w:rsid w:val="00203994"/>
    <w:rsid w:val="00226D53"/>
    <w:rsid w:val="002A4ED0"/>
    <w:rsid w:val="002D696C"/>
    <w:rsid w:val="002E5444"/>
    <w:rsid w:val="00367B1C"/>
    <w:rsid w:val="0038001D"/>
    <w:rsid w:val="003B4E95"/>
    <w:rsid w:val="0043377F"/>
    <w:rsid w:val="00452D07"/>
    <w:rsid w:val="004608F4"/>
    <w:rsid w:val="0046202A"/>
    <w:rsid w:val="00487F3E"/>
    <w:rsid w:val="004A328D"/>
    <w:rsid w:val="0058762B"/>
    <w:rsid w:val="00644240"/>
    <w:rsid w:val="0069374D"/>
    <w:rsid w:val="006A72F1"/>
    <w:rsid w:val="006E4E11"/>
    <w:rsid w:val="007242A3"/>
    <w:rsid w:val="00784EE2"/>
    <w:rsid w:val="007A6855"/>
    <w:rsid w:val="007B0BB6"/>
    <w:rsid w:val="007F2CDE"/>
    <w:rsid w:val="00815246"/>
    <w:rsid w:val="00836AF5"/>
    <w:rsid w:val="0092027A"/>
    <w:rsid w:val="00927FCC"/>
    <w:rsid w:val="00955E31"/>
    <w:rsid w:val="00992E72"/>
    <w:rsid w:val="009C644B"/>
    <w:rsid w:val="009D2EF9"/>
    <w:rsid w:val="009E4D56"/>
    <w:rsid w:val="00A41AAA"/>
    <w:rsid w:val="00AF26D1"/>
    <w:rsid w:val="00B12B3F"/>
    <w:rsid w:val="00B74B60"/>
    <w:rsid w:val="00B75041"/>
    <w:rsid w:val="00B854C2"/>
    <w:rsid w:val="00CD6D07"/>
    <w:rsid w:val="00D133D7"/>
    <w:rsid w:val="00D93190"/>
    <w:rsid w:val="00DB347C"/>
    <w:rsid w:val="00DB5130"/>
    <w:rsid w:val="00DE11F9"/>
    <w:rsid w:val="00E41A1A"/>
    <w:rsid w:val="00E7223B"/>
    <w:rsid w:val="00E80146"/>
    <w:rsid w:val="00E86F0D"/>
    <w:rsid w:val="00E904D0"/>
    <w:rsid w:val="00EB5647"/>
    <w:rsid w:val="00EC25F9"/>
    <w:rsid w:val="00ED583F"/>
    <w:rsid w:val="00F8067E"/>
    <w:rsid w:val="00FD5D8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6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D696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D696C"/>
    <w:pPr>
      <w:spacing w:before="360"/>
      <w:outlineLvl w:val="1"/>
    </w:pPr>
  </w:style>
  <w:style w:type="paragraph" w:styleId="Heading3">
    <w:name w:val="heading 3"/>
    <w:basedOn w:val="Heading2"/>
    <w:next w:val="RKnormal"/>
    <w:link w:val="Heading3Char"/>
    <w:uiPriority w:val="99"/>
    <w:qFormat/>
    <w:rsid w:val="002D696C"/>
    <w:pPr>
      <w:spacing w:after="120" w:line="240" w:lineRule="atLeast"/>
      <w:outlineLvl w:val="2"/>
    </w:pPr>
    <w:rPr>
      <w:b w:val="0"/>
    </w:rPr>
  </w:style>
  <w:style w:type="paragraph" w:styleId="Heading4">
    <w:name w:val="heading 4"/>
    <w:basedOn w:val="Heading3"/>
    <w:next w:val="RKnormal"/>
    <w:link w:val="Heading4Char"/>
    <w:uiPriority w:val="99"/>
    <w:qFormat/>
    <w:rsid w:val="002D696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A9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83A9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83A9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83A9B"/>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D696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D696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83A9B"/>
    <w:rPr>
      <w:rFonts w:ascii="OrigGarmnd BT" w:hAnsi="OrigGarmnd BT"/>
      <w:sz w:val="24"/>
      <w:szCs w:val="20"/>
      <w:lang w:eastAsia="en-US"/>
    </w:rPr>
  </w:style>
  <w:style w:type="paragraph" w:styleId="Header">
    <w:name w:val="header"/>
    <w:basedOn w:val="Normal"/>
    <w:link w:val="HeaderChar"/>
    <w:uiPriority w:val="99"/>
    <w:rsid w:val="002D696C"/>
    <w:pPr>
      <w:tabs>
        <w:tab w:val="center" w:pos="4153"/>
        <w:tab w:val="right" w:pos="8306"/>
      </w:tabs>
    </w:pPr>
  </w:style>
  <w:style w:type="character" w:customStyle="1" w:styleId="HeaderChar">
    <w:name w:val="Header Char"/>
    <w:basedOn w:val="DefaultParagraphFont"/>
    <w:link w:val="Header"/>
    <w:uiPriority w:val="99"/>
    <w:semiHidden/>
    <w:rsid w:val="00483A9B"/>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D696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D696C"/>
    <w:rPr>
      <w:rFonts w:cs="Times New Roman"/>
    </w:rPr>
  </w:style>
  <w:style w:type="paragraph" w:customStyle="1" w:styleId="EntEmet">
    <w:name w:val="EntEmet"/>
    <w:basedOn w:val="Normal"/>
    <w:uiPriority w:val="99"/>
    <w:rsid w:val="0046202A"/>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styleId="ListParagraph">
    <w:name w:val="List Paragraph"/>
    <w:basedOn w:val="Normal"/>
    <w:uiPriority w:val="99"/>
    <w:qFormat/>
    <w:rsid w:val="0046202A"/>
    <w:pPr>
      <w:overflowPunct/>
      <w:autoSpaceDE/>
      <w:autoSpaceDN/>
      <w:adjustRightInd/>
      <w:spacing w:after="200" w:line="276" w:lineRule="auto"/>
      <w:ind w:left="720"/>
      <w:contextualSpacing/>
      <w:textAlignment w:val="auto"/>
    </w:pPr>
    <w:rPr>
      <w:rFonts w:ascii="Calibri" w:hAnsi="Calibri"/>
      <w:sz w:val="22"/>
      <w:szCs w:val="22"/>
    </w:rPr>
  </w:style>
  <w:style w:type="paragraph" w:styleId="BalloonText">
    <w:name w:val="Balloon Text"/>
    <w:basedOn w:val="Normal"/>
    <w:link w:val="BalloonTextChar"/>
    <w:uiPriority w:val="99"/>
    <w:rsid w:val="00B854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854C2"/>
    <w:rPr>
      <w:rFonts w:ascii="Tahoma" w:hAnsi="Tahoma" w:cs="Tahoma"/>
      <w:sz w:val="16"/>
      <w:szCs w:val="16"/>
      <w:lang w:eastAsia="en-US"/>
    </w:rPr>
  </w:style>
  <w:style w:type="character" w:styleId="FootnoteReference">
    <w:name w:val="footnote reference"/>
    <w:aliases w:val="SUPERS"/>
    <w:basedOn w:val="DefaultParagraphFont"/>
    <w:uiPriority w:val="99"/>
    <w:rsid w:val="00F8067E"/>
    <w:rPr>
      <w:rFonts w:cs="Times New Roman"/>
      <w:vertAlign w:val="superscript"/>
    </w:rPr>
  </w:style>
  <w:style w:type="paragraph" w:styleId="FootnoteText">
    <w:name w:val="footnote text"/>
    <w:basedOn w:val="Normal"/>
    <w:link w:val="FootnoteTextChar"/>
    <w:uiPriority w:val="99"/>
    <w:rsid w:val="00F8067E"/>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F8067E"/>
    <w:rPr>
      <w:rFonts w:cs="Times New Roman"/>
      <w:sz w:val="17"/>
    </w:rPr>
  </w:style>
  <w:style w:type="character" w:styleId="CommentReference">
    <w:name w:val="annotation reference"/>
    <w:basedOn w:val="DefaultParagraphFont"/>
    <w:uiPriority w:val="99"/>
    <w:rsid w:val="00F8067E"/>
    <w:rPr>
      <w:rFonts w:cs="Times New Roman"/>
      <w:sz w:val="16"/>
      <w:szCs w:val="16"/>
    </w:rPr>
  </w:style>
  <w:style w:type="paragraph" w:styleId="CommentText">
    <w:name w:val="annotation text"/>
    <w:basedOn w:val="Normal"/>
    <w:link w:val="CommentTextChar"/>
    <w:uiPriority w:val="99"/>
    <w:rsid w:val="00F8067E"/>
    <w:pPr>
      <w:spacing w:line="240" w:lineRule="auto"/>
    </w:pPr>
    <w:rPr>
      <w:sz w:val="20"/>
    </w:rPr>
  </w:style>
  <w:style w:type="character" w:customStyle="1" w:styleId="CommentTextChar">
    <w:name w:val="Comment Text Char"/>
    <w:basedOn w:val="DefaultParagraphFont"/>
    <w:link w:val="CommentText"/>
    <w:uiPriority w:val="99"/>
    <w:locked/>
    <w:rsid w:val="00F8067E"/>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F8067E"/>
    <w:rPr>
      <w:b/>
      <w:bCs/>
    </w:rPr>
  </w:style>
  <w:style w:type="character" w:customStyle="1" w:styleId="CommentSubjectChar">
    <w:name w:val="Comment Subject Char"/>
    <w:basedOn w:val="CommentTextChar"/>
    <w:link w:val="CommentSubject"/>
    <w:uiPriority w:val="99"/>
    <w:locked/>
    <w:rsid w:val="00F8067E"/>
    <w:rPr>
      <w:b/>
      <w:bCs/>
    </w:rPr>
  </w:style>
  <w:style w:type="paragraph" w:styleId="NormalWeb">
    <w:name w:val="Normal (Web)"/>
    <w:basedOn w:val="Normal"/>
    <w:uiPriority w:val="99"/>
    <w:rsid w:val="00452D07"/>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odyTextIndent">
    <w:name w:val="Body Text Indent"/>
    <w:basedOn w:val="Normal"/>
    <w:link w:val="BodyTextIndentChar"/>
    <w:uiPriority w:val="99"/>
    <w:rsid w:val="00452D07"/>
    <w:pPr>
      <w:adjustRightInd/>
      <w:spacing w:line="240" w:lineRule="auto"/>
      <w:ind w:firstLine="170"/>
      <w:jc w:val="both"/>
      <w:textAlignment w:val="auto"/>
    </w:pPr>
    <w:rPr>
      <w:rFonts w:ascii="Times New Roman" w:hAnsi="Times New Roman"/>
      <w:sz w:val="20"/>
    </w:rPr>
  </w:style>
  <w:style w:type="character" w:customStyle="1" w:styleId="BodyTextIndentChar">
    <w:name w:val="Body Text Indent Char"/>
    <w:basedOn w:val="DefaultParagraphFont"/>
    <w:link w:val="BodyTextIndent"/>
    <w:uiPriority w:val="99"/>
    <w:locked/>
    <w:rsid w:val="00452D07"/>
    <w:rPr>
      <w:rFonts w:eastAsia="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2075544923">
      <w:marLeft w:val="0"/>
      <w:marRight w:val="0"/>
      <w:marTop w:val="0"/>
      <w:marBottom w:val="0"/>
      <w:divBdr>
        <w:top w:val="none" w:sz="0" w:space="0" w:color="auto"/>
        <w:left w:val="none" w:sz="0" w:space="0" w:color="auto"/>
        <w:bottom w:val="none" w:sz="0" w:space="0" w:color="auto"/>
        <w:right w:val="none" w:sz="0" w:space="0" w:color="auto"/>
      </w:divBdr>
    </w:div>
    <w:div w:id="20755449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1350</Words>
  <Characters>8964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Lars Guldbrand</dc:creator>
  <cp:keywords/>
  <dc:description/>
  <cp:lastModifiedBy>aa0305ab</cp:lastModifiedBy>
  <cp:revision>2</cp:revision>
  <cp:lastPrinted>2013-05-15T11:44:00Z</cp:lastPrinted>
  <dcterms:created xsi:type="dcterms:W3CDTF">2013-05-27T13:15:00Z</dcterms:created>
  <dcterms:modified xsi:type="dcterms:W3CDTF">2013-05-27T13:15:00Z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60</vt:i4>
  </property>
</Properties>
</file>