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0B2081">
        <w:t>29 januari</w:t>
      </w:r>
      <w:r w:rsidR="005670C5">
        <w:t xml:space="preserve"> – </w:t>
      </w:r>
      <w:r w:rsidR="00D8287E">
        <w:t>9 februari</w:t>
      </w:r>
      <w:r w:rsidR="005670C5">
        <w:t xml:space="preserve"> </w:t>
      </w:r>
      <w:r w:rsidR="00D8287E">
        <w:t>2015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FD5DC2" w:rsidTr="00EA4398">
        <w:tc>
          <w:tcPr>
            <w:tcW w:w="1413" w:type="dxa"/>
          </w:tcPr>
          <w:p w:rsidR="005670C5" w:rsidRPr="009B0AD7" w:rsidRDefault="000B247F" w:rsidP="00EA4398">
            <w:r>
              <w:t>2015-01-29</w:t>
            </w:r>
          </w:p>
        </w:tc>
        <w:tc>
          <w:tcPr>
            <w:tcW w:w="1701" w:type="dxa"/>
          </w:tcPr>
          <w:p w:rsidR="005670C5" w:rsidRPr="009B0AD7" w:rsidRDefault="000B247F" w:rsidP="00EA4398">
            <w:pPr>
              <w:spacing w:after="0" w:line="240" w:lineRule="auto"/>
            </w:pPr>
            <w:r w:rsidRPr="000B247F">
              <w:t>K(2015) 326</w:t>
            </w:r>
          </w:p>
        </w:tc>
        <w:tc>
          <w:tcPr>
            <w:tcW w:w="3827" w:type="dxa"/>
          </w:tcPr>
          <w:p w:rsidR="008820A9" w:rsidRPr="009B0AD7" w:rsidRDefault="0013232F" w:rsidP="00EA4398">
            <w:pPr>
              <w:spacing w:after="0" w:line="240" w:lineRule="auto"/>
            </w:pPr>
            <w:hyperlink r:id="rId8" w:history="1">
              <w:r w:rsidR="000B247F" w:rsidRPr="000B247F">
                <w:rPr>
                  <w:rStyle w:val="Hyperlnk"/>
                </w:rPr>
                <w:t xml:space="preserve">Kommissionens genomförandebeslut av den 29.1.2015 om ändring av bilagan till kommissionens genomförandebeslut 2013/115/EU om antagande av </w:t>
              </w:r>
              <w:proofErr w:type="spellStart"/>
              <w:r w:rsidR="000B247F" w:rsidRPr="000B247F">
                <w:rPr>
                  <w:rStyle w:val="Hyperlnk"/>
                </w:rPr>
                <w:t>Sirenehandboken</w:t>
              </w:r>
              <w:proofErr w:type="spellEnd"/>
              <w:r w:rsidR="000B247F" w:rsidRPr="000B247F">
                <w:rPr>
                  <w:rStyle w:val="Hyperlnk"/>
                </w:rPr>
                <w:t xml:space="preserve"> och övriga genomförandeåtgärder avseende andra generationen av Schengens informationssystem (SIS II)</w:t>
              </w:r>
            </w:hyperlink>
          </w:p>
        </w:tc>
        <w:tc>
          <w:tcPr>
            <w:tcW w:w="2829" w:type="dxa"/>
          </w:tcPr>
          <w:p w:rsidR="005670C5" w:rsidRPr="009B0AD7" w:rsidRDefault="00840869" w:rsidP="00840869">
            <w:r>
              <w:t>Genomförandebeslutet</w:t>
            </w:r>
            <w:r w:rsidRPr="00840869">
              <w:t xml:space="preserve"> </w:t>
            </w:r>
            <w:r>
              <w:t>gäller</w:t>
            </w:r>
            <w:r w:rsidRPr="00840869">
              <w:t xml:space="preserve"> nya åtgärder och tekniska uppgraderingar av SIS II för att få ett snabbare och mer träffsäkert utbyte av information om personer som är misstänkta för terrorism eller annan grov brottslighet</w:t>
            </w:r>
            <w:r>
              <w:t>.</w:t>
            </w:r>
          </w:p>
        </w:tc>
      </w:tr>
    </w:tbl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812343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812343" w:rsidRPr="007970F3" w:rsidTr="0014597B">
        <w:tc>
          <w:tcPr>
            <w:tcW w:w="1413" w:type="dxa"/>
          </w:tcPr>
          <w:p w:rsidR="00EA4398" w:rsidRPr="009B0AD7" w:rsidRDefault="007970F3" w:rsidP="0014597B">
            <w:r>
              <w:t>2015-01-29</w:t>
            </w:r>
          </w:p>
        </w:tc>
        <w:tc>
          <w:tcPr>
            <w:tcW w:w="1701" w:type="dxa"/>
          </w:tcPr>
          <w:p w:rsidR="00EA4398" w:rsidRPr="009B0AD7" w:rsidRDefault="007970F3" w:rsidP="007970F3">
            <w:pPr>
              <w:spacing w:after="0" w:line="240" w:lineRule="auto"/>
            </w:pPr>
            <w:r w:rsidRPr="007970F3">
              <w:t>Uttalande om terrorism från informellt mini</w:t>
            </w:r>
            <w:r w:rsidR="00325FB5">
              <w:softHyphen/>
            </w:r>
            <w:r w:rsidRPr="007970F3">
              <w:t xml:space="preserve">stermöte 29-30 </w:t>
            </w:r>
            <w:r>
              <w:t>januari</w:t>
            </w:r>
            <w:r w:rsidRPr="007970F3">
              <w:t xml:space="preserve"> 2015</w:t>
            </w:r>
          </w:p>
        </w:tc>
        <w:tc>
          <w:tcPr>
            <w:tcW w:w="3827" w:type="dxa"/>
          </w:tcPr>
          <w:p w:rsidR="00EA4398" w:rsidRPr="007970F3" w:rsidRDefault="0013232F" w:rsidP="0014597B">
            <w:pPr>
              <w:spacing w:after="0" w:line="240" w:lineRule="auto"/>
              <w:rPr>
                <w:lang w:val="en-US"/>
              </w:rPr>
            </w:pPr>
            <w:hyperlink r:id="rId9" w:history="1">
              <w:r w:rsidR="007970F3" w:rsidRPr="007970F3">
                <w:rPr>
                  <w:rStyle w:val="Hyperlnk"/>
                  <w:lang w:val="en-US"/>
                </w:rPr>
                <w:t>Riga Joint Statement following the informal meeting of Justice and Home Affairs Ministers in Riga on 29 and 30 January</w:t>
              </w:r>
            </w:hyperlink>
          </w:p>
        </w:tc>
        <w:tc>
          <w:tcPr>
            <w:tcW w:w="2829" w:type="dxa"/>
          </w:tcPr>
          <w:p w:rsidR="00EA4398" w:rsidRPr="007970F3" w:rsidRDefault="007970F3" w:rsidP="000B247F">
            <w:r w:rsidRPr="007970F3">
              <w:t xml:space="preserve">Dokumentet </w:t>
            </w:r>
            <w:r w:rsidR="000B247F">
              <w:t xml:space="preserve">utskickat som </w:t>
            </w:r>
            <w:r w:rsidRPr="007970F3">
              <w:t>kompletterande handling till utskottets sammanträde den 3 februar</w:t>
            </w:r>
            <w:r>
              <w:t>i 2015</w:t>
            </w:r>
            <w:r w:rsidRPr="007970F3">
              <w:t>.</w:t>
            </w:r>
          </w:p>
        </w:tc>
      </w:tr>
      <w:tr w:rsidR="00812343" w:rsidRPr="00846860" w:rsidTr="0014597B">
        <w:tc>
          <w:tcPr>
            <w:tcW w:w="1413" w:type="dxa"/>
          </w:tcPr>
          <w:p w:rsidR="00EA4398" w:rsidRPr="007970F3" w:rsidRDefault="00936078" w:rsidP="0014597B">
            <w:r>
              <w:t>2015-02-05</w:t>
            </w:r>
          </w:p>
        </w:tc>
        <w:tc>
          <w:tcPr>
            <w:tcW w:w="1701" w:type="dxa"/>
          </w:tcPr>
          <w:p w:rsidR="00EA4398" w:rsidRPr="007970F3" w:rsidRDefault="00936078" w:rsidP="0014597B">
            <w:r w:rsidRPr="00936078">
              <w:t>5607/15</w:t>
            </w:r>
          </w:p>
        </w:tc>
        <w:tc>
          <w:tcPr>
            <w:tcW w:w="3827" w:type="dxa"/>
          </w:tcPr>
          <w:p w:rsidR="00EA4398" w:rsidRPr="00936078" w:rsidRDefault="0013232F" w:rsidP="0014597B">
            <w:pPr>
              <w:rPr>
                <w:lang w:val="en-US"/>
              </w:rPr>
            </w:pPr>
            <w:hyperlink r:id="rId10" w:history="1">
              <w:r w:rsidR="00936078" w:rsidRPr="00936078">
                <w:rPr>
                  <w:rStyle w:val="Hyperlnk"/>
                  <w:lang w:val="en-US"/>
                </w:rPr>
                <w:t>Outcome of the Council meeting 3366th Council meeting Economic and Financial Affairs Brussels, 27 January 2015</w:t>
              </w:r>
            </w:hyperlink>
          </w:p>
        </w:tc>
        <w:tc>
          <w:tcPr>
            <w:tcW w:w="2829" w:type="dxa"/>
          </w:tcPr>
          <w:p w:rsidR="00EA4398" w:rsidRPr="00846860" w:rsidRDefault="00846860" w:rsidP="00846860">
            <w:r w:rsidRPr="00846860">
              <w:t>Rådet godkände en överens</w:t>
            </w:r>
            <w:r w:rsidR="00BD3BFD">
              <w:softHyphen/>
            </w:r>
            <w:r w:rsidRPr="00846860">
              <w:t>kommelse med E</w:t>
            </w:r>
            <w:r>
              <w:t>P om dir</w:t>
            </w:r>
            <w:r w:rsidR="00BD3BFD">
              <w:softHyphen/>
            </w:r>
            <w:r>
              <w:t>ekt</w:t>
            </w:r>
            <w:r w:rsidR="00BD3BFD">
              <w:softHyphen/>
            </w:r>
            <w:r>
              <w:t xml:space="preserve">ivförslaget </w:t>
            </w:r>
            <w:r w:rsidRPr="00846860">
              <w:t>om förhindra</w:t>
            </w:r>
            <w:r w:rsidR="00BD3BFD">
              <w:softHyphen/>
            </w:r>
            <w:r w:rsidRPr="00846860">
              <w:t>nde av penningtvätt och fin</w:t>
            </w:r>
            <w:r w:rsidR="00BD3BFD">
              <w:softHyphen/>
            </w:r>
            <w:r w:rsidRPr="00846860">
              <w:t>ansiering av terrorism</w:t>
            </w:r>
            <w:r>
              <w:t xml:space="preserve"> och förslaget till förordning </w:t>
            </w:r>
            <w:r w:rsidRPr="00846860">
              <w:t>om uppgifter som ska åtfölja öve</w:t>
            </w:r>
            <w:r w:rsidR="00BD3BFD">
              <w:softHyphen/>
            </w:r>
            <w:r w:rsidRPr="00846860">
              <w:t>r</w:t>
            </w:r>
            <w:r w:rsidR="00BD3BFD">
              <w:softHyphen/>
            </w:r>
            <w:r w:rsidRPr="00846860">
              <w:t xml:space="preserve">föring av medel </w:t>
            </w:r>
            <w:r w:rsidR="00325FB5">
              <w:t xml:space="preserve">för att dessa ska kunna spåras. </w:t>
            </w:r>
            <w:r w:rsidRPr="00846860">
              <w:t xml:space="preserve">Rådet och kommissionen antog också en gemensam deklaration om behovet </w:t>
            </w:r>
            <w:r>
              <w:t xml:space="preserve">av </w:t>
            </w:r>
            <w:r w:rsidRPr="00846860">
              <w:t xml:space="preserve">att ta till kraftfulla åtgärder mot </w:t>
            </w:r>
            <w:r>
              <w:t>terrorism</w:t>
            </w:r>
            <w:r w:rsidRPr="00846860">
              <w:t>finansiering.</w:t>
            </w:r>
          </w:p>
        </w:tc>
      </w:tr>
      <w:tr w:rsidR="00812343" w:rsidRPr="00846860" w:rsidTr="0014597B">
        <w:tc>
          <w:tcPr>
            <w:tcW w:w="1413" w:type="dxa"/>
          </w:tcPr>
          <w:p w:rsidR="00B15EF8" w:rsidRDefault="00B15EF8" w:rsidP="0014597B">
            <w:r>
              <w:t>2015-02-06</w:t>
            </w:r>
          </w:p>
        </w:tc>
        <w:tc>
          <w:tcPr>
            <w:tcW w:w="1701" w:type="dxa"/>
          </w:tcPr>
          <w:p w:rsidR="00B15EF8" w:rsidRPr="00936078" w:rsidRDefault="00B15EF8" w:rsidP="0014597B">
            <w:r w:rsidRPr="00B15EF8">
              <w:t>5936/15</w:t>
            </w:r>
          </w:p>
        </w:tc>
        <w:tc>
          <w:tcPr>
            <w:tcW w:w="3827" w:type="dxa"/>
          </w:tcPr>
          <w:p w:rsidR="00B15EF8" w:rsidRDefault="0013232F" w:rsidP="0014597B">
            <w:hyperlink r:id="rId11" w:history="1">
              <w:r w:rsidR="00B15EF8" w:rsidRPr="00B15EF8">
                <w:rPr>
                  <w:rStyle w:val="Hyperlnk"/>
                </w:rPr>
                <w:t>Preliminär dagordning 3368:e mötet i Europeiska unionens råd (allmänna frågor) 10 februari 2015</w:t>
              </w:r>
            </w:hyperlink>
          </w:p>
        </w:tc>
        <w:tc>
          <w:tcPr>
            <w:tcW w:w="2829" w:type="dxa"/>
          </w:tcPr>
          <w:p w:rsidR="00B15EF8" w:rsidRPr="00846860" w:rsidRDefault="00B15EF8" w:rsidP="005A12C0">
            <w:r>
              <w:t xml:space="preserve">Inga </w:t>
            </w:r>
            <w:r w:rsidR="00812343">
              <w:t>dagordningspunkter</w:t>
            </w:r>
            <w:r>
              <w:t xml:space="preserve"> som berör JuU har lagts till eller tagits bort.</w:t>
            </w:r>
          </w:p>
        </w:tc>
      </w:tr>
      <w:tr w:rsidR="00812343" w:rsidRPr="00846860" w:rsidTr="0014597B">
        <w:tc>
          <w:tcPr>
            <w:tcW w:w="1413" w:type="dxa"/>
          </w:tcPr>
          <w:p w:rsidR="006E3721" w:rsidRDefault="006E3721" w:rsidP="0014597B">
            <w:r>
              <w:t>2015-02-06</w:t>
            </w:r>
          </w:p>
        </w:tc>
        <w:tc>
          <w:tcPr>
            <w:tcW w:w="1701" w:type="dxa"/>
          </w:tcPr>
          <w:p w:rsidR="006E3721" w:rsidRPr="00B15EF8" w:rsidRDefault="006E3721" w:rsidP="0014597B">
            <w:r w:rsidRPr="006E3721">
              <w:t>5930/15</w:t>
            </w:r>
          </w:p>
        </w:tc>
        <w:tc>
          <w:tcPr>
            <w:tcW w:w="3827" w:type="dxa"/>
          </w:tcPr>
          <w:p w:rsidR="006E3721" w:rsidRDefault="0013232F" w:rsidP="0014597B">
            <w:hyperlink r:id="rId12" w:history="1">
              <w:r w:rsidR="006E3721" w:rsidRPr="006E3721">
                <w:rPr>
                  <w:rStyle w:val="Hyperlnk"/>
                </w:rPr>
                <w:t>Preliminär dagordning 3367:e mötet i Europeiska unionens råd (utrikes frågor) 9 februari 2015</w:t>
              </w:r>
            </w:hyperlink>
          </w:p>
        </w:tc>
        <w:tc>
          <w:tcPr>
            <w:tcW w:w="2829" w:type="dxa"/>
          </w:tcPr>
          <w:p w:rsidR="006E3721" w:rsidRDefault="00812343" w:rsidP="00812343">
            <w:r>
              <w:t>Ny dagordningspunkt har tillkommit: Terrorismbekämpning – Utkast till rådets slutsatser</w:t>
            </w:r>
            <w:r w:rsidR="0026093D">
              <w:t>.</w:t>
            </w:r>
          </w:p>
        </w:tc>
      </w:tr>
    </w:tbl>
    <w:p w:rsidR="00EA4398" w:rsidRDefault="00EA4398" w:rsidP="009B0AD7"/>
    <w:p w:rsidR="0013232F" w:rsidRDefault="0013232F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bookmarkStart w:id="0" w:name="_GoBack"/>
            <w:bookmarkEnd w:id="0"/>
            <w:r w:rsidRPr="005670C5">
              <w:lastRenderedPageBreak/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BD3BFD" w:rsidP="0014597B">
            <w:r>
              <w:t>2015-02-06</w:t>
            </w:r>
          </w:p>
        </w:tc>
        <w:tc>
          <w:tcPr>
            <w:tcW w:w="1701" w:type="dxa"/>
          </w:tcPr>
          <w:p w:rsidR="00EA4398" w:rsidRPr="009B0AD7" w:rsidRDefault="00BD3BFD" w:rsidP="0014597B">
            <w:pPr>
              <w:spacing w:after="0" w:line="240" w:lineRule="auto"/>
            </w:pPr>
            <w:r w:rsidRPr="00BD3BFD">
              <w:t>Rapport informella RIF 29-30 januari 2015</w:t>
            </w:r>
          </w:p>
        </w:tc>
        <w:tc>
          <w:tcPr>
            <w:tcW w:w="3827" w:type="dxa"/>
          </w:tcPr>
          <w:p w:rsidR="00EA4398" w:rsidRPr="009B0AD7" w:rsidRDefault="0013232F" w:rsidP="00EA4398">
            <w:hyperlink r:id="rId13" w:history="1">
              <w:r w:rsidR="00BD3BFD" w:rsidRPr="00BD3BFD">
                <w:rPr>
                  <w:rStyle w:val="Hyperlnk"/>
                </w:rPr>
                <w:t>Rapport från informellt möte för rättsliga och inrikes frågor den 29–30 januari 2015</w:t>
              </w:r>
            </w:hyperlink>
          </w:p>
        </w:tc>
        <w:tc>
          <w:tcPr>
            <w:tcW w:w="2829" w:type="dxa"/>
          </w:tcPr>
          <w:p w:rsidR="00EA4398" w:rsidRPr="009B0AD7" w:rsidRDefault="00EA4398" w:rsidP="0014597B"/>
        </w:tc>
      </w:tr>
    </w:tbl>
    <w:p w:rsidR="00EA4398" w:rsidRDefault="00EA4398" w:rsidP="009B0AD7"/>
    <w:sectPr w:rsidR="00EA4398" w:rsidSect="009B0AD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13232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13232F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3232F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13232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13232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96520"/>
    <w:rsid w:val="000A1FD1"/>
    <w:rsid w:val="000A3BEC"/>
    <w:rsid w:val="000A4E68"/>
    <w:rsid w:val="000A6F74"/>
    <w:rsid w:val="000A7D99"/>
    <w:rsid w:val="000B04E9"/>
    <w:rsid w:val="000B2081"/>
    <w:rsid w:val="000B247F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3232F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6093D"/>
    <w:rsid w:val="002765B1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5FB5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C4394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12C0"/>
    <w:rsid w:val="005A40D1"/>
    <w:rsid w:val="005B4F14"/>
    <w:rsid w:val="005C17AE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E3721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970F3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12343"/>
    <w:rsid w:val="008236F3"/>
    <w:rsid w:val="00823BCE"/>
    <w:rsid w:val="00824FD1"/>
    <w:rsid w:val="008316A6"/>
    <w:rsid w:val="0083183D"/>
    <w:rsid w:val="0083504D"/>
    <w:rsid w:val="00840869"/>
    <w:rsid w:val="0084232C"/>
    <w:rsid w:val="00846860"/>
    <w:rsid w:val="00847D1B"/>
    <w:rsid w:val="0085313D"/>
    <w:rsid w:val="0085704F"/>
    <w:rsid w:val="0086199E"/>
    <w:rsid w:val="00866E6F"/>
    <w:rsid w:val="00880C83"/>
    <w:rsid w:val="008820A9"/>
    <w:rsid w:val="00885D71"/>
    <w:rsid w:val="00891D7B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121EC"/>
    <w:rsid w:val="0091695B"/>
    <w:rsid w:val="009212CA"/>
    <w:rsid w:val="00922AE6"/>
    <w:rsid w:val="00933FE2"/>
    <w:rsid w:val="00936078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C4B2D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15EF8"/>
    <w:rsid w:val="00B2263F"/>
    <w:rsid w:val="00B27AF2"/>
    <w:rsid w:val="00B32F0E"/>
    <w:rsid w:val="00B47411"/>
    <w:rsid w:val="00B47570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BFD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E39D9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287E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0346" TargetMode="External"/><Relationship Id="rId13" Type="http://schemas.openxmlformats.org/officeDocument/2006/relationships/hyperlink" Target="http://lemur.riksdagen.se/Dokument/Visa.aspx?ID=2037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037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037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mur.riksdagen.se/Dokument/Visa.aspx?ID=2036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032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1117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F8A6-AB80-4BF3-BD08-AA1B1035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293</TotalTime>
  <Pages>2</Pages>
  <Words>293</Words>
  <Characters>2353</Characters>
  <Application>Microsoft Office Word</Application>
  <DocSecurity>0</DocSecurity>
  <Lines>123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Tommy Forsell</cp:lastModifiedBy>
  <cp:revision>21</cp:revision>
  <cp:lastPrinted>2015-02-10T09:22:00Z</cp:lastPrinted>
  <dcterms:created xsi:type="dcterms:W3CDTF">2015-01-29T13:08:00Z</dcterms:created>
  <dcterms:modified xsi:type="dcterms:W3CDTF">2015-02-10T09:23:00Z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