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A7C9E">
        <w:trPr>
          <w:cantSplit/>
          <w:trHeight w:val="1720"/>
        </w:trPr>
        <w:tc>
          <w:tcPr>
            <w:tcW w:w="6024" w:type="dxa"/>
            <w:gridSpan w:val="2"/>
          </w:tcPr>
          <w:p w:rsidR="000C6E9C" w:rsidRPr="00BA7C9E" w:rsidRDefault="00CB2C08" w:rsidP="0020634B">
            <w:pPr>
              <w:pStyle w:val="HuvudRubrik"/>
            </w:pPr>
            <w:r w:rsidRPr="00BA7C9E">
              <w:t>Redogörelse till riksdagen</w:t>
            </w:r>
          </w:p>
          <w:bookmarkStart w:id="0" w:name="BetänkandeNr"/>
          <w:bookmarkEnd w:id="0"/>
          <w:p w:rsidR="000C6E9C" w:rsidRPr="00BA7C9E" w:rsidRDefault="00C00D2D" w:rsidP="00045E55">
            <w:pPr>
              <w:pStyle w:val="HuvudRubrikRad2"/>
            </w:pPr>
            <w:r w:rsidRPr="00BA7C9E">
              <w:fldChar w:fldCharType="begin" w:fldLock="1"/>
            </w:r>
            <w:r w:rsidR="000C6E9C" w:rsidRPr="00BA7C9E">
              <w:instrText xml:space="preserve"> DOCPROPERTY BetänkandeÅr</w:instrText>
            </w:r>
            <w:r w:rsidRPr="00BA7C9E">
              <w:fldChar w:fldCharType="separate"/>
            </w:r>
            <w:r w:rsidR="00CB2C08" w:rsidRPr="00BA7C9E">
              <w:t>2011/12</w:t>
            </w:r>
            <w:r w:rsidRPr="00BA7C9E">
              <w:fldChar w:fldCharType="end"/>
            </w:r>
            <w:r w:rsidR="000C6E9C" w:rsidRPr="00BA7C9E">
              <w:t>:</w:t>
            </w:r>
            <w:r w:rsidRPr="00BA7C9E">
              <w:fldChar w:fldCharType="begin" w:fldLock="1"/>
            </w:r>
            <w:r w:rsidRPr="00BA7C9E">
              <w:instrText xml:space="preserve"> DOCPROPERTY Utskott</w:instrText>
            </w:r>
            <w:r w:rsidRPr="00BA7C9E">
              <w:fldChar w:fldCharType="separate"/>
            </w:r>
            <w:r w:rsidR="00CB2C08" w:rsidRPr="00BA7C9E">
              <w:t>RR</w:t>
            </w:r>
            <w:r w:rsidRPr="00BA7C9E">
              <w:fldChar w:fldCharType="end"/>
            </w:r>
            <w:r w:rsidRPr="00BA7C9E">
              <w:fldChar w:fldCharType="begin" w:fldLock="1"/>
            </w:r>
            <w:r w:rsidRPr="00BA7C9E">
              <w:instrText xml:space="preserve"> DOCPROPERTY BetänkandeNr</w:instrText>
            </w:r>
            <w:r w:rsidRPr="00BA7C9E">
              <w:fldChar w:fldCharType="separate"/>
            </w:r>
            <w:r w:rsidR="00CB2C08" w:rsidRPr="00BA7C9E">
              <w:t>1</w:t>
            </w:r>
            <w:r w:rsidRPr="00BA7C9E">
              <w:fldChar w:fldCharType="end"/>
            </w:r>
          </w:p>
        </w:tc>
        <w:tc>
          <w:tcPr>
            <w:tcW w:w="1418" w:type="dxa"/>
            <w:tcBorders>
              <w:bottom w:val="nil"/>
            </w:tcBorders>
          </w:tcPr>
          <w:p w:rsidR="000C6E9C" w:rsidRPr="00BA7C9E" w:rsidRDefault="000C6E9C">
            <w:pPr>
              <w:spacing w:line="230" w:lineRule="auto"/>
              <w:jc w:val="center"/>
            </w:pPr>
            <w:r w:rsidRPr="00BA7C9E">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2.15pt" o:ole="" fillcolor="window">
                  <v:imagedata r:id="rId7" o:title="" cropleft="42582f"/>
                </v:shape>
                <o:OLEObject Type="Embed" ProgID="Word.Picture.8" ShapeID="_x0000_i1025" DrawAspect="Content" ObjectID="_1827516135" r:id="rId8"/>
              </w:object>
            </w:r>
          </w:p>
          <w:p w:rsidR="000C6E9C" w:rsidRPr="00BA7C9E" w:rsidRDefault="000C6E9C">
            <w:pPr>
              <w:pStyle w:val="Normaltindrag"/>
              <w:jc w:val="center"/>
            </w:pPr>
          </w:p>
          <w:p w:rsidR="000C6E9C" w:rsidRPr="00BA7C9E" w:rsidRDefault="00C00D2D">
            <w:pPr>
              <w:pStyle w:val="UtskriftsdatumSida1"/>
              <w:framePr w:wrap="around"/>
            </w:pPr>
            <w:r w:rsidRPr="00BA7C9E">
              <w:fldChar w:fldCharType="begin" w:fldLock="1"/>
            </w:r>
            <w:r w:rsidR="000C6E9C" w:rsidRPr="00BA7C9E">
              <w:instrText xml:space="preserve"> if </w:instrText>
            </w:r>
            <w:r w:rsidRPr="00BA7C9E">
              <w:fldChar w:fldCharType="begin" w:fldLock="1"/>
            </w:r>
            <w:r w:rsidR="000C6E9C" w:rsidRPr="00BA7C9E">
              <w:instrText xml:space="preserve"> DOCPROPERTY "UtkastDatum"</w:instrText>
            </w:r>
            <w:r w:rsidRPr="00BA7C9E">
              <w:fldChar w:fldCharType="separate"/>
            </w:r>
            <w:r w:rsidR="00CB2C08" w:rsidRPr="00BA7C9E">
              <w:instrText>Nej</w:instrText>
            </w:r>
            <w:r w:rsidRPr="00BA7C9E">
              <w:fldChar w:fldCharType="end"/>
            </w:r>
            <w:r w:rsidR="000C6E9C" w:rsidRPr="00BA7C9E">
              <w:instrText xml:space="preserve"> = "Ja" "</w:instrText>
            </w:r>
            <w:r w:rsidRPr="00BA7C9E">
              <w:fldChar w:fldCharType="begin" w:fldLock="1"/>
            </w:r>
            <w:r w:rsidRPr="00BA7C9E">
              <w:instrText xml:space="preserve"> PRINTDATE \@ "yyyy-MM-dd HH.mm" </w:instrText>
            </w:r>
            <w:r w:rsidRPr="00BA7C9E">
              <w:fldChar w:fldCharType="separate"/>
            </w:r>
            <w:r w:rsidR="000C6E9C" w:rsidRPr="00BA7C9E">
              <w:instrText>2000-08-11 16.42</w:instrText>
            </w:r>
            <w:r w:rsidRPr="00BA7C9E">
              <w:fldChar w:fldCharType="end"/>
            </w:r>
            <w:r w:rsidR="000C6E9C" w:rsidRPr="00BA7C9E">
              <w:instrText xml:space="preserve">" </w:instrText>
            </w:r>
            <w:r w:rsidRPr="00BA7C9E">
              <w:fldChar w:fldCharType="end"/>
            </w:r>
          </w:p>
        </w:tc>
      </w:tr>
      <w:tr w:rsidR="000C6E9C" w:rsidRPr="00BA7C9E">
        <w:trPr>
          <w:cantSplit/>
        </w:trPr>
        <w:tc>
          <w:tcPr>
            <w:tcW w:w="6024" w:type="dxa"/>
            <w:gridSpan w:val="2"/>
            <w:tcBorders>
              <w:bottom w:val="single" w:sz="4" w:space="0" w:color="auto"/>
            </w:tcBorders>
          </w:tcPr>
          <w:p w:rsidR="000C6E9C" w:rsidRPr="00BA7C9E" w:rsidRDefault="00CB2C08" w:rsidP="00045E55">
            <w:pPr>
              <w:pStyle w:val="DokumentRubrik"/>
              <w:rPr>
                <w:noProof w:val="0"/>
              </w:rPr>
            </w:pPr>
            <w:bookmarkStart w:id="1" w:name="Huvudrubrik"/>
            <w:bookmarkEnd w:id="1"/>
            <w:r w:rsidRPr="00BA7C9E">
              <w:rPr>
                <w:noProof w:val="0"/>
              </w:rPr>
              <w:t xml:space="preserve">Riksrevisionens redogörelse om Riksrevisionens årsredovisning för 2011 </w:t>
            </w:r>
          </w:p>
        </w:tc>
        <w:tc>
          <w:tcPr>
            <w:tcW w:w="1418" w:type="dxa"/>
            <w:tcBorders>
              <w:bottom w:val="nil"/>
            </w:tcBorders>
          </w:tcPr>
          <w:p w:rsidR="000C6E9C" w:rsidRPr="00BA7C9E" w:rsidRDefault="000C6E9C"/>
        </w:tc>
      </w:tr>
      <w:tr w:rsidR="000C6E9C" w:rsidRPr="00BA7C9E">
        <w:trPr>
          <w:cantSplit/>
          <w:trHeight w:hRule="exact" w:val="360"/>
        </w:trPr>
        <w:tc>
          <w:tcPr>
            <w:tcW w:w="3012" w:type="dxa"/>
          </w:tcPr>
          <w:p w:rsidR="000C6E9C" w:rsidRPr="00BA7C9E" w:rsidRDefault="000C6E9C"/>
        </w:tc>
        <w:tc>
          <w:tcPr>
            <w:tcW w:w="3012" w:type="dxa"/>
          </w:tcPr>
          <w:p w:rsidR="000C6E9C" w:rsidRPr="00BA7C9E" w:rsidRDefault="000C6E9C"/>
        </w:tc>
        <w:tc>
          <w:tcPr>
            <w:tcW w:w="1418" w:type="dxa"/>
          </w:tcPr>
          <w:p w:rsidR="000C6E9C" w:rsidRPr="00BA7C9E" w:rsidRDefault="000C6E9C"/>
        </w:tc>
      </w:tr>
    </w:tbl>
    <w:p w:rsidR="000C6E9C" w:rsidRPr="00BA7C9E" w:rsidRDefault="000C6E9C"/>
    <w:p w:rsidR="00BB6924" w:rsidRPr="00BA7C9E" w:rsidRDefault="00BB6924" w:rsidP="00BB6924"/>
    <w:p w:rsidR="00BB6924" w:rsidRPr="00BA7C9E" w:rsidRDefault="00BB6924" w:rsidP="00BB6924">
      <w:pPr>
        <w:rPr>
          <w:color w:val="000000"/>
        </w:rPr>
      </w:pPr>
      <w:r w:rsidRPr="00BA7C9E">
        <w:t>Riksrevisionen överl</w:t>
      </w:r>
      <w:r w:rsidRPr="00BA7C9E">
        <w:rPr>
          <w:color w:val="000000"/>
        </w:rPr>
        <w:t xml:space="preserve">ämnar härmed Riksrevisionens årsredovisning för 2011. Enligt lagen (2002:1023) med instruktion för Riksrevisionen ska riksrevisorn med administrativt ansvar besluta om årsredovisningen för myndigheten. Årsredovisningen beslutades den 16 februari 2012 av Claes Norgren. </w:t>
      </w:r>
    </w:p>
    <w:p w:rsidR="00BB6924" w:rsidRPr="00BA7C9E" w:rsidRDefault="00BB6924" w:rsidP="00000F7E">
      <w:pPr>
        <w:spacing w:before="480"/>
      </w:pPr>
      <w:r w:rsidRPr="00BA7C9E">
        <w:t>Stockholm den 16 februari 2012</w:t>
      </w:r>
    </w:p>
    <w:p w:rsidR="00BB6924" w:rsidRPr="00BA7C9E" w:rsidRDefault="00BB6924" w:rsidP="00000F7E">
      <w:pPr>
        <w:spacing w:before="840"/>
      </w:pPr>
      <w:r w:rsidRPr="00BA7C9E">
        <w:rPr>
          <w:i/>
        </w:rPr>
        <w:t>Claes Norgren</w:t>
      </w:r>
    </w:p>
    <w:p w:rsidR="00BB6924" w:rsidRPr="00BA7C9E" w:rsidRDefault="00BB6924" w:rsidP="00BB6924">
      <w:pPr>
        <w:rPr>
          <w:i/>
        </w:rPr>
      </w:pPr>
      <w:r w:rsidRPr="00BA7C9E">
        <w:rPr>
          <w:i/>
        </w:rPr>
        <w:t>Riksrevisor</w:t>
      </w:r>
    </w:p>
    <w:p w:rsidR="00BB6924" w:rsidRPr="00BA7C9E" w:rsidRDefault="00BB6924" w:rsidP="00BB6924">
      <w:pPr>
        <w:pStyle w:val="Normaltindrag"/>
      </w:pPr>
    </w:p>
    <w:p w:rsidR="00CB2C08" w:rsidRPr="00BA7C9E" w:rsidRDefault="00CB2C08" w:rsidP="00CB2C08">
      <w:bookmarkStart w:id="2" w:name="TextStart"/>
      <w:bookmarkEnd w:id="2"/>
    </w:p>
    <w:p w:rsidR="00BB6924" w:rsidRPr="00BA7C9E" w:rsidRDefault="00BB6924" w:rsidP="00BB6924">
      <w:pPr>
        <w:pStyle w:val="Normaltindrag"/>
      </w:pPr>
    </w:p>
    <w:p w:rsidR="00BB6924" w:rsidRPr="00BA7C9E" w:rsidRDefault="00BB6924" w:rsidP="00BB6924">
      <w:pPr>
        <w:pStyle w:val="Normaltindrag"/>
      </w:pPr>
    </w:p>
    <w:p w:rsidR="00BB6924" w:rsidRPr="00BA7C9E" w:rsidRDefault="00BB6924" w:rsidP="00BB6924">
      <w:pPr>
        <w:pStyle w:val="Normaltindrag"/>
        <w:sectPr w:rsidR="00BB6924" w:rsidRPr="00BA7C9E" w:rsidSect="00193FE9">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BB6924" w:rsidRPr="00BA7C9E" w:rsidRDefault="00BB6924" w:rsidP="00BB6924">
      <w:pPr>
        <w:rPr>
          <w:rFonts w:ascii="Arial" w:hAnsi="Arial" w:cs="Arial"/>
          <w:sz w:val="36"/>
        </w:rPr>
      </w:pPr>
      <w:r w:rsidRPr="00BA7C9E">
        <w:rPr>
          <w:rFonts w:ascii="Arial" w:hAnsi="Arial" w:cs="Arial"/>
          <w:sz w:val="36"/>
        </w:rPr>
        <w:lastRenderedPageBreak/>
        <w:t>Riksrevisionens årsredovisning 2011</w:t>
      </w:r>
    </w:p>
    <w:p w:rsidR="00BB6924" w:rsidRPr="00BA7C9E" w:rsidRDefault="00BB6924" w:rsidP="00BB6924">
      <w:pPr>
        <w:pStyle w:val="Normaltindrag"/>
      </w:pPr>
    </w:p>
    <w:p w:rsidR="00BB6924" w:rsidRPr="00BA7C9E" w:rsidRDefault="00BA7C9E" w:rsidP="00BB6924">
      <w:pPr>
        <w:pStyle w:val="normalmedindrag"/>
      </w:pPr>
      <w:r w:rsidRPr="00BA7C9E">
        <w:rPr>
          <w:noProof/>
        </w:rPr>
        <w:drawing>
          <wp:anchor distT="0" distB="0" distL="114300" distR="114300" simplePos="0" relativeHeight="251657216" behindDoc="0" locked="0" layoutInCell="1" allowOverlap="1">
            <wp:simplePos x="0" y="0"/>
            <wp:positionH relativeFrom="column">
              <wp:posOffset>-60325</wp:posOffset>
            </wp:positionH>
            <wp:positionV relativeFrom="paragraph">
              <wp:posOffset>796290</wp:posOffset>
            </wp:positionV>
            <wp:extent cx="3779520" cy="1394460"/>
            <wp:effectExtent l="0" t="0" r="0" b="0"/>
            <wp:wrapTopAndBottom/>
            <wp:docPr id="12197185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t="18674" b="58542"/>
                    <a:stretch>
                      <a:fillRect/>
                    </a:stretch>
                  </pic:blipFill>
                  <pic:spPr bwMode="auto">
                    <a:xfrm>
                      <a:off x="0" y="0"/>
                      <a:ext cx="377952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6924" w:rsidRPr="00BA7C9E" w:rsidRDefault="00BB6924" w:rsidP="00BB6924">
      <w:pPr>
        <w:pStyle w:val="Rubrik1"/>
        <w:rPr>
          <w:noProof w:val="0"/>
        </w:rPr>
      </w:pPr>
      <w:bookmarkStart w:id="3" w:name="_Toc222796970"/>
      <w:bookmarkStart w:id="4" w:name="_Toc252525830"/>
      <w:bookmarkStart w:id="5" w:name="_Toc284579666"/>
      <w:bookmarkStart w:id="6" w:name="_Toc311187620"/>
      <w:bookmarkStart w:id="7" w:name="_Toc315253431"/>
      <w:bookmarkStart w:id="8" w:name="_Toc318101617"/>
      <w:r w:rsidRPr="00BA7C9E">
        <w:rPr>
          <w:noProof w:val="0"/>
        </w:rPr>
        <w:t>Grundläggande bestämmelser</w:t>
      </w:r>
      <w:bookmarkEnd w:id="3"/>
      <w:bookmarkEnd w:id="4"/>
      <w:bookmarkEnd w:id="5"/>
      <w:bookmarkEnd w:id="6"/>
      <w:bookmarkEnd w:id="7"/>
      <w:bookmarkEnd w:id="8"/>
    </w:p>
    <w:p w:rsidR="004F0CF5" w:rsidRPr="00BA7C9E" w:rsidRDefault="004F0CF5" w:rsidP="006200C1">
      <w:pPr>
        <w:pStyle w:val="Normaltindrag"/>
        <w:jc w:val="left"/>
      </w:pPr>
    </w:p>
    <w:p w:rsidR="00BB6924" w:rsidRPr="00BA7C9E" w:rsidRDefault="00BA7C9E" w:rsidP="00BB6924">
      <w:pPr>
        <w:pStyle w:val="Rubrik1"/>
        <w:rPr>
          <w:noProof w:val="0"/>
        </w:rPr>
      </w:pPr>
      <w:bookmarkStart w:id="9" w:name="_Toc311187621"/>
      <w:bookmarkStart w:id="10" w:name="_Toc315253432"/>
      <w:bookmarkStart w:id="11" w:name="_Toc318101618"/>
      <w:r w:rsidRPr="00BA7C9E">
        <w:drawing>
          <wp:anchor distT="0" distB="0" distL="114300" distR="114300" simplePos="0" relativeHeight="251658240" behindDoc="0" locked="0" layoutInCell="1" allowOverlap="1">
            <wp:simplePos x="0" y="0"/>
            <wp:positionH relativeFrom="column">
              <wp:posOffset>-120650</wp:posOffset>
            </wp:positionH>
            <wp:positionV relativeFrom="paragraph">
              <wp:posOffset>617855</wp:posOffset>
            </wp:positionV>
            <wp:extent cx="3779520" cy="2857500"/>
            <wp:effectExtent l="0" t="0" r="0" b="0"/>
            <wp:wrapSquare wrapText="bothSides"/>
            <wp:docPr id="173444374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952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924" w:rsidRPr="00BA7C9E">
        <w:rPr>
          <w:noProof w:val="0"/>
        </w:rPr>
        <w:t>Beslut, intygande och underskrift</w:t>
      </w:r>
      <w:bookmarkEnd w:id="9"/>
      <w:bookmarkEnd w:id="10"/>
      <w:bookmarkEnd w:id="11"/>
    </w:p>
    <w:p w:rsidR="00BB6924" w:rsidRPr="00BA7C9E" w:rsidRDefault="00BB6924" w:rsidP="00BB6924"/>
    <w:p w:rsidR="00C9691D" w:rsidRPr="00BA7C9E" w:rsidRDefault="00C00D2D" w:rsidP="00C9691D">
      <w:pPr>
        <w:pStyle w:val="SidfotV"/>
        <w:framePr w:w="8732" w:h="284" w:hRule="exact" w:hSpace="0" w:vSpace="0" w:wrap="around" w:xAlign="inside" w:y="13042" w:anchorLock="0"/>
      </w:pPr>
      <w:r w:rsidRPr="00BA7C9E">
        <w:fldChar w:fldCharType="begin" w:fldLock="1"/>
      </w:r>
      <w:r w:rsidR="00C9691D" w:rsidRPr="00BA7C9E">
        <w:instrText xml:space="preserve"> if </w:instrText>
      </w:r>
      <w:r w:rsidRPr="00BA7C9E">
        <w:fldChar w:fldCharType="begin" w:fldLock="1"/>
      </w:r>
      <w:r w:rsidR="00C9691D" w:rsidRPr="00BA7C9E">
        <w:instrText xml:space="preserve"> = </w:instrText>
      </w:r>
      <w:r w:rsidRPr="00BA7C9E">
        <w:fldChar w:fldCharType="begin" w:fldLock="1"/>
      </w:r>
      <w:r w:rsidR="00C9691D" w:rsidRPr="00BA7C9E">
        <w:instrText xml:space="preserve"> = </w:instrText>
      </w:r>
      <w:r w:rsidRPr="00BA7C9E">
        <w:fldChar w:fldCharType="begin" w:fldLock="1"/>
      </w:r>
      <w:r w:rsidRPr="00BA7C9E">
        <w:instrText xml:space="preserve"> page</w:instrText>
      </w:r>
      <w:r w:rsidRPr="00BA7C9E">
        <w:fldChar w:fldCharType="separate"/>
      </w:r>
      <w:r w:rsidR="00D529EB" w:rsidRPr="00BA7C9E">
        <w:instrText>2</w:instrText>
      </w:r>
      <w:r w:rsidRPr="00BA7C9E">
        <w:fldChar w:fldCharType="end"/>
      </w:r>
      <w:r w:rsidR="00C9691D" w:rsidRPr="00BA7C9E">
        <w:instrText xml:space="preserve">/2 </w:instrText>
      </w:r>
      <w:r w:rsidRPr="00BA7C9E">
        <w:fldChar w:fldCharType="separate"/>
      </w:r>
      <w:r w:rsidR="00D529EB" w:rsidRPr="00BA7C9E">
        <w:instrText>1</w:instrText>
      </w:r>
      <w:r w:rsidRPr="00BA7C9E">
        <w:fldChar w:fldCharType="end"/>
      </w:r>
      <w:r w:rsidR="00C9691D" w:rsidRPr="00BA7C9E">
        <w:instrText xml:space="preserve"> - </w:instrText>
      </w:r>
      <w:r w:rsidRPr="00BA7C9E">
        <w:fldChar w:fldCharType="begin" w:fldLock="1"/>
      </w:r>
      <w:r w:rsidR="00C9691D" w:rsidRPr="00BA7C9E">
        <w:instrText xml:space="preserve"> = int(</w:instrText>
      </w:r>
      <w:r w:rsidRPr="00BA7C9E">
        <w:fldChar w:fldCharType="begin" w:fldLock="1"/>
      </w:r>
      <w:r w:rsidRPr="00BA7C9E">
        <w:instrText xml:space="preserve"> page</w:instrText>
      </w:r>
      <w:r w:rsidRPr="00BA7C9E">
        <w:fldChar w:fldCharType="separate"/>
      </w:r>
      <w:r w:rsidR="00D529EB" w:rsidRPr="00BA7C9E">
        <w:instrText>2</w:instrText>
      </w:r>
      <w:r w:rsidRPr="00BA7C9E">
        <w:fldChar w:fldCharType="end"/>
      </w:r>
      <w:r w:rsidR="00C9691D" w:rsidRPr="00BA7C9E">
        <w:instrText xml:space="preserve">/2) </w:instrText>
      </w:r>
      <w:r w:rsidRPr="00BA7C9E">
        <w:fldChar w:fldCharType="separate"/>
      </w:r>
      <w:r w:rsidR="00D529EB" w:rsidRPr="00BA7C9E">
        <w:instrText>1</w:instrText>
      </w:r>
      <w:r w:rsidRPr="00BA7C9E">
        <w:fldChar w:fldCharType="end"/>
      </w:r>
      <w:r w:rsidRPr="00BA7C9E">
        <w:fldChar w:fldCharType="separate"/>
      </w:r>
      <w:r w:rsidR="00D529EB" w:rsidRPr="00BA7C9E">
        <w:instrText>0</w:instrText>
      </w:r>
      <w:r w:rsidRPr="00BA7C9E">
        <w:fldChar w:fldCharType="end"/>
      </w:r>
      <w:r w:rsidR="00C9691D" w:rsidRPr="00BA7C9E">
        <w:instrText xml:space="preserve"> = 0 "</w:instrText>
      </w:r>
      <w:r w:rsidRPr="00BA7C9E">
        <w:fldChar w:fldCharType="begin" w:fldLock="1"/>
      </w:r>
      <w:r w:rsidRPr="00BA7C9E">
        <w:instrText xml:space="preserve"> PAGE </w:instrText>
      </w:r>
      <w:r w:rsidRPr="00BA7C9E">
        <w:fldChar w:fldCharType="separate"/>
      </w:r>
      <w:r w:rsidR="00D529EB" w:rsidRPr="00BA7C9E">
        <w:instrText>2</w:instrText>
      </w:r>
      <w:r w:rsidRPr="00BA7C9E">
        <w:fldChar w:fldCharType="end"/>
      </w:r>
    </w:p>
    <w:p w:rsidR="00D529EB" w:rsidRPr="00BA7C9E" w:rsidRDefault="00C9691D" w:rsidP="00C9691D">
      <w:pPr>
        <w:pStyle w:val="SidfotV"/>
        <w:framePr w:w="8732" w:h="284" w:hRule="exact" w:hSpace="0" w:vSpace="0" w:wrap="around" w:xAlign="inside" w:y="13042" w:anchorLock="0"/>
      </w:pPr>
      <w:r w:rsidRPr="00BA7C9E">
        <w:instrText>""</w:instrText>
      </w:r>
      <w:r w:rsidR="00C00D2D" w:rsidRPr="00BA7C9E">
        <w:fldChar w:fldCharType="begin" w:fldLock="1"/>
      </w:r>
      <w:r w:rsidR="00C00D2D" w:rsidRPr="00BA7C9E">
        <w:instrText xml:space="preserve"> PAGE </w:instrText>
      </w:r>
      <w:r w:rsidR="00C00D2D" w:rsidRPr="00BA7C9E">
        <w:fldChar w:fldCharType="separate"/>
      </w:r>
      <w:r w:rsidR="001640A9" w:rsidRPr="00BA7C9E">
        <w:instrText>1</w:instrText>
      </w:r>
      <w:r w:rsidR="00C00D2D" w:rsidRPr="00BA7C9E">
        <w:fldChar w:fldCharType="end"/>
      </w:r>
      <w:r w:rsidRPr="00BA7C9E">
        <w:instrText>"</w:instrText>
      </w:r>
      <w:r w:rsidR="00C00D2D" w:rsidRPr="00BA7C9E">
        <w:fldChar w:fldCharType="separate"/>
      </w:r>
      <w:r w:rsidR="00D529EB" w:rsidRPr="00BA7C9E">
        <w:t>2</w:t>
      </w:r>
    </w:p>
    <w:p w:rsidR="00C9691D" w:rsidRPr="00BA7C9E" w:rsidRDefault="00C00D2D" w:rsidP="00C9691D">
      <w:pPr>
        <w:pStyle w:val="SidfotH"/>
        <w:framePr w:w="8732" w:h="284" w:hRule="exact" w:hSpace="0" w:vSpace="0" w:wrap="around" w:xAlign="inside" w:y="13042" w:anchorLock="0"/>
      </w:pPr>
      <w:r w:rsidRPr="00BA7C9E">
        <w:fldChar w:fldCharType="end"/>
      </w:r>
    </w:p>
    <w:p w:rsidR="00BB6924" w:rsidRPr="00BA7C9E" w:rsidRDefault="00BB6924" w:rsidP="00BB6924">
      <w:pPr>
        <w:pStyle w:val="Normaltindrag"/>
      </w:pPr>
    </w:p>
    <w:p w:rsidR="00BB6924" w:rsidRPr="00BA7C9E" w:rsidRDefault="00BB6924" w:rsidP="00BB6924">
      <w:pPr>
        <w:pStyle w:val="Normaltindrag"/>
      </w:pPr>
    </w:p>
    <w:p w:rsidR="00CB2C08" w:rsidRPr="00BA7C9E" w:rsidRDefault="00CB2C08" w:rsidP="00CB2C08">
      <w:pPr>
        <w:pStyle w:val="Normaltindrag"/>
      </w:pPr>
    </w:p>
    <w:p w:rsidR="00CB2C08" w:rsidRPr="00BA7C9E" w:rsidRDefault="00CB2C08" w:rsidP="00CB2C08">
      <w:pPr>
        <w:pStyle w:val="Normaltindrag"/>
        <w:sectPr w:rsidR="00CB2C08" w:rsidRPr="00BA7C9E" w:rsidSect="00193FE9">
          <w:headerReference w:type="first" r:id="rId17"/>
          <w:footerReference w:type="first" r:id="rId18"/>
          <w:pgSz w:w="11906" w:h="16838" w:code="9"/>
          <w:pgMar w:top="907" w:right="4649" w:bottom="4508" w:left="1304" w:header="340" w:footer="227" w:gutter="0"/>
          <w:cols w:space="720"/>
          <w:titlePg/>
        </w:sectPr>
      </w:pPr>
    </w:p>
    <w:p w:rsidR="00CB2C08" w:rsidRPr="00BA7C9E" w:rsidRDefault="00CB2C08" w:rsidP="004F0CF5">
      <w:pPr>
        <w:pStyle w:val="Rubrik1"/>
        <w:spacing w:after="480"/>
        <w:rPr>
          <w:noProof w:val="0"/>
        </w:rPr>
      </w:pPr>
      <w:bookmarkStart w:id="12" w:name="_Toc318101619"/>
      <w:r w:rsidRPr="00BA7C9E">
        <w:rPr>
          <w:noProof w:val="0"/>
        </w:rPr>
        <w:t>Innehållsförteckning</w:t>
      </w:r>
      <w:bookmarkEnd w:id="12"/>
    </w:p>
    <w:p w:rsidR="00661217" w:rsidRPr="00BA7C9E" w:rsidRDefault="00C00D2D">
      <w:pPr>
        <w:pStyle w:val="Innehll1"/>
        <w:rPr>
          <w:sz w:val="24"/>
          <w:szCs w:val="24"/>
        </w:rPr>
      </w:pPr>
      <w:r w:rsidRPr="00BA7C9E">
        <w:fldChar w:fldCharType="begin" w:fldLock="1"/>
      </w:r>
      <w:r w:rsidR="00CB2C08" w:rsidRPr="00BA7C9E">
        <w:instrText xml:space="preserve"> TOC \o "1-4" </w:instrText>
      </w:r>
      <w:r w:rsidRPr="00BA7C9E">
        <w:fldChar w:fldCharType="separate"/>
      </w:r>
      <w:r w:rsidR="00661217" w:rsidRPr="00BA7C9E">
        <w:t>Grundläggande bestämmelser</w:t>
      </w:r>
      <w:r w:rsidR="00661217" w:rsidRPr="00BA7C9E">
        <w:tab/>
      </w:r>
      <w:r w:rsidR="00661217" w:rsidRPr="00BA7C9E">
        <w:fldChar w:fldCharType="begin" w:fldLock="1"/>
      </w:r>
      <w:r w:rsidR="00661217" w:rsidRPr="00BA7C9E">
        <w:instrText xml:space="preserve"> PAGEREF _Toc318101617 \h </w:instrText>
      </w:r>
      <w:r w:rsidR="00661217" w:rsidRPr="00BA7C9E">
        <w:fldChar w:fldCharType="separate"/>
      </w:r>
      <w:r w:rsidR="00D529EB" w:rsidRPr="00BA7C9E">
        <w:t>2</w:t>
      </w:r>
      <w:r w:rsidR="00661217" w:rsidRPr="00BA7C9E">
        <w:fldChar w:fldCharType="end"/>
      </w:r>
    </w:p>
    <w:p w:rsidR="00661217" w:rsidRPr="00BA7C9E" w:rsidRDefault="00661217">
      <w:pPr>
        <w:pStyle w:val="Innehll1"/>
        <w:rPr>
          <w:sz w:val="24"/>
          <w:szCs w:val="24"/>
        </w:rPr>
      </w:pPr>
      <w:r w:rsidRPr="00BA7C9E">
        <w:t>Beslut, intygande och underskrift</w:t>
      </w:r>
      <w:r w:rsidRPr="00BA7C9E">
        <w:tab/>
      </w:r>
      <w:r w:rsidRPr="00BA7C9E">
        <w:fldChar w:fldCharType="begin" w:fldLock="1"/>
      </w:r>
      <w:r w:rsidRPr="00BA7C9E">
        <w:instrText xml:space="preserve"> PAGEREF _Toc318101618 \h </w:instrText>
      </w:r>
      <w:r w:rsidRPr="00BA7C9E">
        <w:fldChar w:fldCharType="separate"/>
      </w:r>
      <w:r w:rsidR="00D529EB" w:rsidRPr="00BA7C9E">
        <w:t>2</w:t>
      </w:r>
      <w:r w:rsidRPr="00BA7C9E">
        <w:fldChar w:fldCharType="end"/>
      </w:r>
    </w:p>
    <w:p w:rsidR="00661217" w:rsidRPr="00BA7C9E" w:rsidRDefault="00661217">
      <w:pPr>
        <w:pStyle w:val="Innehll1"/>
        <w:rPr>
          <w:sz w:val="24"/>
          <w:szCs w:val="24"/>
        </w:rPr>
      </w:pPr>
      <w:r w:rsidRPr="00BA7C9E">
        <w:t>Innehållsförteckning</w:t>
      </w:r>
      <w:r w:rsidRPr="00BA7C9E">
        <w:tab/>
      </w:r>
      <w:r w:rsidRPr="00BA7C9E">
        <w:fldChar w:fldCharType="begin" w:fldLock="1"/>
      </w:r>
      <w:r w:rsidRPr="00BA7C9E">
        <w:instrText xml:space="preserve"> PAGEREF _Toc318101619 \h </w:instrText>
      </w:r>
      <w:r w:rsidRPr="00BA7C9E">
        <w:fldChar w:fldCharType="separate"/>
      </w:r>
      <w:r w:rsidR="00D529EB" w:rsidRPr="00BA7C9E">
        <w:t>3</w:t>
      </w:r>
      <w:r w:rsidRPr="00BA7C9E">
        <w:fldChar w:fldCharType="end"/>
      </w:r>
    </w:p>
    <w:p w:rsidR="00661217" w:rsidRPr="00BA7C9E" w:rsidRDefault="00661217">
      <w:pPr>
        <w:pStyle w:val="Innehll1"/>
        <w:rPr>
          <w:sz w:val="24"/>
          <w:szCs w:val="24"/>
        </w:rPr>
      </w:pPr>
      <w:r w:rsidRPr="00BA7C9E">
        <w:t>Förord</w:t>
      </w:r>
      <w:r w:rsidRPr="00BA7C9E">
        <w:tab/>
      </w:r>
      <w:r w:rsidRPr="00BA7C9E">
        <w:fldChar w:fldCharType="begin" w:fldLock="1"/>
      </w:r>
      <w:r w:rsidRPr="00BA7C9E">
        <w:instrText xml:space="preserve"> PAGEREF _Toc318101620 \h </w:instrText>
      </w:r>
      <w:r w:rsidRPr="00BA7C9E">
        <w:fldChar w:fldCharType="separate"/>
      </w:r>
      <w:r w:rsidR="00D529EB" w:rsidRPr="00BA7C9E">
        <w:t>4</w:t>
      </w:r>
      <w:r w:rsidRPr="00BA7C9E">
        <w:fldChar w:fldCharType="end"/>
      </w:r>
    </w:p>
    <w:p w:rsidR="00661217" w:rsidRPr="00BA7C9E" w:rsidRDefault="00661217">
      <w:pPr>
        <w:pStyle w:val="Innehll1"/>
        <w:rPr>
          <w:sz w:val="24"/>
          <w:szCs w:val="24"/>
        </w:rPr>
      </w:pPr>
      <w:r w:rsidRPr="00BA7C9E">
        <w:t>Resultatredovisning</w:t>
      </w:r>
      <w:r w:rsidRPr="00BA7C9E">
        <w:tab/>
      </w:r>
      <w:r w:rsidRPr="00BA7C9E">
        <w:fldChar w:fldCharType="begin" w:fldLock="1"/>
      </w:r>
      <w:r w:rsidRPr="00BA7C9E">
        <w:instrText xml:space="preserve"> PAGEREF _Toc318101621 \h </w:instrText>
      </w:r>
      <w:r w:rsidRPr="00BA7C9E">
        <w:fldChar w:fldCharType="separate"/>
      </w:r>
      <w:r w:rsidR="00D529EB" w:rsidRPr="00BA7C9E">
        <w:t>6</w:t>
      </w:r>
      <w:r w:rsidRPr="00BA7C9E">
        <w:fldChar w:fldCharType="end"/>
      </w:r>
    </w:p>
    <w:p w:rsidR="00661217" w:rsidRPr="00BA7C9E" w:rsidRDefault="00661217">
      <w:pPr>
        <w:pStyle w:val="Innehll2"/>
        <w:rPr>
          <w:sz w:val="24"/>
          <w:szCs w:val="24"/>
        </w:rPr>
      </w:pPr>
      <w:r w:rsidRPr="00BA7C9E">
        <w:t>Verksamhetens resultat</w:t>
      </w:r>
      <w:r w:rsidRPr="00BA7C9E">
        <w:tab/>
      </w:r>
      <w:r w:rsidRPr="00BA7C9E">
        <w:fldChar w:fldCharType="begin" w:fldLock="1"/>
      </w:r>
      <w:r w:rsidRPr="00BA7C9E">
        <w:instrText xml:space="preserve"> PAGEREF _Toc318101622 \h </w:instrText>
      </w:r>
      <w:r w:rsidRPr="00BA7C9E">
        <w:fldChar w:fldCharType="separate"/>
      </w:r>
      <w:r w:rsidR="00D529EB" w:rsidRPr="00BA7C9E">
        <w:t>6</w:t>
      </w:r>
      <w:r w:rsidRPr="00BA7C9E">
        <w:fldChar w:fldCharType="end"/>
      </w:r>
    </w:p>
    <w:p w:rsidR="00661217" w:rsidRPr="00BA7C9E" w:rsidRDefault="00661217">
      <w:pPr>
        <w:pStyle w:val="Innehll2"/>
        <w:rPr>
          <w:sz w:val="24"/>
          <w:szCs w:val="24"/>
        </w:rPr>
      </w:pPr>
      <w:r w:rsidRPr="00BA7C9E">
        <w:t>Ekonomisk översikt</w:t>
      </w:r>
      <w:r w:rsidRPr="00BA7C9E">
        <w:tab/>
      </w:r>
      <w:r w:rsidRPr="00BA7C9E">
        <w:fldChar w:fldCharType="begin" w:fldLock="1"/>
      </w:r>
      <w:r w:rsidRPr="00BA7C9E">
        <w:instrText xml:space="preserve"> PAGEREF _Toc318101623 \h </w:instrText>
      </w:r>
      <w:r w:rsidRPr="00BA7C9E">
        <w:fldChar w:fldCharType="separate"/>
      </w:r>
      <w:r w:rsidR="00D529EB" w:rsidRPr="00BA7C9E">
        <w:t>8</w:t>
      </w:r>
      <w:r w:rsidRPr="00BA7C9E">
        <w:fldChar w:fldCharType="end"/>
      </w:r>
    </w:p>
    <w:p w:rsidR="00661217" w:rsidRPr="00BA7C9E" w:rsidRDefault="00661217">
      <w:pPr>
        <w:pStyle w:val="Innehll3"/>
        <w:rPr>
          <w:sz w:val="24"/>
          <w:szCs w:val="24"/>
        </w:rPr>
      </w:pPr>
      <w:r w:rsidRPr="00BA7C9E">
        <w:t>Finansiering och kostnader</w:t>
      </w:r>
      <w:r w:rsidRPr="00BA7C9E">
        <w:tab/>
      </w:r>
      <w:r w:rsidRPr="00BA7C9E">
        <w:fldChar w:fldCharType="begin" w:fldLock="1"/>
      </w:r>
      <w:r w:rsidRPr="00BA7C9E">
        <w:instrText xml:space="preserve"> PAGEREF _Toc318101624 \h </w:instrText>
      </w:r>
      <w:r w:rsidRPr="00BA7C9E">
        <w:fldChar w:fldCharType="separate"/>
      </w:r>
      <w:r w:rsidR="00D529EB" w:rsidRPr="00BA7C9E">
        <w:t>8</w:t>
      </w:r>
      <w:r w:rsidRPr="00BA7C9E">
        <w:fldChar w:fldCharType="end"/>
      </w:r>
    </w:p>
    <w:p w:rsidR="00661217" w:rsidRPr="00BA7C9E" w:rsidRDefault="00661217">
      <w:pPr>
        <w:pStyle w:val="Innehll2"/>
        <w:rPr>
          <w:sz w:val="24"/>
          <w:szCs w:val="24"/>
        </w:rPr>
      </w:pPr>
      <w:r w:rsidRPr="00BA7C9E">
        <w:t>Årlig revision</w:t>
      </w:r>
      <w:r w:rsidRPr="00BA7C9E">
        <w:tab/>
      </w:r>
      <w:r w:rsidRPr="00BA7C9E">
        <w:fldChar w:fldCharType="begin" w:fldLock="1"/>
      </w:r>
      <w:r w:rsidRPr="00BA7C9E">
        <w:instrText xml:space="preserve"> PAGEREF _Toc318101625 \h </w:instrText>
      </w:r>
      <w:r w:rsidRPr="00BA7C9E">
        <w:fldChar w:fldCharType="separate"/>
      </w:r>
      <w:r w:rsidR="00D529EB" w:rsidRPr="00BA7C9E">
        <w:t>10</w:t>
      </w:r>
      <w:r w:rsidRPr="00BA7C9E">
        <w:fldChar w:fldCharType="end"/>
      </w:r>
    </w:p>
    <w:p w:rsidR="00661217" w:rsidRPr="00BA7C9E" w:rsidRDefault="00661217">
      <w:pPr>
        <w:pStyle w:val="Innehll3"/>
        <w:rPr>
          <w:sz w:val="24"/>
          <w:szCs w:val="24"/>
        </w:rPr>
      </w:pPr>
      <w:r w:rsidRPr="00BA7C9E">
        <w:t>Mål</w:t>
      </w:r>
      <w:r w:rsidRPr="00BA7C9E">
        <w:tab/>
      </w:r>
      <w:r w:rsidRPr="00BA7C9E">
        <w:fldChar w:fldCharType="begin" w:fldLock="1"/>
      </w:r>
      <w:r w:rsidRPr="00BA7C9E">
        <w:instrText xml:space="preserve"> PAGEREF _Toc318101626 \h </w:instrText>
      </w:r>
      <w:r w:rsidRPr="00BA7C9E">
        <w:fldChar w:fldCharType="separate"/>
      </w:r>
      <w:r w:rsidR="00D529EB" w:rsidRPr="00BA7C9E">
        <w:t>10</w:t>
      </w:r>
      <w:r w:rsidRPr="00BA7C9E">
        <w:fldChar w:fldCharType="end"/>
      </w:r>
    </w:p>
    <w:p w:rsidR="00661217" w:rsidRPr="00BA7C9E" w:rsidRDefault="00661217">
      <w:pPr>
        <w:pStyle w:val="Innehll3"/>
        <w:rPr>
          <w:sz w:val="24"/>
          <w:szCs w:val="24"/>
        </w:rPr>
      </w:pPr>
      <w:r w:rsidRPr="00BA7C9E">
        <w:t>Resultat och bedömning</w:t>
      </w:r>
      <w:r w:rsidRPr="00BA7C9E">
        <w:tab/>
      </w:r>
      <w:r w:rsidRPr="00BA7C9E">
        <w:fldChar w:fldCharType="begin" w:fldLock="1"/>
      </w:r>
      <w:r w:rsidRPr="00BA7C9E">
        <w:instrText xml:space="preserve"> PAGEREF _Toc318101627 \h </w:instrText>
      </w:r>
      <w:r w:rsidRPr="00BA7C9E">
        <w:fldChar w:fldCharType="separate"/>
      </w:r>
      <w:r w:rsidR="00D529EB" w:rsidRPr="00BA7C9E">
        <w:t>10</w:t>
      </w:r>
      <w:r w:rsidRPr="00BA7C9E">
        <w:fldChar w:fldCharType="end"/>
      </w:r>
    </w:p>
    <w:p w:rsidR="00661217" w:rsidRPr="00BA7C9E" w:rsidRDefault="00661217">
      <w:pPr>
        <w:pStyle w:val="Innehll2"/>
        <w:rPr>
          <w:sz w:val="24"/>
          <w:szCs w:val="24"/>
        </w:rPr>
      </w:pPr>
      <w:r w:rsidRPr="00BA7C9E">
        <w:t>Effektivitetsrevision</w:t>
      </w:r>
      <w:r w:rsidRPr="00BA7C9E">
        <w:tab/>
      </w:r>
      <w:r w:rsidRPr="00BA7C9E">
        <w:fldChar w:fldCharType="begin" w:fldLock="1"/>
      </w:r>
      <w:r w:rsidRPr="00BA7C9E">
        <w:instrText xml:space="preserve"> PAGEREF _Toc318101628 \h </w:instrText>
      </w:r>
      <w:r w:rsidRPr="00BA7C9E">
        <w:fldChar w:fldCharType="separate"/>
      </w:r>
      <w:r w:rsidR="00D529EB" w:rsidRPr="00BA7C9E">
        <w:t>15</w:t>
      </w:r>
      <w:r w:rsidRPr="00BA7C9E">
        <w:fldChar w:fldCharType="end"/>
      </w:r>
    </w:p>
    <w:p w:rsidR="00661217" w:rsidRPr="00BA7C9E" w:rsidRDefault="00661217">
      <w:pPr>
        <w:pStyle w:val="Innehll3"/>
        <w:rPr>
          <w:sz w:val="24"/>
          <w:szCs w:val="24"/>
        </w:rPr>
      </w:pPr>
      <w:r w:rsidRPr="00BA7C9E">
        <w:t>Mål</w:t>
      </w:r>
      <w:r w:rsidRPr="00BA7C9E">
        <w:tab/>
      </w:r>
      <w:r w:rsidRPr="00BA7C9E">
        <w:fldChar w:fldCharType="begin" w:fldLock="1"/>
      </w:r>
      <w:r w:rsidRPr="00BA7C9E">
        <w:instrText xml:space="preserve"> PAGEREF _Toc318101629 \h </w:instrText>
      </w:r>
      <w:r w:rsidRPr="00BA7C9E">
        <w:fldChar w:fldCharType="separate"/>
      </w:r>
      <w:r w:rsidR="00D529EB" w:rsidRPr="00BA7C9E">
        <w:t>15</w:t>
      </w:r>
      <w:r w:rsidRPr="00BA7C9E">
        <w:fldChar w:fldCharType="end"/>
      </w:r>
    </w:p>
    <w:p w:rsidR="00661217" w:rsidRPr="00BA7C9E" w:rsidRDefault="00661217">
      <w:pPr>
        <w:pStyle w:val="Innehll3"/>
        <w:rPr>
          <w:sz w:val="24"/>
          <w:szCs w:val="24"/>
        </w:rPr>
      </w:pPr>
      <w:r w:rsidRPr="00BA7C9E">
        <w:t>Resultat och bedömning</w:t>
      </w:r>
      <w:r w:rsidRPr="00BA7C9E">
        <w:tab/>
      </w:r>
      <w:r w:rsidRPr="00BA7C9E">
        <w:fldChar w:fldCharType="begin" w:fldLock="1"/>
      </w:r>
      <w:r w:rsidRPr="00BA7C9E">
        <w:instrText xml:space="preserve"> PAGEREF _Toc318101630 \h </w:instrText>
      </w:r>
      <w:r w:rsidRPr="00BA7C9E">
        <w:fldChar w:fldCharType="separate"/>
      </w:r>
      <w:r w:rsidR="00D529EB" w:rsidRPr="00BA7C9E">
        <w:t>15</w:t>
      </w:r>
      <w:r w:rsidRPr="00BA7C9E">
        <w:fldChar w:fldCharType="end"/>
      </w:r>
    </w:p>
    <w:p w:rsidR="00661217" w:rsidRPr="00BA7C9E" w:rsidRDefault="00661217">
      <w:pPr>
        <w:pStyle w:val="Innehll2"/>
        <w:rPr>
          <w:sz w:val="24"/>
          <w:szCs w:val="24"/>
        </w:rPr>
      </w:pPr>
      <w:r w:rsidRPr="00BA7C9E">
        <w:t>Internationellt utvecklingssamarbete</w:t>
      </w:r>
      <w:r w:rsidRPr="00BA7C9E">
        <w:tab/>
      </w:r>
      <w:r w:rsidRPr="00BA7C9E">
        <w:fldChar w:fldCharType="begin" w:fldLock="1"/>
      </w:r>
      <w:r w:rsidRPr="00BA7C9E">
        <w:instrText xml:space="preserve"> PAGEREF _Toc318101631 \h </w:instrText>
      </w:r>
      <w:r w:rsidRPr="00BA7C9E">
        <w:fldChar w:fldCharType="separate"/>
      </w:r>
      <w:r w:rsidR="00D529EB" w:rsidRPr="00BA7C9E">
        <w:t>21</w:t>
      </w:r>
      <w:r w:rsidRPr="00BA7C9E">
        <w:fldChar w:fldCharType="end"/>
      </w:r>
    </w:p>
    <w:p w:rsidR="00661217" w:rsidRPr="00BA7C9E" w:rsidRDefault="00661217">
      <w:pPr>
        <w:pStyle w:val="Innehll3"/>
        <w:rPr>
          <w:sz w:val="24"/>
          <w:szCs w:val="24"/>
        </w:rPr>
      </w:pPr>
      <w:r w:rsidRPr="00BA7C9E">
        <w:t>Mål</w:t>
      </w:r>
      <w:r w:rsidRPr="00BA7C9E">
        <w:tab/>
      </w:r>
      <w:r w:rsidRPr="00BA7C9E">
        <w:fldChar w:fldCharType="begin" w:fldLock="1"/>
      </w:r>
      <w:r w:rsidRPr="00BA7C9E">
        <w:instrText xml:space="preserve"> PAGEREF _Toc318101632 \h </w:instrText>
      </w:r>
      <w:r w:rsidRPr="00BA7C9E">
        <w:fldChar w:fldCharType="separate"/>
      </w:r>
      <w:r w:rsidR="00D529EB" w:rsidRPr="00BA7C9E">
        <w:t>21</w:t>
      </w:r>
      <w:r w:rsidRPr="00BA7C9E">
        <w:fldChar w:fldCharType="end"/>
      </w:r>
    </w:p>
    <w:p w:rsidR="00661217" w:rsidRPr="00BA7C9E" w:rsidRDefault="00661217">
      <w:pPr>
        <w:pStyle w:val="Innehll3"/>
        <w:rPr>
          <w:sz w:val="24"/>
          <w:szCs w:val="24"/>
        </w:rPr>
      </w:pPr>
      <w:r w:rsidRPr="00BA7C9E">
        <w:t>Resultat och bedömning</w:t>
      </w:r>
      <w:r w:rsidRPr="00BA7C9E">
        <w:tab/>
      </w:r>
      <w:r w:rsidRPr="00BA7C9E">
        <w:fldChar w:fldCharType="begin" w:fldLock="1"/>
      </w:r>
      <w:r w:rsidRPr="00BA7C9E">
        <w:instrText xml:space="preserve"> PAGEREF _Toc318101633 \h </w:instrText>
      </w:r>
      <w:r w:rsidRPr="00BA7C9E">
        <w:fldChar w:fldCharType="separate"/>
      </w:r>
      <w:r w:rsidR="00D529EB" w:rsidRPr="00BA7C9E">
        <w:t>21</w:t>
      </w:r>
      <w:r w:rsidRPr="00BA7C9E">
        <w:fldChar w:fldCharType="end"/>
      </w:r>
    </w:p>
    <w:p w:rsidR="00661217" w:rsidRPr="00BA7C9E" w:rsidRDefault="00661217">
      <w:pPr>
        <w:pStyle w:val="Innehll2"/>
        <w:rPr>
          <w:sz w:val="24"/>
          <w:szCs w:val="24"/>
        </w:rPr>
      </w:pPr>
      <w:r w:rsidRPr="00BA7C9E">
        <w:t>Omvärldsriktad verksamhet</w:t>
      </w:r>
      <w:r w:rsidRPr="00BA7C9E">
        <w:tab/>
      </w:r>
      <w:r w:rsidRPr="00BA7C9E">
        <w:fldChar w:fldCharType="begin" w:fldLock="1"/>
      </w:r>
      <w:r w:rsidRPr="00BA7C9E">
        <w:instrText xml:space="preserve"> PAGEREF _Toc318101634 \h </w:instrText>
      </w:r>
      <w:r w:rsidRPr="00BA7C9E">
        <w:fldChar w:fldCharType="separate"/>
      </w:r>
      <w:r w:rsidR="00D529EB" w:rsidRPr="00BA7C9E">
        <w:t>28</w:t>
      </w:r>
      <w:r w:rsidRPr="00BA7C9E">
        <w:fldChar w:fldCharType="end"/>
      </w:r>
    </w:p>
    <w:p w:rsidR="00661217" w:rsidRPr="00BA7C9E" w:rsidRDefault="00661217">
      <w:pPr>
        <w:pStyle w:val="Innehll3"/>
        <w:rPr>
          <w:sz w:val="24"/>
          <w:szCs w:val="24"/>
        </w:rPr>
      </w:pPr>
      <w:r w:rsidRPr="00BA7C9E">
        <w:t>Mål</w:t>
      </w:r>
      <w:r w:rsidRPr="00BA7C9E">
        <w:tab/>
      </w:r>
      <w:r w:rsidRPr="00BA7C9E">
        <w:fldChar w:fldCharType="begin" w:fldLock="1"/>
      </w:r>
      <w:r w:rsidRPr="00BA7C9E">
        <w:instrText xml:space="preserve"> PAGEREF _Toc318101635 \h </w:instrText>
      </w:r>
      <w:r w:rsidRPr="00BA7C9E">
        <w:fldChar w:fldCharType="separate"/>
      </w:r>
      <w:r w:rsidR="00D529EB" w:rsidRPr="00BA7C9E">
        <w:t>28</w:t>
      </w:r>
      <w:r w:rsidRPr="00BA7C9E">
        <w:fldChar w:fldCharType="end"/>
      </w:r>
    </w:p>
    <w:p w:rsidR="00661217" w:rsidRPr="00BA7C9E" w:rsidRDefault="00661217">
      <w:pPr>
        <w:pStyle w:val="Innehll3"/>
        <w:rPr>
          <w:sz w:val="24"/>
          <w:szCs w:val="24"/>
        </w:rPr>
      </w:pPr>
      <w:r w:rsidRPr="00BA7C9E">
        <w:t>Resultat och bedömning</w:t>
      </w:r>
      <w:r w:rsidRPr="00BA7C9E">
        <w:tab/>
      </w:r>
      <w:r w:rsidRPr="00BA7C9E">
        <w:fldChar w:fldCharType="begin" w:fldLock="1"/>
      </w:r>
      <w:r w:rsidRPr="00BA7C9E">
        <w:instrText xml:space="preserve"> PAGEREF _Toc318101636 \h </w:instrText>
      </w:r>
      <w:r w:rsidRPr="00BA7C9E">
        <w:fldChar w:fldCharType="separate"/>
      </w:r>
      <w:r w:rsidR="00D529EB" w:rsidRPr="00BA7C9E">
        <w:t>28</w:t>
      </w:r>
      <w:r w:rsidRPr="00BA7C9E">
        <w:fldChar w:fldCharType="end"/>
      </w:r>
    </w:p>
    <w:p w:rsidR="00661217" w:rsidRPr="00BA7C9E" w:rsidRDefault="00661217">
      <w:pPr>
        <w:pStyle w:val="Innehll2"/>
        <w:rPr>
          <w:sz w:val="24"/>
          <w:szCs w:val="24"/>
        </w:rPr>
      </w:pPr>
      <w:r w:rsidRPr="00BA7C9E">
        <w:t>Parlamentariska rådet</w:t>
      </w:r>
      <w:r w:rsidRPr="00BA7C9E">
        <w:tab/>
      </w:r>
      <w:r w:rsidRPr="00BA7C9E">
        <w:fldChar w:fldCharType="begin" w:fldLock="1"/>
      </w:r>
      <w:r w:rsidRPr="00BA7C9E">
        <w:instrText xml:space="preserve"> PAGEREF _Toc318101637 \h </w:instrText>
      </w:r>
      <w:r w:rsidRPr="00BA7C9E">
        <w:fldChar w:fldCharType="separate"/>
      </w:r>
      <w:r w:rsidR="00D529EB" w:rsidRPr="00BA7C9E">
        <w:t>33</w:t>
      </w:r>
      <w:r w:rsidRPr="00BA7C9E">
        <w:fldChar w:fldCharType="end"/>
      </w:r>
    </w:p>
    <w:p w:rsidR="00661217" w:rsidRPr="00BA7C9E" w:rsidRDefault="00661217">
      <w:pPr>
        <w:pStyle w:val="Innehll2"/>
        <w:rPr>
          <w:sz w:val="24"/>
          <w:szCs w:val="24"/>
        </w:rPr>
      </w:pPr>
      <w:r w:rsidRPr="00BA7C9E">
        <w:t>Vetenskapliga rådet</w:t>
      </w:r>
      <w:r w:rsidRPr="00BA7C9E">
        <w:tab/>
      </w:r>
      <w:r w:rsidRPr="00BA7C9E">
        <w:fldChar w:fldCharType="begin" w:fldLock="1"/>
      </w:r>
      <w:r w:rsidRPr="00BA7C9E">
        <w:instrText xml:space="preserve"> PAGEREF _Toc318101638 \h </w:instrText>
      </w:r>
      <w:r w:rsidRPr="00BA7C9E">
        <w:fldChar w:fldCharType="separate"/>
      </w:r>
      <w:r w:rsidR="00D529EB" w:rsidRPr="00BA7C9E">
        <w:t>34</w:t>
      </w:r>
      <w:r w:rsidRPr="00BA7C9E">
        <w:fldChar w:fldCharType="end"/>
      </w:r>
    </w:p>
    <w:p w:rsidR="00661217" w:rsidRPr="00BA7C9E" w:rsidRDefault="00661217">
      <w:pPr>
        <w:pStyle w:val="Innehll2"/>
        <w:rPr>
          <w:sz w:val="24"/>
          <w:szCs w:val="24"/>
        </w:rPr>
      </w:pPr>
      <w:r w:rsidRPr="00BA7C9E">
        <w:t>Kompetens och personal</w:t>
      </w:r>
      <w:r w:rsidRPr="00BA7C9E">
        <w:tab/>
      </w:r>
      <w:r w:rsidRPr="00BA7C9E">
        <w:fldChar w:fldCharType="begin" w:fldLock="1"/>
      </w:r>
      <w:r w:rsidRPr="00BA7C9E">
        <w:instrText xml:space="preserve"> PAGEREF _Toc318101639 \h </w:instrText>
      </w:r>
      <w:r w:rsidRPr="00BA7C9E">
        <w:fldChar w:fldCharType="separate"/>
      </w:r>
      <w:r w:rsidR="00D529EB" w:rsidRPr="00BA7C9E">
        <w:t>35</w:t>
      </w:r>
      <w:r w:rsidRPr="00BA7C9E">
        <w:fldChar w:fldCharType="end"/>
      </w:r>
    </w:p>
    <w:p w:rsidR="00661217" w:rsidRPr="00BA7C9E" w:rsidRDefault="00661217">
      <w:pPr>
        <w:pStyle w:val="Innehll3"/>
        <w:rPr>
          <w:sz w:val="24"/>
          <w:szCs w:val="24"/>
        </w:rPr>
      </w:pPr>
      <w:r w:rsidRPr="00BA7C9E">
        <w:t>Sammanfattande bedömning</w:t>
      </w:r>
      <w:r w:rsidRPr="00BA7C9E">
        <w:tab/>
      </w:r>
      <w:r w:rsidRPr="00BA7C9E">
        <w:fldChar w:fldCharType="begin" w:fldLock="1"/>
      </w:r>
      <w:r w:rsidRPr="00BA7C9E">
        <w:instrText xml:space="preserve"> PAGEREF _Toc318101640 \h </w:instrText>
      </w:r>
      <w:r w:rsidRPr="00BA7C9E">
        <w:fldChar w:fldCharType="separate"/>
      </w:r>
      <w:r w:rsidR="00D529EB" w:rsidRPr="00BA7C9E">
        <w:t>35</w:t>
      </w:r>
      <w:r w:rsidRPr="00BA7C9E">
        <w:fldChar w:fldCharType="end"/>
      </w:r>
    </w:p>
    <w:p w:rsidR="00661217" w:rsidRPr="00BA7C9E" w:rsidRDefault="00661217">
      <w:pPr>
        <w:pStyle w:val="Innehll3"/>
        <w:rPr>
          <w:sz w:val="24"/>
          <w:szCs w:val="24"/>
        </w:rPr>
      </w:pPr>
      <w:r w:rsidRPr="00BA7C9E">
        <w:t>Kompetens</w:t>
      </w:r>
      <w:r w:rsidRPr="00BA7C9E">
        <w:tab/>
      </w:r>
      <w:r w:rsidRPr="00BA7C9E">
        <w:fldChar w:fldCharType="begin" w:fldLock="1"/>
      </w:r>
      <w:r w:rsidRPr="00BA7C9E">
        <w:instrText xml:space="preserve"> PAGEREF _Toc318101641 \h </w:instrText>
      </w:r>
      <w:r w:rsidRPr="00BA7C9E">
        <w:fldChar w:fldCharType="separate"/>
      </w:r>
      <w:r w:rsidR="00D529EB" w:rsidRPr="00BA7C9E">
        <w:t>35</w:t>
      </w:r>
      <w:r w:rsidRPr="00BA7C9E">
        <w:fldChar w:fldCharType="end"/>
      </w:r>
    </w:p>
    <w:p w:rsidR="00661217" w:rsidRPr="00BA7C9E" w:rsidRDefault="00661217">
      <w:pPr>
        <w:pStyle w:val="Innehll3"/>
        <w:rPr>
          <w:sz w:val="24"/>
          <w:szCs w:val="24"/>
        </w:rPr>
      </w:pPr>
      <w:r w:rsidRPr="00BA7C9E">
        <w:t>Personal</w:t>
      </w:r>
      <w:r w:rsidRPr="00BA7C9E">
        <w:tab/>
      </w:r>
      <w:r w:rsidRPr="00BA7C9E">
        <w:fldChar w:fldCharType="begin" w:fldLock="1"/>
      </w:r>
      <w:r w:rsidRPr="00BA7C9E">
        <w:instrText xml:space="preserve"> PAGEREF _Toc318101642 \h </w:instrText>
      </w:r>
      <w:r w:rsidRPr="00BA7C9E">
        <w:fldChar w:fldCharType="separate"/>
      </w:r>
      <w:r w:rsidR="00D529EB" w:rsidRPr="00BA7C9E">
        <w:t>39</w:t>
      </w:r>
      <w:r w:rsidRPr="00BA7C9E">
        <w:fldChar w:fldCharType="end"/>
      </w:r>
    </w:p>
    <w:p w:rsidR="00661217" w:rsidRPr="00BA7C9E" w:rsidRDefault="00661217">
      <w:pPr>
        <w:pStyle w:val="Innehll2"/>
        <w:rPr>
          <w:sz w:val="24"/>
          <w:szCs w:val="24"/>
        </w:rPr>
      </w:pPr>
      <w:r w:rsidRPr="00BA7C9E">
        <w:t>Intern styrning och kontroll</w:t>
      </w:r>
      <w:r w:rsidRPr="00BA7C9E">
        <w:tab/>
      </w:r>
      <w:r w:rsidRPr="00BA7C9E">
        <w:fldChar w:fldCharType="begin" w:fldLock="1"/>
      </w:r>
      <w:r w:rsidRPr="00BA7C9E">
        <w:instrText xml:space="preserve"> PAGEREF _Toc318101643 \h </w:instrText>
      </w:r>
      <w:r w:rsidRPr="00BA7C9E">
        <w:fldChar w:fldCharType="separate"/>
      </w:r>
      <w:r w:rsidR="00D529EB" w:rsidRPr="00BA7C9E">
        <w:t>41</w:t>
      </w:r>
      <w:r w:rsidRPr="00BA7C9E">
        <w:fldChar w:fldCharType="end"/>
      </w:r>
    </w:p>
    <w:p w:rsidR="00661217" w:rsidRPr="00BA7C9E" w:rsidRDefault="00661217">
      <w:pPr>
        <w:pStyle w:val="Innehll3"/>
        <w:rPr>
          <w:sz w:val="24"/>
          <w:szCs w:val="24"/>
        </w:rPr>
      </w:pPr>
      <w:r w:rsidRPr="00BA7C9E">
        <w:t>Riksrevisionens process för intern styrning och kontroll</w:t>
      </w:r>
      <w:r w:rsidRPr="00BA7C9E">
        <w:tab/>
      </w:r>
      <w:r w:rsidRPr="00BA7C9E">
        <w:fldChar w:fldCharType="begin" w:fldLock="1"/>
      </w:r>
      <w:r w:rsidRPr="00BA7C9E">
        <w:instrText xml:space="preserve"> PAGEREF _Toc318101644 \h </w:instrText>
      </w:r>
      <w:r w:rsidRPr="00BA7C9E">
        <w:fldChar w:fldCharType="separate"/>
      </w:r>
      <w:r w:rsidR="00D529EB" w:rsidRPr="00BA7C9E">
        <w:t>41</w:t>
      </w:r>
      <w:r w:rsidRPr="00BA7C9E">
        <w:fldChar w:fldCharType="end"/>
      </w:r>
    </w:p>
    <w:p w:rsidR="00661217" w:rsidRPr="00BA7C9E" w:rsidRDefault="00661217">
      <w:pPr>
        <w:pStyle w:val="Innehll3"/>
        <w:rPr>
          <w:sz w:val="24"/>
          <w:szCs w:val="24"/>
        </w:rPr>
      </w:pPr>
      <w:r w:rsidRPr="00BA7C9E">
        <w:t>Ställningstagande av riksrevisorn med administrativt ansvar</w:t>
      </w:r>
      <w:r w:rsidRPr="00BA7C9E">
        <w:tab/>
      </w:r>
      <w:r w:rsidRPr="00BA7C9E">
        <w:fldChar w:fldCharType="begin" w:fldLock="1"/>
      </w:r>
      <w:r w:rsidRPr="00BA7C9E">
        <w:instrText xml:space="preserve"> PAGEREF _Toc318101645 \h </w:instrText>
      </w:r>
      <w:r w:rsidRPr="00BA7C9E">
        <w:fldChar w:fldCharType="separate"/>
      </w:r>
      <w:r w:rsidR="00D529EB" w:rsidRPr="00BA7C9E">
        <w:t>42</w:t>
      </w:r>
      <w:r w:rsidRPr="00BA7C9E">
        <w:fldChar w:fldCharType="end"/>
      </w:r>
    </w:p>
    <w:p w:rsidR="00661217" w:rsidRPr="00BA7C9E" w:rsidRDefault="00661217">
      <w:pPr>
        <w:pStyle w:val="Innehll1"/>
        <w:rPr>
          <w:sz w:val="24"/>
          <w:szCs w:val="24"/>
        </w:rPr>
      </w:pPr>
      <w:r w:rsidRPr="00BA7C9E">
        <w:t>Sammanställning över väsentliga uppgifter</w:t>
      </w:r>
      <w:r w:rsidRPr="00BA7C9E">
        <w:tab/>
      </w:r>
      <w:r w:rsidRPr="00BA7C9E">
        <w:fldChar w:fldCharType="begin" w:fldLock="1"/>
      </w:r>
      <w:r w:rsidRPr="00BA7C9E">
        <w:instrText xml:space="preserve"> PAGEREF _Toc318101646 \h </w:instrText>
      </w:r>
      <w:r w:rsidRPr="00BA7C9E">
        <w:fldChar w:fldCharType="separate"/>
      </w:r>
      <w:r w:rsidR="00D529EB" w:rsidRPr="00BA7C9E">
        <w:t>43</w:t>
      </w:r>
      <w:r w:rsidRPr="00BA7C9E">
        <w:fldChar w:fldCharType="end"/>
      </w:r>
    </w:p>
    <w:p w:rsidR="00661217" w:rsidRPr="00BA7C9E" w:rsidRDefault="00661217">
      <w:pPr>
        <w:pStyle w:val="Innehll1"/>
        <w:rPr>
          <w:sz w:val="24"/>
          <w:szCs w:val="24"/>
        </w:rPr>
      </w:pPr>
      <w:r w:rsidRPr="00BA7C9E">
        <w:t>Finansiell redovisning</w:t>
      </w:r>
      <w:r w:rsidRPr="00BA7C9E">
        <w:tab/>
      </w:r>
      <w:r w:rsidRPr="00BA7C9E">
        <w:fldChar w:fldCharType="begin" w:fldLock="1"/>
      </w:r>
      <w:r w:rsidRPr="00BA7C9E">
        <w:instrText xml:space="preserve"> PAGEREF _Toc318101647 \h </w:instrText>
      </w:r>
      <w:r w:rsidRPr="00BA7C9E">
        <w:fldChar w:fldCharType="separate"/>
      </w:r>
      <w:r w:rsidR="00D529EB" w:rsidRPr="00BA7C9E">
        <w:t>44</w:t>
      </w:r>
      <w:r w:rsidRPr="00BA7C9E">
        <w:fldChar w:fldCharType="end"/>
      </w:r>
    </w:p>
    <w:p w:rsidR="00661217" w:rsidRPr="00BA7C9E" w:rsidRDefault="00661217">
      <w:pPr>
        <w:pStyle w:val="Innehll2"/>
        <w:rPr>
          <w:sz w:val="24"/>
          <w:szCs w:val="24"/>
        </w:rPr>
      </w:pPr>
      <w:r w:rsidRPr="00BA7C9E">
        <w:rPr>
          <w:lang w:eastAsia="en-US"/>
        </w:rPr>
        <w:t>Resultaträkning</w:t>
      </w:r>
      <w:r w:rsidRPr="00BA7C9E">
        <w:tab/>
      </w:r>
      <w:r w:rsidRPr="00BA7C9E">
        <w:fldChar w:fldCharType="begin" w:fldLock="1"/>
      </w:r>
      <w:r w:rsidRPr="00BA7C9E">
        <w:instrText xml:space="preserve"> PAGEREF _Toc318101648 \h </w:instrText>
      </w:r>
      <w:r w:rsidRPr="00BA7C9E">
        <w:fldChar w:fldCharType="separate"/>
      </w:r>
      <w:r w:rsidR="00D529EB" w:rsidRPr="00BA7C9E">
        <w:t>44</w:t>
      </w:r>
      <w:r w:rsidRPr="00BA7C9E">
        <w:fldChar w:fldCharType="end"/>
      </w:r>
    </w:p>
    <w:p w:rsidR="00661217" w:rsidRPr="00BA7C9E" w:rsidRDefault="00661217">
      <w:pPr>
        <w:pStyle w:val="Innehll2"/>
        <w:rPr>
          <w:sz w:val="24"/>
          <w:szCs w:val="24"/>
        </w:rPr>
      </w:pPr>
      <w:r w:rsidRPr="00BA7C9E">
        <w:t>Balansräkning</w:t>
      </w:r>
      <w:r w:rsidRPr="00BA7C9E">
        <w:tab/>
      </w:r>
      <w:r w:rsidRPr="00BA7C9E">
        <w:fldChar w:fldCharType="begin" w:fldLock="1"/>
      </w:r>
      <w:r w:rsidRPr="00BA7C9E">
        <w:instrText xml:space="preserve"> PAGEREF _Toc318101649 \h </w:instrText>
      </w:r>
      <w:r w:rsidRPr="00BA7C9E">
        <w:fldChar w:fldCharType="separate"/>
      </w:r>
      <w:r w:rsidR="00D529EB" w:rsidRPr="00BA7C9E">
        <w:t>45</w:t>
      </w:r>
      <w:r w:rsidRPr="00BA7C9E">
        <w:fldChar w:fldCharType="end"/>
      </w:r>
    </w:p>
    <w:p w:rsidR="00661217" w:rsidRPr="00BA7C9E" w:rsidRDefault="00661217">
      <w:pPr>
        <w:pStyle w:val="Innehll2"/>
        <w:rPr>
          <w:sz w:val="24"/>
          <w:szCs w:val="24"/>
        </w:rPr>
      </w:pPr>
      <w:r w:rsidRPr="00BA7C9E">
        <w:t>Anslagsredovisning</w:t>
      </w:r>
      <w:r w:rsidRPr="00BA7C9E">
        <w:tab/>
      </w:r>
      <w:r w:rsidRPr="00BA7C9E">
        <w:fldChar w:fldCharType="begin" w:fldLock="1"/>
      </w:r>
      <w:r w:rsidRPr="00BA7C9E">
        <w:instrText xml:space="preserve"> PAGEREF _Toc318101650 \h </w:instrText>
      </w:r>
      <w:r w:rsidRPr="00BA7C9E">
        <w:fldChar w:fldCharType="separate"/>
      </w:r>
      <w:r w:rsidR="00D529EB" w:rsidRPr="00BA7C9E">
        <w:t>47</w:t>
      </w:r>
      <w:r w:rsidRPr="00BA7C9E">
        <w:fldChar w:fldCharType="end"/>
      </w:r>
    </w:p>
    <w:p w:rsidR="00661217" w:rsidRPr="00BA7C9E" w:rsidRDefault="00661217">
      <w:pPr>
        <w:pStyle w:val="Innehll2"/>
        <w:rPr>
          <w:sz w:val="24"/>
          <w:szCs w:val="24"/>
        </w:rPr>
      </w:pPr>
      <w:r w:rsidRPr="00BA7C9E">
        <w:t>Tilläggsupplysningar och noter</w:t>
      </w:r>
      <w:r w:rsidRPr="00BA7C9E">
        <w:tab/>
      </w:r>
      <w:r w:rsidRPr="00BA7C9E">
        <w:fldChar w:fldCharType="begin" w:fldLock="1"/>
      </w:r>
      <w:r w:rsidRPr="00BA7C9E">
        <w:instrText xml:space="preserve"> PAGEREF _Toc318101651 \h </w:instrText>
      </w:r>
      <w:r w:rsidRPr="00BA7C9E">
        <w:fldChar w:fldCharType="separate"/>
      </w:r>
      <w:r w:rsidR="00D529EB" w:rsidRPr="00BA7C9E">
        <w:t>48</w:t>
      </w:r>
      <w:r w:rsidRPr="00BA7C9E">
        <w:fldChar w:fldCharType="end"/>
      </w:r>
    </w:p>
    <w:p w:rsidR="00661217" w:rsidRPr="00BA7C9E" w:rsidRDefault="00661217">
      <w:pPr>
        <w:pStyle w:val="Innehll2"/>
        <w:rPr>
          <w:sz w:val="24"/>
          <w:szCs w:val="24"/>
        </w:rPr>
      </w:pPr>
      <w:r w:rsidRPr="00BA7C9E">
        <w:rPr>
          <w:lang w:eastAsia="en-US"/>
        </w:rPr>
        <w:t>Noter</w:t>
      </w:r>
      <w:r w:rsidRPr="00BA7C9E">
        <w:tab/>
      </w:r>
      <w:r w:rsidRPr="00BA7C9E">
        <w:fldChar w:fldCharType="begin" w:fldLock="1"/>
      </w:r>
      <w:r w:rsidRPr="00BA7C9E">
        <w:instrText xml:space="preserve"> PAGEREF _Toc318101652 \h </w:instrText>
      </w:r>
      <w:r w:rsidRPr="00BA7C9E">
        <w:fldChar w:fldCharType="separate"/>
      </w:r>
      <w:r w:rsidR="00D529EB" w:rsidRPr="00BA7C9E">
        <w:t>50</w:t>
      </w:r>
      <w:r w:rsidRPr="00BA7C9E">
        <w:fldChar w:fldCharType="end"/>
      </w:r>
    </w:p>
    <w:p w:rsidR="00661217" w:rsidRPr="00BA7C9E" w:rsidRDefault="00661217">
      <w:pPr>
        <w:pStyle w:val="Innehll2"/>
        <w:rPr>
          <w:sz w:val="24"/>
          <w:szCs w:val="24"/>
        </w:rPr>
      </w:pPr>
      <w:r w:rsidRPr="00BA7C9E">
        <w:t>Uppgifter om ledande befattningshavare</w:t>
      </w:r>
      <w:r w:rsidRPr="00BA7C9E">
        <w:tab/>
      </w:r>
      <w:r w:rsidRPr="00BA7C9E">
        <w:fldChar w:fldCharType="begin" w:fldLock="1"/>
      </w:r>
      <w:r w:rsidRPr="00BA7C9E">
        <w:instrText xml:space="preserve"> PAGEREF _Toc318101653 \h </w:instrText>
      </w:r>
      <w:r w:rsidRPr="00BA7C9E">
        <w:fldChar w:fldCharType="separate"/>
      </w:r>
      <w:r w:rsidR="00D529EB" w:rsidRPr="00BA7C9E">
        <w:t>56</w:t>
      </w:r>
      <w:r w:rsidRPr="00BA7C9E">
        <w:fldChar w:fldCharType="end"/>
      </w:r>
    </w:p>
    <w:p w:rsidR="00661217" w:rsidRPr="00BA7C9E" w:rsidRDefault="00661217">
      <w:pPr>
        <w:pStyle w:val="Innehll2"/>
        <w:rPr>
          <w:sz w:val="24"/>
          <w:szCs w:val="24"/>
        </w:rPr>
      </w:pPr>
      <w:r w:rsidRPr="00BA7C9E">
        <w:t>Framtida åtaganden</w:t>
      </w:r>
      <w:r w:rsidRPr="00BA7C9E">
        <w:tab/>
      </w:r>
      <w:r w:rsidRPr="00BA7C9E">
        <w:fldChar w:fldCharType="begin" w:fldLock="1"/>
      </w:r>
      <w:r w:rsidRPr="00BA7C9E">
        <w:instrText xml:space="preserve"> PAGEREF _Toc318101654 \h </w:instrText>
      </w:r>
      <w:r w:rsidRPr="00BA7C9E">
        <w:fldChar w:fldCharType="separate"/>
      </w:r>
      <w:r w:rsidR="00D529EB" w:rsidRPr="00BA7C9E">
        <w:t>57</w:t>
      </w:r>
      <w:r w:rsidRPr="00BA7C9E">
        <w:fldChar w:fldCharType="end"/>
      </w:r>
    </w:p>
    <w:p w:rsidR="00CB2C08" w:rsidRPr="00BA7C9E" w:rsidRDefault="00C00D2D" w:rsidP="00CB2C08">
      <w:r w:rsidRPr="00BA7C9E">
        <w:fldChar w:fldCharType="end"/>
      </w:r>
    </w:p>
    <w:p w:rsidR="00CB2C08" w:rsidRPr="00BA7C9E" w:rsidRDefault="00CB2C08" w:rsidP="00CB2C08">
      <w:pPr>
        <w:pStyle w:val="Normaltindrag"/>
        <w:sectPr w:rsidR="00CB2C08" w:rsidRPr="00BA7C9E" w:rsidSect="00193FE9">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sectPr>
      </w:pPr>
    </w:p>
    <w:p w:rsidR="00BB6924" w:rsidRPr="00BA7C9E" w:rsidRDefault="00BB6924" w:rsidP="00F32CCD">
      <w:pPr>
        <w:pStyle w:val="Rubrik1"/>
        <w:rPr>
          <w:noProof w:val="0"/>
        </w:rPr>
      </w:pPr>
      <w:bookmarkStart w:id="13" w:name="_Toc318101620"/>
      <w:r w:rsidRPr="00BA7C9E">
        <w:rPr>
          <w:noProof w:val="0"/>
        </w:rPr>
        <w:t>Förord</w:t>
      </w:r>
      <w:bookmarkEnd w:id="13"/>
    </w:p>
    <w:p w:rsidR="00BB6924" w:rsidRPr="00BA7C9E" w:rsidRDefault="00BB6924" w:rsidP="00F32CCD">
      <w:r w:rsidRPr="00BA7C9E">
        <w:t>Riksrevisionen leds enligt regeringsformen av de tre riksrevisorerna. Var och en av riksrevisorerna ansvarar för granskningen inom sina respektive omr</w:t>
      </w:r>
      <w:r w:rsidRPr="00BA7C9E">
        <w:t>å</w:t>
      </w:r>
      <w:r w:rsidR="00C30E78" w:rsidRPr="00BA7C9E">
        <w:t>den</w:t>
      </w:r>
      <w:r w:rsidRPr="00BA7C9E">
        <w:t xml:space="preserve"> och har därför i hög grad varit delaktiga i myndighetens resultat under det gångna året.</w:t>
      </w:r>
    </w:p>
    <w:p w:rsidR="00BB6924" w:rsidRPr="00BA7C9E" w:rsidRDefault="00BB6924" w:rsidP="00BB6924">
      <w:pPr>
        <w:pStyle w:val="Normaltindrag"/>
      </w:pPr>
      <w:r w:rsidRPr="00BA7C9E">
        <w:t>I enlighet med Riksrevisionens instruktion svarar jag för den administrat</w:t>
      </w:r>
      <w:r w:rsidRPr="00BA7C9E">
        <w:t>i</w:t>
      </w:r>
      <w:r w:rsidRPr="00BA7C9E">
        <w:t>va ledningen av myndigheten vilket bland annat innebär att jag beslutar om årsredovisning för Riksrevisionen. I detta, liksom i andra viktigare beslut, har jag samrått med mina riksrevisorskolleg</w:t>
      </w:r>
      <w:r w:rsidR="00B77AC2" w:rsidRPr="00BA7C9E">
        <w:t>o</w:t>
      </w:r>
      <w:r w:rsidRPr="00BA7C9E">
        <w:t>r.</w:t>
      </w:r>
    </w:p>
    <w:p w:rsidR="00BB6924" w:rsidRPr="00BA7C9E" w:rsidRDefault="00BB6924" w:rsidP="00BB6924">
      <w:pPr>
        <w:pStyle w:val="Normaltindrag"/>
      </w:pPr>
      <w:r w:rsidRPr="00BA7C9E">
        <w:t xml:space="preserve">Verksamhetsåret 2011 innebar ett antal ändrade förutsättningar för den statliga revisionen. För det första trädde den </w:t>
      </w:r>
      <w:r w:rsidR="00B103E5" w:rsidRPr="00BA7C9E">
        <w:t>reviderade</w:t>
      </w:r>
      <w:r w:rsidRPr="00BA7C9E">
        <w:t xml:space="preserve"> revisionslagen i kraft. Den innebar ett antal preciseringar av revisionens inriktning och förändrade rapporteringsformer till riksdagen och en ändrad hanteringsordning i riksd</w:t>
      </w:r>
      <w:r w:rsidRPr="00BA7C9E">
        <w:t>a</w:t>
      </w:r>
      <w:r w:rsidRPr="00BA7C9E">
        <w:t>gen. För det andra började Riksrevisionen tillämpa internationellt harmonis</w:t>
      </w:r>
      <w:r w:rsidRPr="00BA7C9E">
        <w:t>e</w:t>
      </w:r>
      <w:r w:rsidRPr="00BA7C9E">
        <w:t>rade revisionsstandarder inom den årliga revisionen. Riksrevisionen ser pos</w:t>
      </w:r>
      <w:r w:rsidRPr="00BA7C9E">
        <w:t>i</w:t>
      </w:r>
      <w:r w:rsidRPr="00BA7C9E">
        <w:t>tivt på dessa förändringar som påverkat verksamheten under året som gått och som kommer att prägla verksamheten under kommande år.</w:t>
      </w:r>
    </w:p>
    <w:p w:rsidR="00BB6924" w:rsidRPr="00BA7C9E" w:rsidRDefault="00BB6924" w:rsidP="00BB6924">
      <w:pPr>
        <w:pStyle w:val="Normaltindrag"/>
      </w:pPr>
      <w:r w:rsidRPr="00BA7C9E">
        <w:t>Vår omvärld – både nationellt och internationellt – präglades under året av betydande samhällsförändringar. Dessa får konsekvenser för verksamheten och revisionens inriktning och uppdrag. Mot denna bakgrund har gransknin</w:t>
      </w:r>
      <w:r w:rsidRPr="00BA7C9E">
        <w:t>g</w:t>
      </w:r>
      <w:r w:rsidRPr="00BA7C9E">
        <w:t xml:space="preserve">arna under året anpassats genom att nya granskningsstrategier har utvecklats. Utöver den anpassning mot aktuella och väsentliga problemområden som detta innebär så har det också ställts högre kvalitetskrav på verksamheten. </w:t>
      </w:r>
    </w:p>
    <w:p w:rsidR="00BB6924" w:rsidRPr="00BA7C9E" w:rsidRDefault="00BB6924" w:rsidP="00BB6924">
      <w:pPr>
        <w:pStyle w:val="Normaltindrag"/>
      </w:pPr>
      <w:r w:rsidRPr="00BA7C9E">
        <w:t>Den årliga revisionen och effektivitetsrevisionen har nått sina mål och l</w:t>
      </w:r>
      <w:r w:rsidRPr="00BA7C9E">
        <w:t>e</w:t>
      </w:r>
      <w:r w:rsidRPr="00BA7C9E">
        <w:t>vererat goda resultat samtidigt som en utveckling och anpassning av ver</w:t>
      </w:r>
      <w:r w:rsidRPr="00BA7C9E">
        <w:t>k</w:t>
      </w:r>
      <w:r w:rsidRPr="00BA7C9E">
        <w:t>samheten har genomförts. De ökade kvalitetskraven skapar en god utgång</w:t>
      </w:r>
      <w:r w:rsidRPr="00BA7C9E">
        <w:t>s</w:t>
      </w:r>
      <w:r w:rsidRPr="00BA7C9E">
        <w:t>punkt för verksamheten framöver.</w:t>
      </w:r>
    </w:p>
    <w:p w:rsidR="00BB6924" w:rsidRPr="00BA7C9E" w:rsidRDefault="00BB6924" w:rsidP="00BB6924">
      <w:pPr>
        <w:pStyle w:val="Normaltindrag"/>
      </w:pPr>
      <w:r w:rsidRPr="00BA7C9E">
        <w:t>Vi har under året utvecklat revisionens arbetssätt och styrformer. En granskningsplan presenterades för riksdagen vid början av riksdagsåret. Rik</w:t>
      </w:r>
      <w:r w:rsidRPr="00BA7C9E">
        <w:t>s</w:t>
      </w:r>
      <w:r w:rsidRPr="00BA7C9E">
        <w:t>revisorernas styrni</w:t>
      </w:r>
      <w:r w:rsidR="009C2522" w:rsidRPr="00BA7C9E">
        <w:t>ng av</w:t>
      </w:r>
      <w:r w:rsidRPr="00BA7C9E">
        <w:t xml:space="preserve"> revisionen anpassades till nya förutsättningar. Än</w:t>
      </w:r>
      <w:r w:rsidRPr="00BA7C9E">
        <w:t>d</w:t>
      </w:r>
      <w:r w:rsidRPr="00BA7C9E">
        <w:t>ringarna i REA-lagen gav också en annan viktig förutsättning för styrningen. Under året inleddes förberedelserna för en peer review</w:t>
      </w:r>
      <w:r w:rsidR="00EA261E" w:rsidRPr="00BA7C9E">
        <w:rPr>
          <w:rStyle w:val="Fotnotsreferens"/>
        </w:rPr>
        <w:footnoteReference w:id="1"/>
      </w:r>
      <w:r w:rsidRPr="00BA7C9E">
        <w:t xml:space="preserve"> som kommer att </w:t>
      </w:r>
      <w:r w:rsidR="00D45C84" w:rsidRPr="00BA7C9E">
        <w:t xml:space="preserve">avse </w:t>
      </w:r>
      <w:r w:rsidRPr="00BA7C9E">
        <w:t>granskning</w:t>
      </w:r>
      <w:r w:rsidR="00D45C84" w:rsidRPr="00BA7C9E">
        <w:t xml:space="preserve">ar under </w:t>
      </w:r>
      <w:r w:rsidRPr="00BA7C9E">
        <w:t>2012 och genomföras primärt under 2013. Den kommer att ge viktiga bidrag till kvalitetsutvecklingen av verksamheten. Under året har fokus också legat på att utveckla interna stöd- och servicefunktioner för att säkra kvaliteten i verksamheten.</w:t>
      </w:r>
    </w:p>
    <w:p w:rsidR="00BB6924" w:rsidRPr="00BA7C9E" w:rsidRDefault="00BB6924" w:rsidP="00BB6924">
      <w:pPr>
        <w:pStyle w:val="Normaltindrag"/>
      </w:pPr>
      <w:r w:rsidRPr="00BA7C9E">
        <w:t xml:space="preserve">För Riksrevisionen är det betydelsefullt att följa utvecklingen </w:t>
      </w:r>
      <w:r w:rsidR="00D45C84" w:rsidRPr="00BA7C9E">
        <w:t>inom en rad områden och på så</w:t>
      </w:r>
      <w:r w:rsidRPr="00BA7C9E">
        <w:t xml:space="preserve"> sätt stärka det professionella samtalet inom den egna org</w:t>
      </w:r>
      <w:r w:rsidRPr="00BA7C9E">
        <w:t>a</w:t>
      </w:r>
      <w:r w:rsidRPr="00BA7C9E">
        <w:t xml:space="preserve">nisationen. Under det gångna året har därför Riksrevisionen utarbetat ett par interna skrifter som tar upp centrala förändringar. Under året har vi </w:t>
      </w:r>
      <w:r w:rsidR="00D45C84" w:rsidRPr="00BA7C9E">
        <w:t xml:space="preserve">även </w:t>
      </w:r>
      <w:r w:rsidRPr="00BA7C9E">
        <w:t xml:space="preserve">bedrivit ett värdegrundsarbete och aktiviteter för att säkra att vi erbjuder medarbetarna en attraktiv arbetsplats. </w:t>
      </w:r>
    </w:p>
    <w:p w:rsidR="00BB6924" w:rsidRPr="00BA7C9E" w:rsidRDefault="00BB6924" w:rsidP="00BB6924">
      <w:pPr>
        <w:pStyle w:val="Normaltindrag"/>
      </w:pPr>
      <w:r w:rsidRPr="00BA7C9E">
        <w:t>För att få genomslag av granskningsverksamheten är det viktigt med en e</w:t>
      </w:r>
      <w:r w:rsidRPr="00BA7C9E">
        <w:t>f</w:t>
      </w:r>
      <w:r w:rsidRPr="00BA7C9E">
        <w:t>fektiv och ändamålsenlig kommunikation. Vi har utvecklat kommunikationen med vår omvärld genom en ny webbplats och genom dialog med riksdagens utskott och myndighetsledning</w:t>
      </w:r>
      <w:r w:rsidR="00D45C84" w:rsidRPr="00BA7C9E">
        <w:t>arna. Vår årligen återkommande R</w:t>
      </w:r>
      <w:r w:rsidRPr="00BA7C9E">
        <w:t>iksrev</w:t>
      </w:r>
      <w:r w:rsidRPr="00BA7C9E">
        <w:t>i</w:t>
      </w:r>
      <w:r w:rsidRPr="00BA7C9E">
        <w:t>sionsdag är ett tillfälle att diskutera revisionsnära fråg</w:t>
      </w:r>
      <w:r w:rsidR="00934E45" w:rsidRPr="00BA7C9E">
        <w:t>or. Årets konferens hade temat S</w:t>
      </w:r>
      <w:r w:rsidRPr="00BA7C9E">
        <w:t>taten, medborgarna och förtroendet.</w:t>
      </w:r>
    </w:p>
    <w:p w:rsidR="00BB6924" w:rsidRPr="00BA7C9E" w:rsidRDefault="00BB6924" w:rsidP="00BB6924">
      <w:pPr>
        <w:pStyle w:val="Normaltindrag"/>
      </w:pPr>
      <w:r w:rsidRPr="00BA7C9E">
        <w:t>På det internationella planet ägde en betydande utveckling av vår bistånd</w:t>
      </w:r>
      <w:r w:rsidRPr="00BA7C9E">
        <w:t>s</w:t>
      </w:r>
      <w:r w:rsidRPr="00BA7C9E">
        <w:t>verksamhet rum. Avtal slöts med ett antal nya länder samtidigt som Riksrev</w:t>
      </w:r>
      <w:r w:rsidRPr="00BA7C9E">
        <w:t>i</w:t>
      </w:r>
      <w:r w:rsidR="00D45C84" w:rsidRPr="00BA7C9E">
        <w:t>sionen</w:t>
      </w:r>
      <w:r w:rsidRPr="00BA7C9E">
        <w:t xml:space="preserve"> avveckla</w:t>
      </w:r>
      <w:r w:rsidR="00D45C84" w:rsidRPr="00BA7C9E">
        <w:t>de</w:t>
      </w:r>
      <w:r w:rsidRPr="00BA7C9E">
        <w:t xml:space="preserve"> engagemang i vissa andra länder.</w:t>
      </w:r>
    </w:p>
    <w:p w:rsidR="00BB6924" w:rsidRPr="00BA7C9E" w:rsidRDefault="00BB6924" w:rsidP="00BB6924">
      <w:pPr>
        <w:pStyle w:val="Normaltindrag"/>
      </w:pPr>
      <w:r w:rsidRPr="00BA7C9E">
        <w:t xml:space="preserve">På mina och mina riksrevisorskollegors vägnar vill jag ta tillfället att tacka vår personal. </w:t>
      </w:r>
      <w:r w:rsidR="00D45C84" w:rsidRPr="00BA7C9E">
        <w:t>I en kunskapsorganisation som Riksrevisionen är det medarb</w:t>
      </w:r>
      <w:r w:rsidR="00D45C84" w:rsidRPr="00BA7C9E">
        <w:t>e</w:t>
      </w:r>
      <w:r w:rsidR="00D45C84" w:rsidRPr="00BA7C9E">
        <w:t>tarna som är den främsta resursen och r</w:t>
      </w:r>
      <w:r w:rsidRPr="00BA7C9E">
        <w:t xml:space="preserve">esultatet av verksamheten är </w:t>
      </w:r>
      <w:r w:rsidR="00D45C84" w:rsidRPr="00BA7C9E">
        <w:t xml:space="preserve">deras </w:t>
      </w:r>
      <w:r w:rsidRPr="00BA7C9E">
        <w:t>förtjänst. Jag vill därför i detta förord rikta ett varmt tack till dem för deras stora engagemang och mycket goda arbetsinsatser under 2011. Jag ser fram emot ännu ett intressant år tillsammans på Riksrevisionen.</w:t>
      </w:r>
    </w:p>
    <w:p w:rsidR="00BB6924" w:rsidRPr="00BA7C9E" w:rsidRDefault="00BB6924" w:rsidP="00BB6924">
      <w:pPr>
        <w:pStyle w:val="Normaltindrag"/>
      </w:pPr>
      <w:r w:rsidRPr="00BA7C9E">
        <w:t>Med dessa ingångsvärden står Riksrevisionen rustad för ett spännande 2012.</w:t>
      </w:r>
    </w:p>
    <w:p w:rsidR="00BB6924" w:rsidRPr="00BA7C9E" w:rsidRDefault="00BB6924" w:rsidP="00BB6924">
      <w:pPr>
        <w:pStyle w:val="Normaltindrag"/>
      </w:pPr>
    </w:p>
    <w:p w:rsidR="00CB2C08" w:rsidRPr="00BA7C9E" w:rsidRDefault="00CB2C08" w:rsidP="00CB2C08">
      <w:pPr>
        <w:pStyle w:val="Normaltindrag"/>
      </w:pPr>
      <w:bookmarkStart w:id="14" w:name="Nästa_Hpunkt"/>
      <w:bookmarkStart w:id="15" w:name="Ordförande"/>
      <w:bookmarkStart w:id="16" w:name="Deltagare"/>
      <w:bookmarkEnd w:id="14"/>
      <w:bookmarkEnd w:id="15"/>
      <w:bookmarkEnd w:id="16"/>
    </w:p>
    <w:p w:rsidR="00CB2C08" w:rsidRPr="00BA7C9E" w:rsidRDefault="00CB2C08" w:rsidP="00CB2C08">
      <w:pPr>
        <w:pStyle w:val="Normaltindrag"/>
      </w:pPr>
    </w:p>
    <w:p w:rsidR="00CB2C08" w:rsidRPr="00BA7C9E" w:rsidRDefault="00CB2C08" w:rsidP="00CB2C08">
      <w:pPr>
        <w:pStyle w:val="Normaltindrag"/>
        <w:sectPr w:rsidR="00CB2C08" w:rsidRPr="00BA7C9E" w:rsidSect="00193FE9">
          <w:headerReference w:type="even" r:id="rId25"/>
          <w:headerReference w:type="default" r:id="rId26"/>
          <w:footerReference w:type="even" r:id="rId27"/>
          <w:footerReference w:type="default" r:id="rId28"/>
          <w:headerReference w:type="first" r:id="rId29"/>
          <w:footerReference w:type="first" r:id="rId30"/>
          <w:pgSz w:w="11906" w:h="16838" w:code="9"/>
          <w:pgMar w:top="907" w:right="4649" w:bottom="4508" w:left="1304" w:header="340" w:footer="227" w:gutter="0"/>
          <w:cols w:space="720"/>
          <w:titlePg/>
        </w:sectPr>
      </w:pPr>
    </w:p>
    <w:p w:rsidR="006D5614" w:rsidRPr="00BA7C9E" w:rsidRDefault="006D5614" w:rsidP="00F32CCD">
      <w:pPr>
        <w:pStyle w:val="Rubrik1"/>
        <w:rPr>
          <w:noProof w:val="0"/>
        </w:rPr>
      </w:pPr>
      <w:bookmarkStart w:id="17" w:name="_Toc315253435"/>
      <w:bookmarkStart w:id="18" w:name="_Toc318101621"/>
      <w:r w:rsidRPr="00BA7C9E">
        <w:rPr>
          <w:noProof w:val="0"/>
        </w:rPr>
        <w:t>Resultatredovisning</w:t>
      </w:r>
      <w:bookmarkEnd w:id="17"/>
      <w:bookmarkEnd w:id="18"/>
    </w:p>
    <w:p w:rsidR="006D5614" w:rsidRPr="00BA7C9E" w:rsidRDefault="006D5614" w:rsidP="006D5614">
      <w:r w:rsidRPr="00BA7C9E">
        <w:t>Riksrevisionen är en myndighet under riksdagen med uppgift att granska den verksamhet som bedrivs i staten. Granskningen sker genom årlig revision och effektivitetsrevision. Riksrevisionen har även internationella uppgifter.</w:t>
      </w:r>
    </w:p>
    <w:p w:rsidR="006D5614" w:rsidRPr="00BA7C9E" w:rsidRDefault="006D5614" w:rsidP="0009766E">
      <w:pPr>
        <w:pStyle w:val="Normaltindrag"/>
      </w:pPr>
      <w:r w:rsidRPr="00BA7C9E">
        <w:t>Riksrevisionens verksamhet delas in i fyra verksamhetsgrenar. Den årliga revisionen och effektivitetsrevisionen genomförs med utgångspunkt i lagen om revision av statlig verksamhet m.m. Det internationella utvecklingssama</w:t>
      </w:r>
      <w:r w:rsidRPr="00BA7C9E">
        <w:t>r</w:t>
      </w:r>
      <w:r w:rsidRPr="00BA7C9E">
        <w:t>betet genomförs inom ramen för den svenska biståndspolitiken och finansi</w:t>
      </w:r>
      <w:r w:rsidRPr="00BA7C9E">
        <w:t>e</w:t>
      </w:r>
      <w:r w:rsidRPr="00BA7C9E">
        <w:t xml:space="preserve">ras med ett eget anslag. Den omvärldsriktade verksamheten syftar till att befästa och främja revisionens roll nationellt och internationellt samt att öka genomslaget av Riksrevisionens verksamhet. Resultatredovisningen följer denna indelning. </w:t>
      </w:r>
    </w:p>
    <w:p w:rsidR="006D5614" w:rsidRPr="00BA7C9E" w:rsidRDefault="006D5614" w:rsidP="00F32CCD">
      <w:pPr>
        <w:pStyle w:val="Rubrik2"/>
      </w:pPr>
      <w:bookmarkStart w:id="19" w:name="_Toc315253436"/>
      <w:bookmarkStart w:id="20" w:name="_Toc318101622"/>
      <w:r w:rsidRPr="00BA7C9E">
        <w:t>Verksamhetens resultat</w:t>
      </w:r>
      <w:bookmarkEnd w:id="19"/>
      <w:bookmarkEnd w:id="20"/>
    </w:p>
    <w:p w:rsidR="006D5614" w:rsidRPr="00BA7C9E" w:rsidRDefault="006D5614" w:rsidP="006D5614">
      <w:r w:rsidRPr="00BA7C9E">
        <w:t>Resultatredovisningen för verksamhetsåret 2011 visar ett tillfredsställande resultat inom samtliga verksamhetsgrenar. Uppsatta mål för verksamheten uppnåddes</w:t>
      </w:r>
      <w:r w:rsidR="00663EE1" w:rsidRPr="00BA7C9E">
        <w:t>.</w:t>
      </w:r>
      <w:r w:rsidRPr="00BA7C9E">
        <w:t xml:space="preserve"> I jämförelse med 2010 har verksamhetsvolymen varit lägre </w:t>
      </w:r>
      <w:r w:rsidR="00172F3D" w:rsidRPr="00BA7C9E">
        <w:t xml:space="preserve">bland annat </w:t>
      </w:r>
      <w:r w:rsidRPr="00BA7C9E">
        <w:t xml:space="preserve">som en konsekvens av att Riksrevisionen förbrukade något mer än anvisade medel 2010. Riksrevisionen kan gå in i 2012 med goda ekonomiska förutsättningar att möta framtida utmaningar. De närmaste åren kommer att kräva särskilda satsningar när det gäller verksamhetsutveckling, förbättrad informationssäkerhet och lokalförsörjning. </w:t>
      </w:r>
    </w:p>
    <w:p w:rsidR="006D5614" w:rsidRPr="00BA7C9E" w:rsidRDefault="006D5614" w:rsidP="0009766E">
      <w:pPr>
        <w:pStyle w:val="Normaltindrag"/>
      </w:pPr>
      <w:r w:rsidRPr="00BA7C9E">
        <w:t>Den årliga revisionen av årsredovisningarna för 2010 genomfördes enligt god sed, och samtliga revisionsberättelser lämnades i tid. Revisorsintyg lä</w:t>
      </w:r>
      <w:r w:rsidRPr="00BA7C9E">
        <w:t>m</w:t>
      </w:r>
      <w:r w:rsidRPr="00BA7C9E">
        <w:t>nades över berörda myndigheters delårsrapporter. Året har i övrigt i stor utsträckning kännetecknats av en anpassning till internationella standarder för revisionen som kommer att vara fullständigt genomförd genom granskninga</w:t>
      </w:r>
      <w:r w:rsidRPr="00BA7C9E">
        <w:t>r</w:t>
      </w:r>
      <w:r w:rsidRPr="00BA7C9E">
        <w:t xml:space="preserve">na avseende verksamhetsåret 2011. </w:t>
      </w:r>
      <w:r w:rsidR="00172F3D" w:rsidRPr="00BA7C9E">
        <w:t>Anpassningen h</w:t>
      </w:r>
      <w:r w:rsidRPr="00BA7C9E">
        <w:t>ar ställt krav på insatser när det gäller kompetens- och verksamhetsutveckling. Särskilda insatser har också genomförts för att informera om bakgrund och innehåll i nya standarder och hur dessa påverkar den årliga revisionen. Riksrevisionens interna kval</w:t>
      </w:r>
      <w:r w:rsidRPr="00BA7C9E">
        <w:t>i</w:t>
      </w:r>
      <w:r w:rsidRPr="00BA7C9E">
        <w:t xml:space="preserve">tetssäkring och </w:t>
      </w:r>
      <w:r w:rsidR="006F4F3A" w:rsidRPr="00BA7C9E">
        <w:t>-</w:t>
      </w:r>
      <w:r w:rsidRPr="00BA7C9E">
        <w:t xml:space="preserve">kontroll har visat att revisionen har haft rätt kvalitet. Den årliga revisionen har </w:t>
      </w:r>
      <w:r w:rsidR="00401E7F" w:rsidRPr="00BA7C9E">
        <w:t xml:space="preserve">enligt en genomförd intressentundersökning </w:t>
      </w:r>
      <w:r w:rsidRPr="00BA7C9E">
        <w:t>ett fortsatt förtroende bland dem som berörts av granskningen</w:t>
      </w:r>
      <w:r w:rsidR="00401E7F" w:rsidRPr="00BA7C9E">
        <w:t xml:space="preserve">. </w:t>
      </w:r>
      <w:r w:rsidRPr="00BA7C9E">
        <w:t>Verkningsgraden i årlig revision är hög. Påpekade fel och brister åtgärdas och antalet reservationer</w:t>
      </w:r>
      <w:r w:rsidR="009A49A8" w:rsidRPr="00BA7C9E">
        <w:rPr>
          <w:rStyle w:val="Fotnotsreferens"/>
        </w:rPr>
        <w:footnoteReference w:id="2"/>
      </w:r>
      <w:r w:rsidRPr="00BA7C9E">
        <w:t xml:space="preserve"> i revisionsberättelserna är få. En bidragande orsak till denna utveckling är att nya revisionsstandarder ställer krav på en tydlig och tidig rapportering om eventuella </w:t>
      </w:r>
      <w:r w:rsidR="00401E7F" w:rsidRPr="00BA7C9E">
        <w:t>fel och brister</w:t>
      </w:r>
      <w:r w:rsidRPr="00BA7C9E">
        <w:t xml:space="preserve"> så att dessa kan åtgärdas så snart som möjligt. </w:t>
      </w:r>
    </w:p>
    <w:p w:rsidR="006D5614" w:rsidRPr="00BA7C9E" w:rsidRDefault="006D5614" w:rsidP="0009766E">
      <w:pPr>
        <w:pStyle w:val="Normaltindrag"/>
      </w:pPr>
      <w:r w:rsidRPr="00BA7C9E">
        <w:t>Kostnaderna för årlig revision har ökat något. En omfördelning har geno</w:t>
      </w:r>
      <w:r w:rsidRPr="00BA7C9E">
        <w:t>m</w:t>
      </w:r>
      <w:r w:rsidRPr="00BA7C9E">
        <w:t>förts från insatser inom ramen för förordnanderevision av statliga bolag och stiftelser till revision av främst stora myndigheter. Utvecklingen ligger i linje med en beslutad strategi att i ökad utsträckning granska statliga bolag och stiftelser genom effektivitetsrevision.</w:t>
      </w:r>
    </w:p>
    <w:p w:rsidR="00660C01" w:rsidRPr="00BA7C9E" w:rsidRDefault="006D5614" w:rsidP="0009766E">
      <w:pPr>
        <w:pStyle w:val="Normaltindrag"/>
      </w:pPr>
      <w:r w:rsidRPr="00BA7C9E">
        <w:t>En nyhet för året när det gäller effektivitetsrevisionen var införandet av ny b</w:t>
      </w:r>
      <w:r w:rsidR="006F4F3A" w:rsidRPr="00BA7C9E">
        <w:t>esluts- och hanteringsordning för</w:t>
      </w:r>
      <w:r w:rsidRPr="00BA7C9E">
        <w:t xml:space="preserve"> granskningsrapporterna. De lämnas nu direkt till riksdagen som begär ett yttrande över rapporten av regeringen inom fyra månader. Erfarenheterna av den nya ordningen har varit </w:t>
      </w:r>
      <w:r w:rsidR="00172F3D" w:rsidRPr="00BA7C9E">
        <w:t>goda</w:t>
      </w:r>
      <w:r w:rsidRPr="00BA7C9E">
        <w:t>. Grans</w:t>
      </w:r>
      <w:r w:rsidRPr="00BA7C9E">
        <w:t>k</w:t>
      </w:r>
      <w:r w:rsidRPr="00BA7C9E">
        <w:t>ningen under 2011 genomfördes inom ramen för tolv olika granskningsstrat</w:t>
      </w:r>
      <w:r w:rsidRPr="00BA7C9E">
        <w:t>e</w:t>
      </w:r>
      <w:r w:rsidRPr="00BA7C9E">
        <w:t>gier varav tre avslutades under året medan fyra nya strategier påbörjades. Inriktningen av effektivitetsrevisionen har fortsatt att utvecklas mot grans</w:t>
      </w:r>
      <w:r w:rsidRPr="00BA7C9E">
        <w:t>k</w:t>
      </w:r>
      <w:r w:rsidRPr="00BA7C9E">
        <w:t>ningar som avser frågor om hushållning, resursutnyttjande och måluppfylle</w:t>
      </w:r>
      <w:r w:rsidRPr="00BA7C9E">
        <w:t>l</w:t>
      </w:r>
      <w:r w:rsidRPr="00BA7C9E">
        <w:t xml:space="preserve">se. Utvecklingen ligger i linje med riksrevisorernas strategiska inriktning sedan 2008 och med den nya lydelsen i revisionslagen som trädde i kraft 2011. Riksrevisionens interna kvalitetssäkring och </w:t>
      </w:r>
      <w:r w:rsidR="009C3C4F" w:rsidRPr="00BA7C9E">
        <w:t>-</w:t>
      </w:r>
      <w:r w:rsidRPr="00BA7C9E">
        <w:t>kontroll visar att effekt</w:t>
      </w:r>
      <w:r w:rsidRPr="00BA7C9E">
        <w:t>i</w:t>
      </w:r>
      <w:r w:rsidRPr="00BA7C9E">
        <w:t>vitetsgranskningarna håller rätt kvalitet. Intressentundersökningen som g</w:t>
      </w:r>
      <w:r w:rsidRPr="00BA7C9E">
        <w:t>e</w:t>
      </w:r>
      <w:r w:rsidRPr="00BA7C9E">
        <w:t>nomförts i år tyder också på ett allt större förtroende för effektivitetsrevisi</w:t>
      </w:r>
      <w:r w:rsidRPr="00BA7C9E">
        <w:t>o</w:t>
      </w:r>
      <w:r w:rsidRPr="00BA7C9E">
        <w:t>nen när det gäller granskningens inriktning, genomförande och avrapport</w:t>
      </w:r>
      <w:r w:rsidRPr="00BA7C9E">
        <w:t>e</w:t>
      </w:r>
      <w:r w:rsidRPr="00BA7C9E">
        <w:t>ring. Uppföljningen av genomförda granskningar indikerar en hög verkning</w:t>
      </w:r>
      <w:r w:rsidRPr="00BA7C9E">
        <w:t>s</w:t>
      </w:r>
      <w:r w:rsidRPr="00BA7C9E">
        <w:t xml:space="preserve">grad genom att åtgärder vidtas med anledning av rapporterna. </w:t>
      </w:r>
    </w:p>
    <w:p w:rsidR="006D5614" w:rsidRPr="00BA7C9E" w:rsidRDefault="006D5614" w:rsidP="0009766E">
      <w:pPr>
        <w:pStyle w:val="Normaltindrag"/>
      </w:pPr>
      <w:r w:rsidRPr="00BA7C9E">
        <w:t>Kostnaderna för effektivitetsrevisionen minskade under 2011 med 13,1 miljoner kronor. Minskningen avsåg främst löne- och konsultkostnader. Den förhållandevis stora förändringen av granskningsstrategier medförde att en större andel av de tillgängliga resurserna behövde avsättas för omvärldsb</w:t>
      </w:r>
      <w:r w:rsidRPr="00BA7C9E">
        <w:t>e</w:t>
      </w:r>
      <w:r w:rsidRPr="00BA7C9E">
        <w:t>vakning. Ett ökat fokus i omvärldsbevakningen har även varit att höja kvalit</w:t>
      </w:r>
      <w:r w:rsidRPr="00BA7C9E">
        <w:t>e</w:t>
      </w:r>
      <w:r w:rsidRPr="00BA7C9E">
        <w:t>ten i riksrevisorns underlag för beslut om att starta en granskning, vilket b</w:t>
      </w:r>
      <w:r w:rsidRPr="00BA7C9E">
        <w:t>e</w:t>
      </w:r>
      <w:r w:rsidRPr="00BA7C9E">
        <w:t>döms ha haft positiva effekter i minskade kostnader för granskningar som avslutas utan att någon rapport publiceras. Styckkostnaderna för effektivitet</w:t>
      </w:r>
      <w:r w:rsidRPr="00BA7C9E">
        <w:t>s</w:t>
      </w:r>
      <w:r w:rsidRPr="00BA7C9E">
        <w:t>granskningarna har därför minskat i förhållande till föregående år. Vid årets slut pågick totalt 32 granskningar.</w:t>
      </w:r>
    </w:p>
    <w:p w:rsidR="00CA66CA" w:rsidRPr="00BA7C9E" w:rsidRDefault="006D5614" w:rsidP="0009766E">
      <w:pPr>
        <w:pStyle w:val="Normaltindrag"/>
      </w:pPr>
      <w:r w:rsidRPr="00BA7C9E">
        <w:t>Det internationella utvecklingssamarbetet har kännetecknats av en hög a</w:t>
      </w:r>
      <w:r w:rsidRPr="00BA7C9E">
        <w:t>k</w:t>
      </w:r>
      <w:r w:rsidRPr="00BA7C9E">
        <w:t>tivitetsnivå. Arbetet med att förnya projektportföljen har gett goda resultat. Måluppfyllelsen i de pågående samarbetsprojekten har i stort varit hög. Under hösten 2011</w:t>
      </w:r>
      <w:r w:rsidR="004B1B21" w:rsidRPr="00BA7C9E">
        <w:t xml:space="preserve"> lämnades en resultat</w:t>
      </w:r>
      <w:r w:rsidRPr="00BA7C9E">
        <w:t xml:space="preserve">rapport över Riksrevisionens internationella utvecklingssamarbete </w:t>
      </w:r>
      <w:r w:rsidR="00F32CCD" w:rsidRPr="00BA7C9E">
        <w:t>till riksdagens utrikesutskott.</w:t>
      </w:r>
    </w:p>
    <w:p w:rsidR="006D5614" w:rsidRPr="00BA7C9E" w:rsidRDefault="006D5614" w:rsidP="0009766E">
      <w:pPr>
        <w:pStyle w:val="Normaltindrag"/>
      </w:pPr>
      <w:r w:rsidRPr="00BA7C9E">
        <w:t>Verksamhetsgrenen omvärldsriktad verksamhet syftar till att öka kunsk</w:t>
      </w:r>
      <w:r w:rsidRPr="00BA7C9E">
        <w:t>a</w:t>
      </w:r>
      <w:r w:rsidRPr="00BA7C9E">
        <w:t>pen om och intresset för revisionens roll och resultat samt att bidra till rev</w:t>
      </w:r>
      <w:r w:rsidRPr="00BA7C9E">
        <w:t>i</w:t>
      </w:r>
      <w:r w:rsidRPr="00BA7C9E">
        <w:t>sionens utveckling i Sverige och internationellt. Riksrevisionen har under året haft samverkan med revisionsorgan i andra länder. Kontakterna med riksd</w:t>
      </w:r>
      <w:r w:rsidRPr="00BA7C9E">
        <w:t>a</w:t>
      </w:r>
      <w:r w:rsidRPr="00BA7C9E">
        <w:t xml:space="preserve">gen och utskotten har </w:t>
      </w:r>
      <w:r w:rsidR="00172F3D" w:rsidRPr="00BA7C9E">
        <w:t>varit omfattande</w:t>
      </w:r>
      <w:r w:rsidRPr="00BA7C9E">
        <w:t>. Härutöver har Riksrevisionen arrang</w:t>
      </w:r>
      <w:r w:rsidRPr="00BA7C9E">
        <w:t>e</w:t>
      </w:r>
      <w:r w:rsidRPr="00BA7C9E">
        <w:t>rat och deltagit i ett antal seminarier och konferenser. Återkommande uppgi</w:t>
      </w:r>
      <w:r w:rsidRPr="00BA7C9E">
        <w:t>f</w:t>
      </w:r>
      <w:r w:rsidRPr="00BA7C9E">
        <w:t>ter i form av årlig rapport, uppföljningsrapport</w:t>
      </w:r>
      <w:r w:rsidR="009B6D63" w:rsidRPr="00BA7C9E">
        <w:t>,</w:t>
      </w:r>
      <w:r w:rsidRPr="00BA7C9E">
        <w:t xml:space="preserve"> </w:t>
      </w:r>
      <w:r w:rsidR="009B6D63" w:rsidRPr="00BA7C9E">
        <w:t xml:space="preserve">granskningsplan </w:t>
      </w:r>
      <w:r w:rsidRPr="00BA7C9E">
        <w:t>samt remi</w:t>
      </w:r>
      <w:r w:rsidRPr="00BA7C9E">
        <w:t>s</w:t>
      </w:r>
      <w:r w:rsidRPr="00BA7C9E">
        <w:t>s</w:t>
      </w:r>
      <w:r w:rsidR="00401E7F" w:rsidRPr="00BA7C9E">
        <w:t>er</w:t>
      </w:r>
      <w:r w:rsidRPr="00BA7C9E">
        <w:t xml:space="preserve"> har genomförts enligt plan.</w:t>
      </w:r>
    </w:p>
    <w:p w:rsidR="006D5614" w:rsidRPr="00BA7C9E" w:rsidRDefault="00E63E15" w:rsidP="00000F7E">
      <w:pPr>
        <w:pStyle w:val="Rubrik2"/>
        <w:spacing w:before="0"/>
      </w:pPr>
      <w:r w:rsidRPr="00BA7C9E">
        <w:br w:type="page"/>
      </w:r>
      <w:bookmarkStart w:id="21" w:name="_Toc284579672"/>
      <w:bookmarkStart w:id="22" w:name="_Toc311187626"/>
      <w:bookmarkStart w:id="23" w:name="_Toc315253437"/>
      <w:bookmarkStart w:id="24" w:name="_Toc318101623"/>
      <w:r w:rsidR="006D5614" w:rsidRPr="00BA7C9E">
        <w:t>Ekonomisk översikt</w:t>
      </w:r>
      <w:bookmarkEnd w:id="21"/>
      <w:bookmarkEnd w:id="22"/>
      <w:bookmarkEnd w:id="23"/>
      <w:bookmarkEnd w:id="24"/>
    </w:p>
    <w:p w:rsidR="006D5614" w:rsidRPr="00BA7C9E" w:rsidRDefault="006D5614" w:rsidP="006D5614">
      <w:r w:rsidRPr="00BA7C9E">
        <w:t>I den ekonomiska översikten lämnas en sammanfattning av förändringar av Riksrevisionens finansiering, kostnader och anslag.</w:t>
      </w:r>
    </w:p>
    <w:p w:rsidR="006D5614" w:rsidRPr="00BA7C9E" w:rsidRDefault="006D5614" w:rsidP="00CA66CA">
      <w:pPr>
        <w:pStyle w:val="Rubrik3"/>
        <w:rPr>
          <w:noProof w:val="0"/>
        </w:rPr>
      </w:pPr>
      <w:bookmarkStart w:id="25" w:name="_Toc284579673"/>
      <w:bookmarkStart w:id="26" w:name="_Toc311187627"/>
      <w:bookmarkStart w:id="27" w:name="_Toc315253438"/>
      <w:bookmarkStart w:id="28" w:name="_Toc318101624"/>
      <w:r w:rsidRPr="00BA7C9E">
        <w:rPr>
          <w:noProof w:val="0"/>
        </w:rPr>
        <w:t>Finansiering och kostnader</w:t>
      </w:r>
      <w:bookmarkEnd w:id="25"/>
      <w:bookmarkEnd w:id="26"/>
      <w:bookmarkEnd w:id="27"/>
      <w:bookmarkEnd w:id="28"/>
    </w:p>
    <w:p w:rsidR="006D5614" w:rsidRPr="00BA7C9E" w:rsidRDefault="006D5614" w:rsidP="00CA66CA">
      <w:pPr>
        <w:pStyle w:val="Tabellrubrik"/>
      </w:pPr>
      <w:r w:rsidRPr="00BA7C9E">
        <w:t>Diagram 1 kostnader per verksamhetsgren 2009 – 2011 (tkr)</w:t>
      </w:r>
    </w:p>
    <w:p w:rsidR="006D5614" w:rsidRPr="00BA7C9E" w:rsidRDefault="006D5614" w:rsidP="006D5614"/>
    <w:p w:rsidR="006D5614" w:rsidRPr="00BA7C9E" w:rsidRDefault="00BA7C9E" w:rsidP="006D5614">
      <w:r w:rsidRPr="00BA7C9E">
        <w:rPr>
          <w:noProof/>
        </w:rPr>
        <w:drawing>
          <wp:inline distT="0" distB="0" distL="0" distR="0">
            <wp:extent cx="3766185" cy="2808605"/>
            <wp:effectExtent l="0" t="0" r="0" b="0"/>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66185" cy="2808605"/>
                    </a:xfrm>
                    <a:prstGeom prst="rect">
                      <a:avLst/>
                    </a:prstGeom>
                    <a:noFill/>
                    <a:ln>
                      <a:noFill/>
                    </a:ln>
                  </pic:spPr>
                </pic:pic>
              </a:graphicData>
            </a:graphic>
          </wp:inline>
        </w:drawing>
      </w:r>
    </w:p>
    <w:p w:rsidR="006D5614" w:rsidRPr="00BA7C9E" w:rsidRDefault="006D5614" w:rsidP="006D5614"/>
    <w:p w:rsidR="006D5614" w:rsidRPr="00BA7C9E" w:rsidRDefault="006D5614" w:rsidP="006D5614">
      <w:r w:rsidRPr="00BA7C9E">
        <w:t>Verksamhetens kostnader inklusive transfereringar uppgår till 327,1 (334,7)</w:t>
      </w:r>
      <w:r w:rsidRPr="00BA7C9E">
        <w:rPr>
          <w:vertAlign w:val="superscript"/>
        </w:rPr>
        <w:footnoteReference w:id="3"/>
      </w:r>
      <w:r w:rsidRPr="00BA7C9E">
        <w:t xml:space="preserve"> miljoner kronor. Diagrammet visar de olika verksamhetsgrenarnas kostnad</w:t>
      </w:r>
      <w:r w:rsidRPr="00BA7C9E">
        <w:t>s</w:t>
      </w:r>
      <w:r w:rsidRPr="00BA7C9E">
        <w:t>utveckling över tiden.</w:t>
      </w:r>
    </w:p>
    <w:p w:rsidR="006D5614" w:rsidRPr="00BA7C9E" w:rsidRDefault="006D5614" w:rsidP="006D5614"/>
    <w:p w:rsidR="006D5614" w:rsidRPr="00BA7C9E" w:rsidRDefault="006D5614" w:rsidP="006D5614"/>
    <w:p w:rsidR="006D5614" w:rsidRPr="00BA7C9E" w:rsidRDefault="006D5614" w:rsidP="006D5614"/>
    <w:p w:rsidR="00CA66CA" w:rsidRPr="00BA7C9E" w:rsidRDefault="00CA66CA" w:rsidP="00CA66CA">
      <w:pPr>
        <w:pStyle w:val="Normaltindrag"/>
      </w:pPr>
    </w:p>
    <w:p w:rsidR="00CA66CA" w:rsidRPr="00BA7C9E" w:rsidRDefault="00CA66CA" w:rsidP="00CA66CA">
      <w:pPr>
        <w:pStyle w:val="Normaltindrag"/>
      </w:pPr>
    </w:p>
    <w:p w:rsidR="00841708" w:rsidRPr="00BA7C9E" w:rsidRDefault="00841708" w:rsidP="00CA66CA">
      <w:pPr>
        <w:pStyle w:val="Normaltindrag"/>
      </w:pPr>
    </w:p>
    <w:p w:rsidR="00841708" w:rsidRPr="00BA7C9E" w:rsidRDefault="00841708" w:rsidP="00CA66CA">
      <w:pPr>
        <w:pStyle w:val="Normaltindrag"/>
      </w:pPr>
    </w:p>
    <w:p w:rsidR="00841708" w:rsidRPr="00BA7C9E" w:rsidRDefault="00841708" w:rsidP="00CA66CA">
      <w:pPr>
        <w:pStyle w:val="Normaltindrag"/>
      </w:pPr>
    </w:p>
    <w:p w:rsidR="006D5614" w:rsidRPr="00BA7C9E" w:rsidRDefault="006D5614" w:rsidP="00000F7E">
      <w:pPr>
        <w:pStyle w:val="Tabellrubrik"/>
        <w:pageBreakBefore/>
        <w:spacing w:before="0"/>
      </w:pPr>
      <w:r w:rsidRPr="00BA7C9E">
        <w:t>Tabell 1 Verksamhetens kostnader och andra intäkter än anslag och inkomsttitel, 2009</w:t>
      </w:r>
      <w:r w:rsidR="00ED206D" w:rsidRPr="00BA7C9E">
        <w:t xml:space="preserve"> </w:t>
      </w:r>
      <w:r w:rsidRPr="00BA7C9E">
        <w:t>-</w:t>
      </w:r>
      <w:r w:rsidR="00ED206D" w:rsidRPr="00BA7C9E">
        <w:t xml:space="preserve"> </w:t>
      </w:r>
      <w:r w:rsidRPr="00BA7C9E">
        <w:t xml:space="preserve">2011 (tkr) </w:t>
      </w:r>
    </w:p>
    <w:p w:rsidR="006D5614" w:rsidRPr="00BA7C9E" w:rsidRDefault="00BA7C9E" w:rsidP="006D5614">
      <w:r w:rsidRPr="00BA7C9E">
        <w:rPr>
          <w:noProof/>
        </w:rPr>
        <w:drawing>
          <wp:inline distT="0" distB="0" distL="0" distR="0">
            <wp:extent cx="3777615" cy="1915795"/>
            <wp:effectExtent l="0" t="0" r="0" b="0"/>
            <wp:docPr id="3"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7615" cy="1915795"/>
                    </a:xfrm>
                    <a:prstGeom prst="rect">
                      <a:avLst/>
                    </a:prstGeom>
                    <a:noFill/>
                    <a:ln>
                      <a:noFill/>
                    </a:ln>
                  </pic:spPr>
                </pic:pic>
              </a:graphicData>
            </a:graphic>
          </wp:inline>
        </w:drawing>
      </w:r>
    </w:p>
    <w:p w:rsidR="006D5614" w:rsidRPr="00BA7C9E" w:rsidRDefault="006D5614" w:rsidP="006D5614"/>
    <w:p w:rsidR="006D5614" w:rsidRPr="00BA7C9E" w:rsidRDefault="006D5614" w:rsidP="006D5614">
      <w:r w:rsidRPr="00BA7C9E">
        <w:t>Verksamhetens totala kostnader har minskat med 8,3 miljoner kronor jämfört med föregående år, vilket i stort sett är i enlighet med plan då Riksrevisionen förbrukade något mer än anvisade medel 2010. Kostnaderna för effektivitet</w:t>
      </w:r>
      <w:r w:rsidRPr="00BA7C9E">
        <w:t>s</w:t>
      </w:r>
      <w:r w:rsidRPr="00BA7C9E">
        <w:t>revision har minskat med 13,1 miljoner kronor medan kostnaderna för de andra verksamhetsgrenarna har ökat något. Ökningen inom det internationella utvecklingssamarbetet beror på en högre aktivitetsnivå.</w:t>
      </w:r>
      <w:r w:rsidRPr="00BA7C9E">
        <w:rPr>
          <w:i/>
        </w:rPr>
        <w:t xml:space="preserve"> </w:t>
      </w:r>
      <w:r w:rsidRPr="00BA7C9E">
        <w:t>Andra intäkter än anslag avser bidrag från Världsbanken, avgiftsintäkter från internationell uppdragsverksamhet samt finansiella intäkter. Under året har ränteintäkterna ökat med 0,6 miljoner kronor, vilket förklaras av ett högre saldo på ränteko</w:t>
      </w:r>
      <w:r w:rsidRPr="00BA7C9E">
        <w:t>n</w:t>
      </w:r>
      <w:r w:rsidRPr="00BA7C9E">
        <w:t>tot och ett högre ränteläge.</w:t>
      </w:r>
    </w:p>
    <w:p w:rsidR="006D5614" w:rsidRPr="00BA7C9E" w:rsidRDefault="006D5614" w:rsidP="00CA66CA">
      <w:pPr>
        <w:pStyle w:val="R4"/>
      </w:pPr>
      <w:r w:rsidRPr="00BA7C9E">
        <w:t>Anslag</w:t>
      </w:r>
    </w:p>
    <w:p w:rsidR="006D5614" w:rsidRPr="00BA7C9E" w:rsidRDefault="006D5614" w:rsidP="006D5614">
      <w:r w:rsidRPr="00BA7C9E">
        <w:t xml:space="preserve">Årets anvisade medel för anslag 1:15 Riksrevisionen uppgick till 299 miljoner kronor. Inklusive det ingående anslagssparandet var det disponibla beloppet 301,4 miljoner kronor. Anslagsförbrukningen var 286,8 miljoner kronor. Det samlade anslagssparandet på förvaltningsanslaget uppgick vid utgången av 2011 till 14,5 miljoner kronor, vilket motsvarar 4,8 procent av årets anvisade medel. Riksrevisionen avser att </w:t>
      </w:r>
      <w:r w:rsidR="00261608" w:rsidRPr="00BA7C9E">
        <w:t>disponera</w:t>
      </w:r>
      <w:r w:rsidRPr="00BA7C9E">
        <w:t xml:space="preserve"> anslagssparandet för att möta kommande års behov av verksamhetsutveckling bland annat relaterat till peer review, förbättrad informationssäkerhet och långsiktig lokalförsörjning. </w:t>
      </w:r>
    </w:p>
    <w:p w:rsidR="006D5614" w:rsidRPr="00BA7C9E" w:rsidRDefault="006D5614" w:rsidP="0009766E">
      <w:pPr>
        <w:pStyle w:val="Normaltindrag"/>
      </w:pPr>
      <w:r w:rsidRPr="00BA7C9E">
        <w:t>Årets anvisade medel för anslag 1:5 Riksrevisionen Internationellt utvec</w:t>
      </w:r>
      <w:r w:rsidRPr="00BA7C9E">
        <w:t>k</w:t>
      </w:r>
      <w:r w:rsidRPr="00BA7C9E">
        <w:t>lingssamarbete uppgick till 40 miljoner kronor, vilket inklusive det ingående anslagssparandet minskat med indragning gav ett disponibelt belopp om 41,2 miljoner kronor. Anslagsförbrukningen uppgick till 40,3 miljoner kronor.</w:t>
      </w:r>
    </w:p>
    <w:p w:rsidR="00867737" w:rsidRPr="00BA7C9E" w:rsidRDefault="00867737" w:rsidP="000F0631">
      <w:pPr>
        <w:pStyle w:val="Rubrik2"/>
      </w:pPr>
      <w:bookmarkStart w:id="29" w:name="_Toc284579674"/>
      <w:bookmarkStart w:id="30" w:name="_Toc311187628"/>
      <w:bookmarkStart w:id="31" w:name="_Toc315253439"/>
      <w:bookmarkStart w:id="32" w:name="_Toc318101625"/>
      <w:r w:rsidRPr="00BA7C9E">
        <w:t>Årlig revision</w:t>
      </w:r>
      <w:bookmarkEnd w:id="29"/>
      <w:bookmarkEnd w:id="30"/>
      <w:bookmarkEnd w:id="31"/>
      <w:bookmarkEnd w:id="32"/>
    </w:p>
    <w:p w:rsidR="00867737" w:rsidRPr="00BA7C9E" w:rsidRDefault="00867737" w:rsidP="000F0631">
      <w:pPr>
        <w:pStyle w:val="Rubrik3"/>
        <w:rPr>
          <w:noProof w:val="0"/>
        </w:rPr>
      </w:pPr>
      <w:bookmarkStart w:id="33" w:name="_Toc284579675"/>
      <w:bookmarkStart w:id="34" w:name="_Toc311187629"/>
      <w:bookmarkStart w:id="35" w:name="_Toc315253440"/>
      <w:bookmarkStart w:id="36" w:name="_Toc318101626"/>
      <w:r w:rsidRPr="00BA7C9E">
        <w:rPr>
          <w:noProof w:val="0"/>
        </w:rPr>
        <w:t>Mål</w:t>
      </w:r>
      <w:bookmarkEnd w:id="33"/>
      <w:bookmarkEnd w:id="34"/>
      <w:bookmarkEnd w:id="35"/>
      <w:bookmarkEnd w:id="36"/>
      <w:r w:rsidRPr="00BA7C9E">
        <w:rPr>
          <w:noProof w:val="0"/>
        </w:rPr>
        <w:tab/>
      </w:r>
    </w:p>
    <w:p w:rsidR="00867737" w:rsidRPr="00BA7C9E" w:rsidRDefault="00867737" w:rsidP="00867737">
      <w:r w:rsidRPr="00BA7C9E">
        <w:t>Målet för verksamhetsgrenen är att i enlighet med god revisionssed och i tid lämna revisionsberättelser avseende årsredovisningarna för de granskningso</w:t>
      </w:r>
      <w:r w:rsidRPr="00BA7C9E">
        <w:t>b</w:t>
      </w:r>
      <w:r w:rsidRPr="00BA7C9E">
        <w:t xml:space="preserve">jekt som omfattas av lagen om statlig revision. Riksrevisionen har fastställt </w:t>
      </w:r>
      <w:r w:rsidR="005E49E2" w:rsidRPr="00BA7C9E">
        <w:t>nedanstående</w:t>
      </w:r>
      <w:r w:rsidRPr="00BA7C9E">
        <w:t xml:space="preserve"> mål för granskningsverksamheten</w:t>
      </w:r>
      <w:r w:rsidR="00261608" w:rsidRPr="00BA7C9E">
        <w:t>:</w:t>
      </w:r>
    </w:p>
    <w:p w:rsidR="00261608" w:rsidRPr="00BA7C9E" w:rsidRDefault="00261608" w:rsidP="00261608">
      <w:pPr>
        <w:pStyle w:val="Normaltindrag"/>
      </w:pPr>
    </w:p>
    <w:p w:rsidR="00867737" w:rsidRPr="00BA7C9E" w:rsidRDefault="00867737" w:rsidP="00867737">
      <w:pPr>
        <w:numPr>
          <w:ilvl w:val="0"/>
          <w:numId w:val="5"/>
        </w:numPr>
      </w:pPr>
      <w:r w:rsidRPr="00BA7C9E">
        <w:t xml:space="preserve">att inriktningen är relevant och intressant </w:t>
      </w:r>
    </w:p>
    <w:p w:rsidR="00867737" w:rsidRPr="00BA7C9E" w:rsidRDefault="00867737" w:rsidP="00434E1D">
      <w:pPr>
        <w:numPr>
          <w:ilvl w:val="0"/>
          <w:numId w:val="5"/>
        </w:numPr>
        <w:spacing w:before="0"/>
        <w:ind w:left="357" w:hanging="357"/>
      </w:pPr>
      <w:r w:rsidRPr="00BA7C9E">
        <w:t xml:space="preserve">att granskningen håller hög kvalitet </w:t>
      </w:r>
    </w:p>
    <w:p w:rsidR="00867737" w:rsidRPr="00BA7C9E" w:rsidRDefault="00867737" w:rsidP="00434E1D">
      <w:pPr>
        <w:numPr>
          <w:ilvl w:val="0"/>
          <w:numId w:val="5"/>
        </w:numPr>
        <w:spacing w:before="0"/>
        <w:ind w:left="357" w:hanging="357"/>
      </w:pPr>
      <w:r w:rsidRPr="00BA7C9E">
        <w:t>att granskningen når hög verkningsgrad.</w:t>
      </w:r>
    </w:p>
    <w:p w:rsidR="00867737" w:rsidRPr="00BA7C9E" w:rsidRDefault="00867737" w:rsidP="000F0631">
      <w:pPr>
        <w:pStyle w:val="Rubrik3"/>
        <w:rPr>
          <w:noProof w:val="0"/>
        </w:rPr>
      </w:pPr>
      <w:bookmarkStart w:id="37" w:name="_Toc284579676"/>
      <w:bookmarkStart w:id="38" w:name="_Toc311187630"/>
      <w:bookmarkStart w:id="39" w:name="_Toc315253441"/>
      <w:bookmarkStart w:id="40" w:name="_Toc318101627"/>
      <w:r w:rsidRPr="00BA7C9E">
        <w:rPr>
          <w:noProof w:val="0"/>
        </w:rPr>
        <w:t>Resultat och bedömning</w:t>
      </w:r>
      <w:bookmarkEnd w:id="37"/>
      <w:bookmarkEnd w:id="38"/>
      <w:bookmarkEnd w:id="39"/>
      <w:bookmarkEnd w:id="40"/>
    </w:p>
    <w:p w:rsidR="00867737" w:rsidRPr="00BA7C9E" w:rsidRDefault="00867737" w:rsidP="000F0631">
      <w:pPr>
        <w:pStyle w:val="R4"/>
      </w:pPr>
      <w:r w:rsidRPr="00BA7C9E">
        <w:t>Sammanfattande bedömning</w:t>
      </w:r>
    </w:p>
    <w:p w:rsidR="00867737" w:rsidRPr="00BA7C9E" w:rsidRDefault="00867737" w:rsidP="00867737">
      <w:r w:rsidRPr="00BA7C9E">
        <w:t>Den årliga revisionen av 2010 års årsredovisningar som slutfördes under våren 2011 har genomförts enligt god revisionssed. Samtliga revisionsberä</w:t>
      </w:r>
      <w:r w:rsidRPr="00BA7C9E">
        <w:t>t</w:t>
      </w:r>
      <w:r w:rsidRPr="00BA7C9E">
        <w:t xml:space="preserve">telser lämnades i tid. De fel och brister som Riksrevisionen rapporterar i revisionsberättelserna åtgärdas av de berörda myndigheterna. Uppföljningen visar att alla allvarligare brister som ledde till en </w:t>
      </w:r>
      <w:r w:rsidR="009A49A8" w:rsidRPr="00BA7C9E">
        <w:t>invändning</w:t>
      </w:r>
      <w:r w:rsidRPr="00BA7C9E">
        <w:t xml:space="preserve"> i revisionsberä</w:t>
      </w:r>
      <w:r w:rsidRPr="00BA7C9E">
        <w:t>t</w:t>
      </w:r>
      <w:r w:rsidRPr="00BA7C9E">
        <w:t>telsen avseende 2009 års årsredovisningar var åtgärdade innan revisionsberä</w:t>
      </w:r>
      <w:r w:rsidRPr="00BA7C9E">
        <w:t>t</w:t>
      </w:r>
      <w:r w:rsidRPr="00BA7C9E">
        <w:t xml:space="preserve">telserna för 2010 lämnades. </w:t>
      </w:r>
    </w:p>
    <w:p w:rsidR="00867737" w:rsidRPr="00BA7C9E" w:rsidRDefault="00867737" w:rsidP="000F0631">
      <w:pPr>
        <w:pStyle w:val="R4"/>
      </w:pPr>
      <w:r w:rsidRPr="00BA7C9E">
        <w:t xml:space="preserve">Måluppfyllelse </w:t>
      </w:r>
    </w:p>
    <w:p w:rsidR="008261AD" w:rsidRPr="00BA7C9E" w:rsidRDefault="008261AD" w:rsidP="000F0631">
      <w:pPr>
        <w:pStyle w:val="R6"/>
      </w:pPr>
    </w:p>
    <w:p w:rsidR="00867737" w:rsidRPr="00BA7C9E" w:rsidRDefault="00867737" w:rsidP="000F0631">
      <w:pPr>
        <w:pStyle w:val="R6"/>
      </w:pPr>
      <w:r w:rsidRPr="00BA7C9E">
        <w:t xml:space="preserve">Revisionens inriktning </w:t>
      </w:r>
    </w:p>
    <w:p w:rsidR="00867737" w:rsidRPr="00BA7C9E" w:rsidRDefault="00867737" w:rsidP="00867737">
      <w:r w:rsidRPr="00BA7C9E">
        <w:t>I enlighet med god revisionssed inriktas den årliga revisionen mot områden där det finns en risk för väsentliga fel i årsredovisningen. Året har kännetec</w:t>
      </w:r>
      <w:r w:rsidRPr="00BA7C9E">
        <w:t>k</w:t>
      </w:r>
      <w:r w:rsidRPr="00BA7C9E">
        <w:t>nats av fortsatt anpassning till internationella revisionsstandarder, Internati</w:t>
      </w:r>
      <w:r w:rsidRPr="00BA7C9E">
        <w:t>o</w:t>
      </w:r>
      <w:r w:rsidRPr="00BA7C9E">
        <w:t>nal Standards for Supreme Audit Institutions (ISSAI) som från och med 2011 utgör god revisionssed för Riksrevisionen. Detta kommer också att framgå av de revisionsberättelser som lämnas avseende räkenskapsåret 2011. Övergån</w:t>
      </w:r>
      <w:r w:rsidRPr="00BA7C9E">
        <w:t>g</w:t>
      </w:r>
      <w:r w:rsidRPr="00BA7C9E">
        <w:t>en till ISSAI har inneburit ett särskilt fokus på kvalitetssäkringsåtgärder och kompletterande utbildningsinsatser. Utifrån erfarenheter från 2010 års granskning har också insatser genomförts för att kommunicera bakgrund och innehåll i de nya standarder som införts. Riksrevisionen har bland annat i</w:t>
      </w:r>
      <w:r w:rsidRPr="00BA7C9E">
        <w:t>n</w:t>
      </w:r>
      <w:r w:rsidRPr="00BA7C9E">
        <w:t>formerat samtliga myndighetschefer om de förändringar som har skett i rev</w:t>
      </w:r>
      <w:r w:rsidRPr="00BA7C9E">
        <w:t>i</w:t>
      </w:r>
      <w:r w:rsidRPr="00BA7C9E">
        <w:t xml:space="preserve">sorernas arbetssätt. Tillämpningen av ISSAI har medfört vissa förändringar för myndighetsledningarna. Ett exempel är att dialogen mellan ledningen och revisorerna har ökat. Bland annat har behovet ökat för revisorerna att ställa fler frågor till ledningen om exempelvis dess syn på den egna verksamheten, väsentliga händelser i myndigheten, </w:t>
      </w:r>
      <w:r w:rsidR="00B954F3" w:rsidRPr="00BA7C9E">
        <w:t xml:space="preserve">efterlevnad av </w:t>
      </w:r>
      <w:r w:rsidRPr="00BA7C9E">
        <w:t>regle</w:t>
      </w:r>
      <w:r w:rsidR="00B954F3" w:rsidRPr="00BA7C9E">
        <w:t>r</w:t>
      </w:r>
      <w:r w:rsidRPr="00BA7C9E">
        <w:t xml:space="preserve"> och </w:t>
      </w:r>
      <w:r w:rsidR="00B954F3" w:rsidRPr="00BA7C9E">
        <w:t xml:space="preserve">eventuella </w:t>
      </w:r>
      <w:r w:rsidRPr="00BA7C9E">
        <w:t>oegentligheter.</w:t>
      </w:r>
    </w:p>
    <w:p w:rsidR="00867737" w:rsidRPr="00BA7C9E" w:rsidRDefault="006F4F3A" w:rsidP="0009766E">
      <w:pPr>
        <w:pStyle w:val="Normaltindrag"/>
      </w:pPr>
      <w:r w:rsidRPr="00BA7C9E">
        <w:t>En</w:t>
      </w:r>
      <w:r w:rsidR="00867737" w:rsidRPr="00BA7C9E">
        <w:t xml:space="preserve"> nyhet som infördes räkenskapsåret 2010 var kravet på att myndighet</w:t>
      </w:r>
      <w:r w:rsidR="00867737" w:rsidRPr="00BA7C9E">
        <w:t>s</w:t>
      </w:r>
      <w:r w:rsidR="00867737" w:rsidRPr="00BA7C9E">
        <w:t>ledningen ska lämna ett uttalande till revisorn om olika förhållanden inom myndigheten. Det är ett obligatoriskt revisionsbevis för revisorn, men ska också ses som en sammanställning över relevanta frågor som myndigheten bör ha diskuterat och informerat revisorn om i anslutning till arbetet med årsredovisningen.</w:t>
      </w:r>
    </w:p>
    <w:p w:rsidR="00867737" w:rsidRPr="00BA7C9E" w:rsidRDefault="00867737" w:rsidP="0009766E">
      <w:pPr>
        <w:pStyle w:val="Normaltindrag"/>
      </w:pPr>
      <w:r w:rsidRPr="00BA7C9E">
        <w:t>Såväl myndighetens som revisorernas strävan är att årsredovisningen ger en rättvisande bild när den är antagen genom ett beslut och att revisionsberä</w:t>
      </w:r>
      <w:r w:rsidRPr="00BA7C9E">
        <w:t>t</w:t>
      </w:r>
      <w:r w:rsidRPr="00BA7C9E">
        <w:t xml:space="preserve">telsen kan bekräfta detta. En del av de nya riktlinjerna handlar därför om att revisorn ska lämna en tydlig och tidig rapportering om eventuella iakttagelser. Sedan räkenskapsåret 2010 får ledningen </w:t>
      </w:r>
      <w:r w:rsidR="00B954F3" w:rsidRPr="00BA7C9E">
        <w:t xml:space="preserve">därutöver </w:t>
      </w:r>
      <w:r w:rsidRPr="00BA7C9E">
        <w:t>inför beslutet om rev</w:t>
      </w:r>
      <w:r w:rsidRPr="00BA7C9E">
        <w:t>i</w:t>
      </w:r>
      <w:r w:rsidRPr="00BA7C9E">
        <w:t>sionsberättelsen en förteckning över de fel som revisorn har funnit. Det inn</w:t>
      </w:r>
      <w:r w:rsidRPr="00BA7C9E">
        <w:t>e</w:t>
      </w:r>
      <w:r w:rsidRPr="00BA7C9E">
        <w:t>bär inte alltid att årsredovisningen behöver kompletteras då listan även inn</w:t>
      </w:r>
      <w:r w:rsidRPr="00BA7C9E">
        <w:t>e</w:t>
      </w:r>
      <w:r w:rsidRPr="00BA7C9E">
        <w:t>håller påträffade fel som inte är väsentliga vid bedömningen av huruvida årsredovisningen är rättvisande.</w:t>
      </w:r>
    </w:p>
    <w:p w:rsidR="00867737" w:rsidRPr="00BA7C9E" w:rsidRDefault="00867737" w:rsidP="00867737"/>
    <w:p w:rsidR="00867737" w:rsidRPr="00BA7C9E" w:rsidRDefault="00867737" w:rsidP="000F0631">
      <w:pPr>
        <w:pStyle w:val="R6"/>
      </w:pPr>
      <w:r w:rsidRPr="00BA7C9E">
        <w:t xml:space="preserve">Granskningen håller hög kvalitet </w:t>
      </w:r>
    </w:p>
    <w:p w:rsidR="00867737" w:rsidRPr="00BA7C9E" w:rsidRDefault="00867737" w:rsidP="00867737">
      <w:r w:rsidRPr="00BA7C9E">
        <w:t>Kvalitetssäkringen av den årliga revisionen baseras på de kvalitetskrav som ställs inom ISSAI t</w:t>
      </w:r>
      <w:r w:rsidR="00B954F3" w:rsidRPr="00BA7C9E">
        <w:t>ill</w:t>
      </w:r>
      <w:r w:rsidRPr="00BA7C9E">
        <w:t xml:space="preserve"> ex</w:t>
      </w:r>
      <w:r w:rsidR="00B954F3" w:rsidRPr="00BA7C9E">
        <w:t>empel</w:t>
      </w:r>
      <w:r w:rsidRPr="00BA7C9E">
        <w:t xml:space="preserve"> genom ISSAI 1220 Kvalitetskontroll för rev</w:t>
      </w:r>
      <w:r w:rsidRPr="00BA7C9E">
        <w:t>i</w:t>
      </w:r>
      <w:r w:rsidRPr="00BA7C9E">
        <w:t>sion av finansiella rapporter och ISSAI 40 Kvalitetskontroll för nationella revisionsorgan. En central del är den kvalitetssäkring som sker inom rev</w:t>
      </w:r>
      <w:r w:rsidRPr="00BA7C9E">
        <w:t>i</w:t>
      </w:r>
      <w:r w:rsidRPr="00BA7C9E">
        <w:t>sionsteamet, där mer erfarna medarbetare går igenom och godkänner mindre erfarna medarbetares dokumentation. Härutöver genomförs andra typer av kvalitetssäkringsåtgärder, såsom</w:t>
      </w:r>
      <w:r w:rsidR="00B954F3" w:rsidRPr="00BA7C9E">
        <w:t>:</w:t>
      </w:r>
    </w:p>
    <w:p w:rsidR="00867737" w:rsidRPr="00BA7C9E" w:rsidRDefault="00867737" w:rsidP="00555AB9">
      <w:pPr>
        <w:numPr>
          <w:ilvl w:val="0"/>
          <w:numId w:val="5"/>
        </w:numPr>
        <w:spacing w:before="125"/>
        <w:ind w:left="357" w:hanging="357"/>
      </w:pPr>
      <w:r w:rsidRPr="00BA7C9E">
        <w:t xml:space="preserve">enkäter till de granskade myndigheterna </w:t>
      </w:r>
    </w:p>
    <w:p w:rsidR="00867737" w:rsidRPr="00BA7C9E" w:rsidRDefault="00867737" w:rsidP="00555AB9">
      <w:pPr>
        <w:numPr>
          <w:ilvl w:val="0"/>
          <w:numId w:val="5"/>
        </w:numPr>
        <w:spacing w:before="0"/>
        <w:ind w:left="357" w:hanging="357"/>
      </w:pPr>
      <w:r w:rsidRPr="00BA7C9E">
        <w:t xml:space="preserve">kvalitetskontroll under pågående granskning för större revisionsobjekt </w:t>
      </w:r>
    </w:p>
    <w:p w:rsidR="00867737" w:rsidRPr="00BA7C9E" w:rsidRDefault="00867737" w:rsidP="00555AB9">
      <w:pPr>
        <w:numPr>
          <w:ilvl w:val="0"/>
          <w:numId w:val="5"/>
        </w:numPr>
        <w:spacing w:before="0"/>
        <w:ind w:left="357" w:hanging="357"/>
      </w:pPr>
      <w:r w:rsidRPr="00BA7C9E">
        <w:t xml:space="preserve">bedömningar (second opinion) i mer komplicerade frågor </w:t>
      </w:r>
    </w:p>
    <w:p w:rsidR="00867737" w:rsidRPr="00BA7C9E" w:rsidRDefault="00867737" w:rsidP="00555AB9">
      <w:pPr>
        <w:numPr>
          <w:ilvl w:val="0"/>
          <w:numId w:val="5"/>
        </w:numPr>
        <w:spacing w:before="0"/>
        <w:ind w:left="357" w:hanging="357"/>
      </w:pPr>
      <w:r w:rsidRPr="00BA7C9E">
        <w:t>kvalitetskontroll i efterhand av färdigställda revisionsakter.</w:t>
      </w:r>
    </w:p>
    <w:p w:rsidR="00867737" w:rsidRPr="00BA7C9E" w:rsidRDefault="00867737" w:rsidP="00555AB9">
      <w:pPr>
        <w:spacing w:before="125"/>
      </w:pPr>
      <w:r w:rsidRPr="00BA7C9E">
        <w:t>Riksrevisionen anlitar externa bedömare för att gå igenom hur kvalitetssä</w:t>
      </w:r>
      <w:r w:rsidRPr="00BA7C9E">
        <w:t>k</w:t>
      </w:r>
      <w:r w:rsidRPr="00BA7C9E">
        <w:t>ringssystemet tillämpas.  Den senaste externa kvalitetssäkringen genomfördes under 2008 med godkänt resultat. Nästa externa kvalitetskontroll kommer att genomföras i for</w:t>
      </w:r>
      <w:r w:rsidR="00974D4F" w:rsidRPr="00BA7C9E">
        <w:t>m av en peer review under 2013</w:t>
      </w:r>
      <w:r w:rsidR="00B954F3" w:rsidRPr="00BA7C9E">
        <w:t>.</w:t>
      </w:r>
      <w:r w:rsidRPr="00BA7C9E">
        <w:t xml:space="preserve"> Riksrevisionens peer rev</w:t>
      </w:r>
      <w:r w:rsidRPr="00BA7C9E">
        <w:t>i</w:t>
      </w:r>
      <w:r w:rsidRPr="00BA7C9E">
        <w:t>ew förvänt</w:t>
      </w:r>
      <w:r w:rsidR="00A7612D" w:rsidRPr="00BA7C9E">
        <w:t xml:space="preserve">as vara väsentlig för pågående </w:t>
      </w:r>
      <w:r w:rsidRPr="00BA7C9E">
        <w:t>verksamhet</w:t>
      </w:r>
      <w:r w:rsidR="00A7612D" w:rsidRPr="00BA7C9E">
        <w:t>sutveckling</w:t>
      </w:r>
      <w:r w:rsidRPr="00BA7C9E">
        <w:t>, såväl inom granskningsverksamheten som på myndighetsövergripande nivå. Både förb</w:t>
      </w:r>
      <w:r w:rsidRPr="00BA7C9E">
        <w:t>e</w:t>
      </w:r>
      <w:r w:rsidRPr="00BA7C9E">
        <w:t>redelser och resultat syftar till att bidra till organisationens lärande och u</w:t>
      </w:r>
      <w:r w:rsidRPr="00BA7C9E">
        <w:t>t</w:t>
      </w:r>
      <w:r w:rsidRPr="00BA7C9E">
        <w:t xml:space="preserve">veckling. </w:t>
      </w:r>
    </w:p>
    <w:p w:rsidR="00867737" w:rsidRPr="00BA7C9E" w:rsidRDefault="00867737" w:rsidP="0009766E">
      <w:pPr>
        <w:pStyle w:val="Normaltindrag"/>
      </w:pPr>
      <w:r w:rsidRPr="00BA7C9E">
        <w:t>För att få en uppfattning om hur de granskade myndigheterna uppfattar den årliga revisionen och kvaliteten i arbetet genomförs varje år en enkätunde</w:t>
      </w:r>
      <w:r w:rsidRPr="00BA7C9E">
        <w:t>r</w:t>
      </w:r>
      <w:r w:rsidRPr="00BA7C9E">
        <w:t>sökning som omfattar cirka en tredjedel av myndigheterna. Årets enkät visade ett gott resultat. Flertalet av myndigheterna som svarade</w:t>
      </w:r>
      <w:r w:rsidRPr="00BA7C9E">
        <w:rPr>
          <w:vertAlign w:val="superscript"/>
        </w:rPr>
        <w:footnoteReference w:id="4"/>
      </w:r>
      <w:r w:rsidRPr="00BA7C9E">
        <w:t>, 98 procent (85 procent), hade en samlad positiv bedömning av hur revisionen hade geno</w:t>
      </w:r>
      <w:r w:rsidRPr="00BA7C9E">
        <w:t>m</w:t>
      </w:r>
      <w:r w:rsidRPr="00BA7C9E">
        <w:t>förts. En kvalitativ intressentundersökning genomförd under 2011 bekräftade det positiva resultatet. Enkätresultaten är ett viktigt underlag för en kontinue</w:t>
      </w:r>
      <w:r w:rsidRPr="00BA7C9E">
        <w:t>r</w:t>
      </w:r>
      <w:r w:rsidRPr="00BA7C9E">
        <w:t>lig uppföljning och utveckling av kvaliteten i den årliga revisionen.</w:t>
      </w:r>
    </w:p>
    <w:p w:rsidR="00867737" w:rsidRPr="00BA7C9E" w:rsidRDefault="00867737" w:rsidP="0009766E">
      <w:pPr>
        <w:pStyle w:val="Normaltindrag"/>
      </w:pPr>
      <w:r w:rsidRPr="00BA7C9E">
        <w:t>Kvalitetskontrollen under pågående granskning genomförs genom att en utsedd intern kvalitetssäkrare har löpande kontakter med den ansvariga rev</w:t>
      </w:r>
      <w:r w:rsidRPr="00BA7C9E">
        <w:t>i</w:t>
      </w:r>
      <w:r w:rsidRPr="00BA7C9E">
        <w:t xml:space="preserve">sorn. Kvalitetssäkraren ska vara ett stöd till den ansvariga revisorn genom att uppmärksamma eventuella avsteg från god revisionssed, så att åtgärder kan vidtas innan revisionsberättelsen lämnas. </w:t>
      </w:r>
    </w:p>
    <w:p w:rsidR="00867737" w:rsidRPr="00BA7C9E" w:rsidRDefault="00867737" w:rsidP="0009766E">
      <w:pPr>
        <w:pStyle w:val="Normaltindrag"/>
      </w:pPr>
      <w:r w:rsidRPr="00BA7C9E">
        <w:t>För den årliga revisionen finns det ett internt kvalitetsråd som består av e</w:t>
      </w:r>
      <w:r w:rsidRPr="00BA7C9E">
        <w:t>r</w:t>
      </w:r>
      <w:r w:rsidRPr="00BA7C9E">
        <w:t>farna ansvariga revisorer. Rådet gör bedömningar i komplicerade frågor eller frågor av principiellt intresse. Bedömningarna publiceras på Riksrevisionens intranät. Dessutom genomför kvalitetsrådet årligen en intern kontroll av ett urval avslutade revisionsakter. Kontrollen utgår från fastställda kvalitetskrit</w:t>
      </w:r>
      <w:r w:rsidRPr="00BA7C9E">
        <w:t>e</w:t>
      </w:r>
      <w:r w:rsidRPr="00BA7C9E">
        <w:t>rier. Varje ansvarig revisors akter ska kontrolleras minst vart tredje år. Under 2011 kontrollerades sju ansvariga revisorer när det gäller revision av myndi</w:t>
      </w:r>
      <w:r w:rsidRPr="00BA7C9E">
        <w:t>g</w:t>
      </w:r>
      <w:r w:rsidRPr="00BA7C9E">
        <w:t>heter och två förordnade revisorer när det gäller revision av bolag och stifte</w:t>
      </w:r>
      <w:r w:rsidRPr="00BA7C9E">
        <w:t>l</w:t>
      </w:r>
      <w:r w:rsidRPr="00BA7C9E">
        <w:t>ser. Kontrollen visade att den genomförda revisionen uppfyllde god revision</w:t>
      </w:r>
      <w:r w:rsidRPr="00BA7C9E">
        <w:t>s</w:t>
      </w:r>
      <w:r w:rsidRPr="00BA7C9E">
        <w:t xml:space="preserve">sed. </w:t>
      </w:r>
    </w:p>
    <w:p w:rsidR="00867737" w:rsidRPr="00BA7C9E" w:rsidRDefault="00867737" w:rsidP="00867737"/>
    <w:p w:rsidR="00867737" w:rsidRPr="00BA7C9E" w:rsidRDefault="00867737" w:rsidP="000F0631">
      <w:pPr>
        <w:pStyle w:val="R6"/>
      </w:pPr>
      <w:r w:rsidRPr="00BA7C9E">
        <w:t xml:space="preserve">Granskningen når hög verkningsgrad </w:t>
      </w:r>
    </w:p>
    <w:p w:rsidR="00867737" w:rsidRPr="00BA7C9E" w:rsidRDefault="00867737" w:rsidP="00867737">
      <w:r w:rsidRPr="00BA7C9E">
        <w:t>Varje år följer den årliga revisionen upp de brister som iakttagits och rappo</w:t>
      </w:r>
      <w:r w:rsidRPr="00BA7C9E">
        <w:t>r</w:t>
      </w:r>
      <w:r w:rsidRPr="00BA7C9E">
        <w:t xml:space="preserve">terats tidigare år. Alla allvarligare brister som ledde till en </w:t>
      </w:r>
      <w:r w:rsidR="009A49A8" w:rsidRPr="00BA7C9E">
        <w:t>invändning</w:t>
      </w:r>
      <w:r w:rsidRPr="00BA7C9E">
        <w:t xml:space="preserve"> i rev</w:t>
      </w:r>
      <w:r w:rsidRPr="00BA7C9E">
        <w:t>i</w:t>
      </w:r>
      <w:r w:rsidRPr="00BA7C9E">
        <w:t xml:space="preserve">sionsberättelsen avseende 2009 års årsredovisningar var åtgärdade innan revisionsberättelserna för 2010 lämnades. Riksrevisionens årliga revision bedöms ha en hög verkningsgrad. </w:t>
      </w:r>
    </w:p>
    <w:p w:rsidR="00867737" w:rsidRPr="00BA7C9E" w:rsidRDefault="00867737" w:rsidP="0009766E">
      <w:pPr>
        <w:pStyle w:val="Normaltindrag"/>
      </w:pPr>
      <w:r w:rsidRPr="00BA7C9E">
        <w:t xml:space="preserve">För de revisionsberättelser som lämnades 2010 kan </w:t>
      </w:r>
      <w:r w:rsidR="00E51298" w:rsidRPr="00BA7C9E">
        <w:t xml:space="preserve">man </w:t>
      </w:r>
      <w:r w:rsidRPr="00BA7C9E">
        <w:t>ännu inte bedö</w:t>
      </w:r>
      <w:r w:rsidR="00E51298" w:rsidRPr="00BA7C9E">
        <w:t>ma</w:t>
      </w:r>
      <w:r w:rsidRPr="00BA7C9E">
        <w:t xml:space="preserve"> om bristerna kvarstår då det i stor utsträckning beror på vad myndigheterna väljer att redovisa i sina årsredovisningar för 2011.</w:t>
      </w:r>
    </w:p>
    <w:p w:rsidR="00867737" w:rsidRPr="00BA7C9E" w:rsidRDefault="00867737" w:rsidP="00565CCC">
      <w:pPr>
        <w:pStyle w:val="R4"/>
      </w:pPr>
      <w:r w:rsidRPr="00BA7C9E">
        <w:t>Kostnader för den årliga revisionen verksamhetsåret 2011</w:t>
      </w:r>
    </w:p>
    <w:p w:rsidR="00867737" w:rsidRPr="00BA7C9E" w:rsidRDefault="00867737" w:rsidP="00565CCC">
      <w:pPr>
        <w:pStyle w:val="Tabellrubrik"/>
      </w:pPr>
      <w:r w:rsidRPr="00BA7C9E">
        <w:t>Tabell 2 Fördelning av kostnader mellan olika typer av grans</w:t>
      </w:r>
      <w:r w:rsidRPr="00BA7C9E">
        <w:t>k</w:t>
      </w:r>
      <w:r w:rsidRPr="00BA7C9E">
        <w:t>ningsobjekt</w:t>
      </w:r>
      <w:r w:rsidRPr="00BA7C9E">
        <w:rPr>
          <w:vertAlign w:val="superscript"/>
        </w:rPr>
        <w:footnoteReference w:id="5"/>
      </w:r>
      <w:r w:rsidRPr="00BA7C9E">
        <w:t xml:space="preserve"> 2009 – 2011 (tkr) </w:t>
      </w:r>
    </w:p>
    <w:p w:rsidR="00867737" w:rsidRPr="00BA7C9E" w:rsidRDefault="00BA7C9E" w:rsidP="00867737">
      <w:r w:rsidRPr="00BA7C9E">
        <w:rPr>
          <w:noProof/>
        </w:rPr>
        <w:drawing>
          <wp:inline distT="0" distB="0" distL="0" distR="0">
            <wp:extent cx="3782695" cy="810895"/>
            <wp:effectExtent l="0" t="0" r="0" b="0"/>
            <wp:docPr id="4"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2695" cy="810895"/>
                    </a:xfrm>
                    <a:prstGeom prst="rect">
                      <a:avLst/>
                    </a:prstGeom>
                    <a:noFill/>
                    <a:ln>
                      <a:noFill/>
                    </a:ln>
                  </pic:spPr>
                </pic:pic>
              </a:graphicData>
            </a:graphic>
          </wp:inline>
        </w:drawing>
      </w:r>
    </w:p>
    <w:p w:rsidR="00867737" w:rsidRPr="00BA7C9E" w:rsidRDefault="00867737" w:rsidP="002F1185">
      <w:pPr>
        <w:spacing w:before="180"/>
      </w:pPr>
      <w:r w:rsidRPr="00BA7C9E">
        <w:t>Som framgår ovan har kostnaderna för årlig revision ökat något jämfört med föregående år. En omfördelning av resursinsatsen har skett främst från rev</w:t>
      </w:r>
      <w:r w:rsidRPr="00BA7C9E">
        <w:t>i</w:t>
      </w:r>
      <w:r w:rsidRPr="00BA7C9E">
        <w:t>sion av bolag och stiftelser till revision av stora myndigheter.</w:t>
      </w:r>
      <w:r w:rsidRPr="00BA7C9E">
        <w:rPr>
          <w:i/>
        </w:rPr>
        <w:t xml:space="preserve"> </w:t>
      </w:r>
      <w:r w:rsidRPr="00BA7C9E">
        <w:t xml:space="preserve">Utvecklingen ligger i linje med strategin att i ökad utsträckning granska statliga bolag och stiftelser genom effektivitetsrevision. </w:t>
      </w:r>
    </w:p>
    <w:p w:rsidR="00867737" w:rsidRPr="00BA7C9E" w:rsidRDefault="00867737" w:rsidP="00565CCC">
      <w:pPr>
        <w:pStyle w:val="Tabellrubrik"/>
      </w:pPr>
      <w:r w:rsidRPr="00BA7C9E">
        <w:t xml:space="preserve">Tabell 3 fördelning av timmar för anställd personal mellan olika typer av granskningsobjekt 2009 – 2011 (ANtAL) </w:t>
      </w:r>
    </w:p>
    <w:p w:rsidR="00867737" w:rsidRPr="00BA7C9E" w:rsidRDefault="00BA7C9E" w:rsidP="00867737">
      <w:r w:rsidRPr="00BA7C9E">
        <w:rPr>
          <w:noProof/>
        </w:rPr>
        <w:drawing>
          <wp:inline distT="0" distB="0" distL="0" distR="0">
            <wp:extent cx="3782695" cy="762000"/>
            <wp:effectExtent l="0" t="0" r="0" b="0"/>
            <wp:docPr id="5"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82695" cy="762000"/>
                    </a:xfrm>
                    <a:prstGeom prst="rect">
                      <a:avLst/>
                    </a:prstGeom>
                    <a:noFill/>
                    <a:ln>
                      <a:noFill/>
                    </a:ln>
                  </pic:spPr>
                </pic:pic>
              </a:graphicData>
            </a:graphic>
          </wp:inline>
        </w:drawing>
      </w:r>
    </w:p>
    <w:p w:rsidR="00867737" w:rsidRPr="00BA7C9E" w:rsidRDefault="00867737" w:rsidP="00565CCC">
      <w:pPr>
        <w:pStyle w:val="R4"/>
      </w:pPr>
      <w:r w:rsidRPr="00BA7C9E">
        <w:t xml:space="preserve">Redovisning av prestationer </w:t>
      </w:r>
    </w:p>
    <w:p w:rsidR="00867737" w:rsidRPr="00BA7C9E" w:rsidRDefault="00867737" w:rsidP="00867737">
      <w:r w:rsidRPr="00BA7C9E">
        <w:t>Den årliga revisionens arbete bedrivs under revisionsåret som sträcker sig fr</w:t>
      </w:r>
      <w:r w:rsidR="00CC166E" w:rsidRPr="00BA7C9E">
        <w:t xml:space="preserve">ån och med </w:t>
      </w:r>
      <w:r w:rsidRPr="00BA7C9E">
        <w:t>april t</w:t>
      </w:r>
      <w:r w:rsidR="00CC166E" w:rsidRPr="00BA7C9E">
        <w:t xml:space="preserve">ill </w:t>
      </w:r>
      <w:r w:rsidRPr="00BA7C9E">
        <w:t>o</w:t>
      </w:r>
      <w:r w:rsidR="00CC166E" w:rsidRPr="00BA7C9E">
        <w:t xml:space="preserve">ch med </w:t>
      </w:r>
      <w:r w:rsidRPr="00BA7C9E">
        <w:t>mars. Revisionsåret avslutas med en rev</w:t>
      </w:r>
      <w:r w:rsidRPr="00BA7C9E">
        <w:t>i</w:t>
      </w:r>
      <w:r w:rsidRPr="00BA7C9E">
        <w:t>sionsberättelse i mars avseende årsredovisningen för året innan. Antalet rev</w:t>
      </w:r>
      <w:r w:rsidRPr="00BA7C9E">
        <w:t>i</w:t>
      </w:r>
      <w:r w:rsidRPr="00BA7C9E">
        <w:t>sionsberättelser varierar över åren och beror på hur många myndigheter som ska lämna en årsredovisning och som enligt lagen om revision av statlig ver</w:t>
      </w:r>
      <w:r w:rsidRPr="00BA7C9E">
        <w:t>k</w:t>
      </w:r>
      <w:r w:rsidRPr="00BA7C9E">
        <w:t>samhet ska granskas av Riksrevisionen. Därutöver lämnas revisorsintyg avs</w:t>
      </w:r>
      <w:r w:rsidRPr="00BA7C9E">
        <w:t>e</w:t>
      </w:r>
      <w:r w:rsidRPr="00BA7C9E">
        <w:t xml:space="preserve">ende delårsrapporter för de myndigheter som </w:t>
      </w:r>
      <w:r w:rsidR="00681839" w:rsidRPr="00BA7C9E">
        <w:t>ska</w:t>
      </w:r>
      <w:r w:rsidRPr="00BA7C9E">
        <w:t xml:space="preserve"> lämna en delårsrapport. Iakttagna brister rapporteras löpande till respektive myndighet. De brister som Riksrevisionen bedömer bör komma till ledningens kännedom rapporteras i en revisionsrapport. Antalet rapporter varierar betydligt mellan åren. </w:t>
      </w:r>
    </w:p>
    <w:p w:rsidR="00867737" w:rsidRPr="00BA7C9E" w:rsidRDefault="00867737" w:rsidP="0009766E">
      <w:pPr>
        <w:pStyle w:val="Normaltindrag"/>
      </w:pPr>
      <w:r w:rsidRPr="00BA7C9E">
        <w:t>Under 2011 lämnades 250 revisionsberättelser för myndigheter och andra organisationer och 8 revisionsberättelser för bolag och stiftelser där Riksrev</w:t>
      </w:r>
      <w:r w:rsidRPr="00BA7C9E">
        <w:t>i</w:t>
      </w:r>
      <w:r w:rsidRPr="00BA7C9E">
        <w:t>sionen förordnat revisor. Av dessa revisionsberättelser avsåg 255 årsredovi</w:t>
      </w:r>
      <w:r w:rsidRPr="00BA7C9E">
        <w:t>s</w:t>
      </w:r>
      <w:r w:rsidRPr="00BA7C9E">
        <w:t>ningen för 2010, medan 3 avsåg årsredovisningen för en del av 2011 i sa</w:t>
      </w:r>
      <w:r w:rsidRPr="00BA7C9E">
        <w:t>m</w:t>
      </w:r>
      <w:r w:rsidRPr="00BA7C9E">
        <w:t>band med avvecklingen av myndighet</w:t>
      </w:r>
      <w:r w:rsidR="00E8772E" w:rsidRPr="00BA7C9E">
        <w:t>en</w:t>
      </w:r>
      <w:r w:rsidRPr="00BA7C9E">
        <w:t>. Under 2011 lämnades 2 revisionsb</w:t>
      </w:r>
      <w:r w:rsidRPr="00BA7C9E">
        <w:t>e</w:t>
      </w:r>
      <w:r w:rsidRPr="00BA7C9E">
        <w:t>rättelser med reservation. För 2011 års delårsrapporter lämnades 55 delårsi</w:t>
      </w:r>
      <w:r w:rsidRPr="00BA7C9E">
        <w:t>n</w:t>
      </w:r>
      <w:r w:rsidRPr="00BA7C9E">
        <w:t>tyg.</w:t>
      </w:r>
    </w:p>
    <w:p w:rsidR="00867737" w:rsidRPr="00BA7C9E" w:rsidRDefault="00867737" w:rsidP="00565CCC">
      <w:pPr>
        <w:pStyle w:val="Tabellrubrik"/>
      </w:pPr>
      <w:r w:rsidRPr="00BA7C9E">
        <w:t xml:space="preserve">Tabell 4 Revisionsberättelser avlämnade under år 2009 – 2011 (antal) </w:t>
      </w:r>
    </w:p>
    <w:p w:rsidR="00867737" w:rsidRPr="00BA7C9E" w:rsidRDefault="00BA7C9E" w:rsidP="00867737">
      <w:pPr>
        <w:rPr>
          <w:b/>
        </w:rPr>
      </w:pPr>
      <w:r w:rsidRPr="00BA7C9E">
        <w:rPr>
          <w:noProof/>
        </w:rPr>
        <w:drawing>
          <wp:inline distT="0" distB="0" distL="0" distR="0">
            <wp:extent cx="3788410" cy="1083310"/>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88410" cy="1083310"/>
                    </a:xfrm>
                    <a:prstGeom prst="rect">
                      <a:avLst/>
                    </a:prstGeom>
                    <a:noFill/>
                    <a:ln>
                      <a:noFill/>
                    </a:ln>
                  </pic:spPr>
                </pic:pic>
              </a:graphicData>
            </a:graphic>
          </wp:inline>
        </w:drawing>
      </w:r>
    </w:p>
    <w:p w:rsidR="00867737" w:rsidRPr="00BA7C9E" w:rsidRDefault="00867737" w:rsidP="00867737">
      <w:r w:rsidRPr="00BA7C9E">
        <w:t>Riksrevisionen får genomföra effektivitetsrevision och förordna revisor i aktiebolag och stiftelser om vissa förutsättningar enligt 2, 4 och 5 §§ lag</w:t>
      </w:r>
      <w:r w:rsidR="00FA0C5F" w:rsidRPr="00BA7C9E">
        <w:t>en</w:t>
      </w:r>
      <w:r w:rsidRPr="00BA7C9E">
        <w:t xml:space="preserve"> (2002:1022) om revision av statlig verksamhet m.m. är uppfyllda. Riksrev</w:t>
      </w:r>
      <w:r w:rsidRPr="00BA7C9E">
        <w:t>i</w:t>
      </w:r>
      <w:r w:rsidRPr="00BA7C9E">
        <w:t>sionens granskning av statliga bolag och stiftelser sker numera primärt genom effektivitetsrevision. Möjligheten att förordna revisor är ett komplement till denna granskning. Förordnanderevisionen används främst för förberedande granskning inför en effektivitetsrevision eller som ett verktyg för uppföljning av en utförd och avrapporterad granskning. Förordnanderevision bedrivs i regel inte parallellt med en pågående effektivitetsgranskning. I enlighet med denna inriktning har det skett en minskning av antalet bolag och stiftelser som Riksrevisionen förordnar revisor i, och därmed är antalet lämnade revision</w:t>
      </w:r>
      <w:r w:rsidRPr="00BA7C9E">
        <w:t>s</w:t>
      </w:r>
      <w:r w:rsidRPr="00BA7C9E">
        <w:t xml:space="preserve">berättelser färre. </w:t>
      </w:r>
    </w:p>
    <w:p w:rsidR="00867737" w:rsidRPr="00BA7C9E" w:rsidRDefault="00867737" w:rsidP="00565CCC">
      <w:pPr>
        <w:pStyle w:val="R4"/>
      </w:pPr>
      <w:r w:rsidRPr="00BA7C9E">
        <w:t>Kostnad per revisionsberättelse</w:t>
      </w:r>
    </w:p>
    <w:p w:rsidR="00867737" w:rsidRPr="00BA7C9E" w:rsidRDefault="00867737" w:rsidP="00867737">
      <w:r w:rsidRPr="00BA7C9E">
        <w:t xml:space="preserve">Kostnaden för och antalet nedlagda timmar på revisionsberättelser lämnade 2011 avser tiden från och med april 2010 till och med mars 2011. </w:t>
      </w:r>
    </w:p>
    <w:p w:rsidR="00867737" w:rsidRPr="00BA7C9E" w:rsidRDefault="00867737" w:rsidP="00565CCC">
      <w:pPr>
        <w:pStyle w:val="Tabellrubrik"/>
      </w:pPr>
      <w:r w:rsidRPr="00BA7C9E">
        <w:t>Tabell 5 Kostnad (TKR) och timmar per avlämnad Revisionsberätte</w:t>
      </w:r>
      <w:r w:rsidRPr="00BA7C9E">
        <w:t>l</w:t>
      </w:r>
      <w:r w:rsidRPr="00BA7C9E">
        <w:t xml:space="preserve">se (ANTAL), 2009 – 2011  </w:t>
      </w:r>
    </w:p>
    <w:p w:rsidR="00867737" w:rsidRPr="00BA7C9E" w:rsidRDefault="00BA7C9E" w:rsidP="00867737">
      <w:r w:rsidRPr="00BA7C9E">
        <w:rPr>
          <w:noProof/>
        </w:rPr>
        <w:drawing>
          <wp:inline distT="0" distB="0" distL="0" distR="0">
            <wp:extent cx="3788410" cy="1191895"/>
            <wp:effectExtent l="0" t="0" r="0" b="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88410" cy="1191895"/>
                    </a:xfrm>
                    <a:prstGeom prst="rect">
                      <a:avLst/>
                    </a:prstGeom>
                    <a:noFill/>
                    <a:ln>
                      <a:noFill/>
                    </a:ln>
                  </pic:spPr>
                </pic:pic>
              </a:graphicData>
            </a:graphic>
          </wp:inline>
        </w:drawing>
      </w:r>
    </w:p>
    <w:p w:rsidR="00867737" w:rsidRPr="00BA7C9E" w:rsidRDefault="00867737" w:rsidP="00867737"/>
    <w:p w:rsidR="00867737" w:rsidRPr="00BA7C9E" w:rsidRDefault="00867737" w:rsidP="00867737">
      <w:r w:rsidRPr="00BA7C9E">
        <w:t>Den genomsnittliga kostnaden per revisionsberättelse uppgår till 1 282 tkr för stora myndigheter och 307 tkr för övriga myndigheter och andra organisati</w:t>
      </w:r>
      <w:r w:rsidRPr="00BA7C9E">
        <w:t>o</w:t>
      </w:r>
      <w:r w:rsidRPr="00BA7C9E">
        <w:t>ner, vilket är en ökning jämfört med föregående år.  Det ökade antalet timmar per revisionsberättelse var pla</w:t>
      </w:r>
      <w:r w:rsidR="006F4F3A" w:rsidRPr="00BA7C9E">
        <w:t>nerade för införande av ISSAI</w:t>
      </w:r>
      <w:r w:rsidRPr="00BA7C9E">
        <w:t>. Ökningen när det gäller statliga bolag ligger som tidigare nämnts i linje med den strategi som valts, nämligen att förordna revisor i färre antal bolag men med en större relativ resursinsats i varje.</w:t>
      </w:r>
    </w:p>
    <w:p w:rsidR="00867737" w:rsidRPr="00BA7C9E" w:rsidRDefault="00867737" w:rsidP="00565CCC">
      <w:pPr>
        <w:pStyle w:val="R4"/>
      </w:pPr>
      <w:r w:rsidRPr="00BA7C9E">
        <w:t>Avgifter för årlig revision</w:t>
      </w:r>
    </w:p>
    <w:p w:rsidR="00867737" w:rsidRPr="00BA7C9E" w:rsidRDefault="00867737" w:rsidP="00867737">
      <w:r w:rsidRPr="00BA7C9E">
        <w:t>Enligt lagen (2002:1022) om revision av statlig verksamhet m.m. ska den årliga revisionen vara avgiftsbelagd. Inkomsterna redovisas mot inkomsttitel och disponeras således inte av Riksrevisionen. Avgifterna ska beräknas så att full kostnadstäckning uppnås och över tiden anpassas så att varken överskott eller underskott uppstår. Riksrevisionen gör årligen en översyn av avgifterna. I syfte att minska det överskott som uppstått tidigare år, främst 2007 och 2008, lämnades taxorna oförändrade under 2011. Årets underskott uppgår till 2,7 miljoner kronor.</w:t>
      </w:r>
    </w:p>
    <w:p w:rsidR="00867737" w:rsidRPr="00BA7C9E" w:rsidRDefault="00867737" w:rsidP="00565CCC">
      <w:pPr>
        <w:pStyle w:val="Tabellrubrik"/>
      </w:pPr>
      <w:r w:rsidRPr="00BA7C9E">
        <w:t xml:space="preserve">Tabell 6 sKILLNAD MELLAN Avgiftsintäkter och KOSTNADER INOM den ÅRLIGa REVISIONen 2009 – 2011 (TKR) </w:t>
      </w:r>
    </w:p>
    <w:p w:rsidR="00867737" w:rsidRPr="00BA7C9E" w:rsidRDefault="00BA7C9E" w:rsidP="00867737">
      <w:r w:rsidRPr="00BA7C9E">
        <w:rPr>
          <w:noProof/>
        </w:rPr>
        <w:drawing>
          <wp:inline distT="0" distB="0" distL="0" distR="0">
            <wp:extent cx="3750310" cy="6477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50310" cy="647700"/>
                    </a:xfrm>
                    <a:prstGeom prst="rect">
                      <a:avLst/>
                    </a:prstGeom>
                    <a:noFill/>
                    <a:ln>
                      <a:noFill/>
                    </a:ln>
                  </pic:spPr>
                </pic:pic>
              </a:graphicData>
            </a:graphic>
          </wp:inline>
        </w:drawing>
      </w:r>
    </w:p>
    <w:p w:rsidR="00867737" w:rsidRPr="00BA7C9E" w:rsidRDefault="00000F7E" w:rsidP="00555AB9">
      <w:pPr>
        <w:pStyle w:val="Rubrik2"/>
        <w:spacing w:before="0"/>
      </w:pPr>
      <w:r w:rsidRPr="00BA7C9E">
        <w:br w:type="page"/>
      </w:r>
      <w:bookmarkStart w:id="41" w:name="_Toc284579677"/>
      <w:bookmarkStart w:id="42" w:name="_Toc311187631"/>
      <w:bookmarkStart w:id="43" w:name="_Toc315253442"/>
      <w:bookmarkStart w:id="44" w:name="_Toc318101628"/>
      <w:r w:rsidR="00867737" w:rsidRPr="00BA7C9E">
        <w:t>Effektivitetsrevision</w:t>
      </w:r>
      <w:bookmarkEnd w:id="41"/>
      <w:bookmarkEnd w:id="42"/>
      <w:bookmarkEnd w:id="43"/>
      <w:bookmarkEnd w:id="44"/>
    </w:p>
    <w:p w:rsidR="00867737" w:rsidRPr="00BA7C9E" w:rsidRDefault="00867737" w:rsidP="009D1724">
      <w:pPr>
        <w:pStyle w:val="Rubrik3"/>
        <w:rPr>
          <w:noProof w:val="0"/>
        </w:rPr>
      </w:pPr>
      <w:bookmarkStart w:id="45" w:name="_Toc311187632"/>
      <w:bookmarkStart w:id="46" w:name="_Toc315253443"/>
      <w:bookmarkStart w:id="47" w:name="_Toc284579678"/>
      <w:bookmarkStart w:id="48" w:name="_Toc318101629"/>
      <w:r w:rsidRPr="00BA7C9E">
        <w:rPr>
          <w:noProof w:val="0"/>
        </w:rPr>
        <w:t>Mål</w:t>
      </w:r>
      <w:bookmarkEnd w:id="48"/>
    </w:p>
    <w:p w:rsidR="00867737" w:rsidRPr="00BA7C9E" w:rsidRDefault="00867737" w:rsidP="009D1724">
      <w:r w:rsidRPr="00BA7C9E">
        <w:t>Effektivitetsrevision syftar till att genom granskning främja en sådan utvec</w:t>
      </w:r>
      <w:r w:rsidRPr="00BA7C9E">
        <w:t>k</w:t>
      </w:r>
      <w:r w:rsidRPr="00BA7C9E">
        <w:t xml:space="preserve">ling att staten med hänsyn till allmänna samhällsintressen får ett effektivt utbyte av sina insatser. Riksrevisionen har beslutat om </w:t>
      </w:r>
      <w:r w:rsidR="005E49E2" w:rsidRPr="00BA7C9E">
        <w:t>nedanstående</w:t>
      </w:r>
      <w:r w:rsidRPr="00BA7C9E">
        <w:t xml:space="preserve"> mål för granskningsverksamheten</w:t>
      </w:r>
      <w:r w:rsidR="00261608" w:rsidRPr="00BA7C9E">
        <w:t>:</w:t>
      </w:r>
    </w:p>
    <w:p w:rsidR="00867737" w:rsidRPr="00BA7C9E" w:rsidRDefault="00867737" w:rsidP="00555AB9">
      <w:pPr>
        <w:pStyle w:val="Normaltindrag"/>
        <w:numPr>
          <w:ilvl w:val="0"/>
          <w:numId w:val="6"/>
        </w:numPr>
        <w:spacing w:before="125"/>
        <w:ind w:left="285" w:hanging="285"/>
      </w:pPr>
      <w:r w:rsidRPr="00BA7C9E">
        <w:t>att inriktningen är relevant och intressant</w:t>
      </w:r>
    </w:p>
    <w:p w:rsidR="00867737" w:rsidRPr="00BA7C9E" w:rsidRDefault="00867737" w:rsidP="00555AB9">
      <w:pPr>
        <w:pStyle w:val="Normaltindrag"/>
        <w:numPr>
          <w:ilvl w:val="0"/>
          <w:numId w:val="6"/>
        </w:numPr>
        <w:ind w:left="285" w:hanging="285"/>
      </w:pPr>
      <w:r w:rsidRPr="00BA7C9E">
        <w:t>att granskningen håller hög kvalitet</w:t>
      </w:r>
    </w:p>
    <w:p w:rsidR="00867737" w:rsidRPr="00BA7C9E" w:rsidRDefault="00867737" w:rsidP="00555AB9">
      <w:pPr>
        <w:pStyle w:val="Normaltindrag"/>
        <w:numPr>
          <w:ilvl w:val="0"/>
          <w:numId w:val="6"/>
        </w:numPr>
        <w:ind w:left="285" w:hanging="285"/>
      </w:pPr>
      <w:r w:rsidRPr="00BA7C9E">
        <w:t>att granskningen når hög verkningsgrad.</w:t>
      </w:r>
    </w:p>
    <w:p w:rsidR="00867737" w:rsidRPr="00BA7C9E" w:rsidRDefault="00867737" w:rsidP="009D1724">
      <w:pPr>
        <w:pStyle w:val="Rubrik3"/>
        <w:rPr>
          <w:noProof w:val="0"/>
        </w:rPr>
      </w:pPr>
      <w:bookmarkStart w:id="49" w:name="_Toc318101630"/>
      <w:r w:rsidRPr="00BA7C9E">
        <w:rPr>
          <w:noProof w:val="0"/>
        </w:rPr>
        <w:t>Resultat och bedömning</w:t>
      </w:r>
      <w:bookmarkEnd w:id="49"/>
    </w:p>
    <w:p w:rsidR="00867737" w:rsidRPr="00BA7C9E" w:rsidRDefault="00867737" w:rsidP="009D1724">
      <w:pPr>
        <w:pStyle w:val="R4"/>
      </w:pPr>
      <w:r w:rsidRPr="00BA7C9E">
        <w:t xml:space="preserve">Sammanfattande bedömning </w:t>
      </w:r>
    </w:p>
    <w:p w:rsidR="00867737" w:rsidRPr="00BA7C9E" w:rsidRDefault="00867737" w:rsidP="009D1724">
      <w:r w:rsidRPr="00BA7C9E">
        <w:t xml:space="preserve">En nyhet för året när det gäller effektivitetsrevisionen var införandet av en ny besluts- och hanteringsordning av granskningsrapporterna. Dessa lämnas nu direkt till riksdagen som begär ett yttrande över rapporten av regeringen inom fyra månader. Hittills har erfarenheterna av den nya ordningen varit goda. </w:t>
      </w:r>
    </w:p>
    <w:p w:rsidR="00867737" w:rsidRPr="00BA7C9E" w:rsidRDefault="00867737" w:rsidP="00867737">
      <w:pPr>
        <w:pStyle w:val="Normaltindrag"/>
      </w:pPr>
      <w:r w:rsidRPr="00BA7C9E">
        <w:t>Effektivitetsgranskningarna följer den inriktning av revisionen som riksr</w:t>
      </w:r>
      <w:r w:rsidRPr="00BA7C9E">
        <w:t>e</w:t>
      </w:r>
      <w:r w:rsidRPr="00BA7C9E">
        <w:t>visorerna har beslutat om och som meddelats till riksdagen genom grans</w:t>
      </w:r>
      <w:r w:rsidRPr="00BA7C9E">
        <w:t>k</w:t>
      </w:r>
      <w:r w:rsidRPr="00BA7C9E">
        <w:t>ningsplanen. Rapporterna lever upp till de kvalitetskrav som formulerats. Arbetet med extern kvalitetsbedömning av granskningsrapporter har fortsatt i samarbete med Uppsala universitet. Riksrevisionen har liksom föregående år gjort en uppföljning av de granskade myndigheternas och bolagens syn på de genomförda granskningarna. Svaren är betydelsefulla för Riksrevisionens fortsatta arbete med kvalitetssäkring. Riksrevisionen har i den årliga uppföl</w:t>
      </w:r>
      <w:r w:rsidRPr="00BA7C9E">
        <w:t>j</w:t>
      </w:r>
      <w:r w:rsidRPr="00BA7C9E">
        <w:t xml:space="preserve">ningsrapporten (se även </w:t>
      </w:r>
      <w:r w:rsidR="0045021D" w:rsidRPr="00BA7C9E">
        <w:t>kapitlet</w:t>
      </w:r>
      <w:r w:rsidRPr="00BA7C9E">
        <w:t xml:space="preserve"> Omvärldsriktad verksamhet) redovisat sin uppföljning av åtgärder som vidtagits med anledning av genomförda grans</w:t>
      </w:r>
      <w:r w:rsidRPr="00BA7C9E">
        <w:t>k</w:t>
      </w:r>
      <w:r w:rsidRPr="00BA7C9E">
        <w:t>ningar. Årets uppföljning visade att Riksrevisionens granskning ger upphov till förbättringar i den statliga verksamheten. Så gott som samtliga grans</w:t>
      </w:r>
      <w:r w:rsidRPr="00BA7C9E">
        <w:t>k</w:t>
      </w:r>
      <w:r w:rsidRPr="00BA7C9E">
        <w:t>ningsrapporter som följts upp har medfört någon form av åtgärd. Riksrevisi</w:t>
      </w:r>
      <w:r w:rsidRPr="00BA7C9E">
        <w:t>o</w:t>
      </w:r>
      <w:r w:rsidRPr="00BA7C9E">
        <w:t xml:space="preserve">nens bedömning är att de tre målen för effektivitetsrevisionen har uppnåtts. </w:t>
      </w:r>
    </w:p>
    <w:p w:rsidR="00867737" w:rsidRPr="00BA7C9E" w:rsidRDefault="00867737" w:rsidP="00867737">
      <w:pPr>
        <w:pStyle w:val="Normaltindrag"/>
      </w:pPr>
      <w:r w:rsidRPr="00BA7C9E">
        <w:t>Resultatredovisningen nedan bygger på en analys av de trettio publicerade rapporterna under 2011. Fem av dessa färdigställdes under 2010 men public</w:t>
      </w:r>
      <w:r w:rsidRPr="00BA7C9E">
        <w:t>e</w:t>
      </w:r>
      <w:r w:rsidRPr="00BA7C9E">
        <w:t xml:space="preserve">rades först 2011 eftersom den tidigare styrelsen inte hann slutbehandla dessa före årets utgång. </w:t>
      </w:r>
    </w:p>
    <w:p w:rsidR="00F90A4F" w:rsidRPr="00BA7C9E" w:rsidRDefault="00F90A4F" w:rsidP="00867737">
      <w:pPr>
        <w:pStyle w:val="Normaltindrag"/>
      </w:pPr>
    </w:p>
    <w:p w:rsidR="00F90A4F" w:rsidRPr="00BA7C9E" w:rsidRDefault="00F90A4F" w:rsidP="00867737">
      <w:pPr>
        <w:pStyle w:val="Normaltindrag"/>
      </w:pPr>
    </w:p>
    <w:p w:rsidR="00F90A4F" w:rsidRPr="00BA7C9E" w:rsidRDefault="00F90A4F" w:rsidP="00867737">
      <w:pPr>
        <w:pStyle w:val="Normaltindrag"/>
      </w:pPr>
    </w:p>
    <w:p w:rsidR="00867737" w:rsidRPr="00BA7C9E" w:rsidRDefault="00867737" w:rsidP="009D1724">
      <w:pPr>
        <w:pStyle w:val="R4"/>
      </w:pPr>
      <w:r w:rsidRPr="00BA7C9E">
        <w:t xml:space="preserve">Måluppfyllelse </w:t>
      </w:r>
    </w:p>
    <w:p w:rsidR="008B0CCB" w:rsidRPr="00BA7C9E" w:rsidRDefault="008B0CCB" w:rsidP="008B0CCB">
      <w:pPr>
        <w:pStyle w:val="R6"/>
      </w:pPr>
    </w:p>
    <w:p w:rsidR="00867737" w:rsidRPr="00BA7C9E" w:rsidRDefault="00867737" w:rsidP="008B0CCB">
      <w:pPr>
        <w:pStyle w:val="R6"/>
      </w:pPr>
      <w:r w:rsidRPr="00BA7C9E">
        <w:t>Inriktningen är relevant och intressant</w:t>
      </w:r>
    </w:p>
    <w:p w:rsidR="00867737" w:rsidRPr="00BA7C9E" w:rsidRDefault="00867737" w:rsidP="008261AD">
      <w:r w:rsidRPr="00BA7C9E">
        <w:t>En förutsättning för att granskningar</w:t>
      </w:r>
      <w:r w:rsidR="00261608" w:rsidRPr="00BA7C9E">
        <w:t>na</w:t>
      </w:r>
      <w:r w:rsidRPr="00BA7C9E">
        <w:t xml:space="preserve"> ska vara </w:t>
      </w:r>
      <w:r w:rsidR="00DA7DC1" w:rsidRPr="00BA7C9E">
        <w:t xml:space="preserve">relevanta och </w:t>
      </w:r>
      <w:r w:rsidRPr="00BA7C9E">
        <w:t>intressanta</w:t>
      </w:r>
      <w:r w:rsidR="00DA7DC1" w:rsidRPr="00BA7C9E">
        <w:t xml:space="preserve"> </w:t>
      </w:r>
      <w:r w:rsidRPr="00BA7C9E">
        <w:t>är att de inriktas mot väsentliga områden där det finns en hög risk för ineffekt</w:t>
      </w:r>
      <w:r w:rsidRPr="00BA7C9E">
        <w:t>i</w:t>
      </w:r>
      <w:r w:rsidRPr="00BA7C9E">
        <w:t>vitet. Underlaget för riksrevisorernas beslut om granskningsinriktning och val av granskning kräver en väl fungerande omvärldsbevakning. Här är det vi</w:t>
      </w:r>
      <w:r w:rsidRPr="00BA7C9E">
        <w:t>k</w:t>
      </w:r>
      <w:r w:rsidRPr="00BA7C9E">
        <w:t xml:space="preserve">tigt att även erfarenheter och iakttagelser från den årliga revisionen utnyttjas. </w:t>
      </w:r>
    </w:p>
    <w:p w:rsidR="00867737" w:rsidRPr="00BA7C9E" w:rsidRDefault="00867737" w:rsidP="00F90A4F">
      <w:pPr>
        <w:pStyle w:val="Normaltindrag"/>
        <w:spacing w:after="180"/>
      </w:pPr>
      <w:r w:rsidRPr="00BA7C9E">
        <w:t>Under 2011 har Riksrevisionens granskningar genomförts inom tolv granskningsstrategier, varav tre avslutades under året och fyra nya påbörj</w:t>
      </w:r>
      <w:r w:rsidRPr="00BA7C9E">
        <w:t>a</w:t>
      </w:r>
      <w:r w:rsidRPr="00BA7C9E">
        <w:t>des. De</w:t>
      </w:r>
      <w:r w:rsidR="005E49E2" w:rsidRPr="00BA7C9E">
        <w:t>ssa</w:t>
      </w:r>
      <w:r w:rsidRPr="00BA7C9E">
        <w:t xml:space="preserve"> är</w:t>
      </w:r>
    </w:p>
    <w:p w:rsidR="00867737" w:rsidRPr="00BA7C9E" w:rsidRDefault="00867737" w:rsidP="00867737">
      <w:pPr>
        <w:pStyle w:val="Normaltindrag"/>
        <w:numPr>
          <w:ilvl w:val="0"/>
          <w:numId w:val="7"/>
        </w:numPr>
      </w:pPr>
      <w:r w:rsidRPr="00BA7C9E">
        <w:t>offentliga finanser</w:t>
      </w:r>
    </w:p>
    <w:p w:rsidR="00867737" w:rsidRPr="00BA7C9E" w:rsidRDefault="00867737" w:rsidP="00867737">
      <w:pPr>
        <w:pStyle w:val="Normaltindrag"/>
        <w:numPr>
          <w:ilvl w:val="0"/>
          <w:numId w:val="7"/>
        </w:numPr>
      </w:pPr>
      <w:r w:rsidRPr="00BA7C9E">
        <w:t xml:space="preserve">statens roll i utbildningssystemet </w:t>
      </w:r>
    </w:p>
    <w:p w:rsidR="00867737" w:rsidRPr="00BA7C9E" w:rsidRDefault="00867737" w:rsidP="00867737">
      <w:pPr>
        <w:pStyle w:val="Normaltindrag"/>
        <w:numPr>
          <w:ilvl w:val="0"/>
          <w:numId w:val="7"/>
        </w:numPr>
      </w:pPr>
      <w:r w:rsidRPr="00BA7C9E">
        <w:t>infrastruktur på nya villkor</w:t>
      </w:r>
    </w:p>
    <w:p w:rsidR="00867737" w:rsidRPr="00BA7C9E" w:rsidRDefault="00867737" w:rsidP="00867737">
      <w:pPr>
        <w:pStyle w:val="Normaltindrag"/>
        <w:numPr>
          <w:ilvl w:val="0"/>
          <w:numId w:val="7"/>
        </w:numPr>
      </w:pPr>
      <w:r w:rsidRPr="00BA7C9E">
        <w:t>försvarets förmåga</w:t>
      </w:r>
    </w:p>
    <w:p w:rsidR="00867737" w:rsidRPr="00BA7C9E" w:rsidRDefault="00867737" w:rsidP="00867737">
      <w:pPr>
        <w:pStyle w:val="Normaltindrag"/>
        <w:numPr>
          <w:ilvl w:val="0"/>
          <w:numId w:val="7"/>
        </w:numPr>
      </w:pPr>
      <w:r w:rsidRPr="00BA7C9E">
        <w:t xml:space="preserve">hållbar utveckling – klimat </w:t>
      </w:r>
    </w:p>
    <w:p w:rsidR="00867737" w:rsidRPr="00BA7C9E" w:rsidRDefault="00867737" w:rsidP="00867737">
      <w:pPr>
        <w:pStyle w:val="Normaltindrag"/>
        <w:numPr>
          <w:ilvl w:val="0"/>
          <w:numId w:val="7"/>
        </w:numPr>
      </w:pPr>
      <w:r w:rsidRPr="00BA7C9E">
        <w:t>effektiv förvaltning (avslutad under 2011)</w:t>
      </w:r>
    </w:p>
    <w:p w:rsidR="00867737" w:rsidRPr="00BA7C9E" w:rsidRDefault="00867737" w:rsidP="00867737">
      <w:pPr>
        <w:pStyle w:val="Normaltindrag"/>
        <w:numPr>
          <w:ilvl w:val="0"/>
          <w:numId w:val="7"/>
        </w:numPr>
      </w:pPr>
      <w:r w:rsidRPr="00BA7C9E">
        <w:t>hållbara transfereringssystem (avslutad under 2011)</w:t>
      </w:r>
    </w:p>
    <w:p w:rsidR="00867737" w:rsidRPr="00BA7C9E" w:rsidRDefault="00867737" w:rsidP="00867737">
      <w:pPr>
        <w:pStyle w:val="Normaltindrag"/>
        <w:numPr>
          <w:ilvl w:val="0"/>
          <w:numId w:val="7"/>
        </w:numPr>
      </w:pPr>
      <w:r w:rsidRPr="00BA7C9E">
        <w:t>rättsväsendets samlade effektivitet (avslutad under 2011)</w:t>
      </w:r>
    </w:p>
    <w:p w:rsidR="00867737" w:rsidRPr="00BA7C9E" w:rsidRDefault="00867737" w:rsidP="00867737">
      <w:pPr>
        <w:pStyle w:val="Normaltindrag"/>
        <w:numPr>
          <w:ilvl w:val="0"/>
          <w:numId w:val="7"/>
        </w:numPr>
      </w:pPr>
      <w:r w:rsidRPr="00BA7C9E">
        <w:t>etablering och integration (påbörjad 2011)</w:t>
      </w:r>
    </w:p>
    <w:p w:rsidR="00867737" w:rsidRPr="00BA7C9E" w:rsidRDefault="00867737" w:rsidP="00867737">
      <w:pPr>
        <w:pStyle w:val="Normaltindrag"/>
        <w:numPr>
          <w:ilvl w:val="0"/>
          <w:numId w:val="7"/>
        </w:numPr>
      </w:pPr>
      <w:r w:rsidRPr="00BA7C9E">
        <w:t>staten på marknaden (påbörjad 2011)</w:t>
      </w:r>
    </w:p>
    <w:p w:rsidR="00867737" w:rsidRPr="00BA7C9E" w:rsidRDefault="00867737" w:rsidP="00867737">
      <w:pPr>
        <w:pStyle w:val="Normaltindrag"/>
        <w:numPr>
          <w:ilvl w:val="0"/>
          <w:numId w:val="7"/>
        </w:numPr>
      </w:pPr>
      <w:r w:rsidRPr="00BA7C9E">
        <w:t>statens insatser på skolområdet (påbörjad 2011)</w:t>
      </w:r>
    </w:p>
    <w:p w:rsidR="0009766E" w:rsidRPr="00BA7C9E" w:rsidRDefault="00867737" w:rsidP="00867737">
      <w:pPr>
        <w:pStyle w:val="Normaltindrag"/>
        <w:numPr>
          <w:ilvl w:val="0"/>
          <w:numId w:val="7"/>
        </w:numPr>
      </w:pPr>
      <w:r w:rsidRPr="00BA7C9E">
        <w:t>statens insatser inom hälso- och sjukvård (påbörjad 2011).</w:t>
      </w:r>
    </w:p>
    <w:p w:rsidR="00867737" w:rsidRPr="00BA7C9E" w:rsidRDefault="00867737" w:rsidP="00555AB9">
      <w:pPr>
        <w:spacing w:before="125"/>
      </w:pPr>
      <w:r w:rsidRPr="00BA7C9E">
        <w:t>En strategi inrymmer flera granskningar för att kunna belysa centrala fråg</w:t>
      </w:r>
      <w:r w:rsidRPr="00BA7C9E">
        <w:t>e</w:t>
      </w:r>
      <w:r w:rsidRPr="00BA7C9E">
        <w:t>ställningar inom ett verksamhetsområde i olika perspektiv. Strategierna löper över flera år. Strategierna bedöms ge ett mervärde i förhållande till värdet av varje enskild granskning. De samlade slutsatserna från en strategi har fram till 2011 redovisats i Riksrevisorernas årliga rapport, och detta har också skett beträffande två av de strategier som avslutats under 2011 (effektiv förvaltning och hållbara transfereringssystem). Ambitionen är fortsättningsvis att red</w:t>
      </w:r>
      <w:r w:rsidRPr="00BA7C9E">
        <w:t>o</w:t>
      </w:r>
      <w:r w:rsidRPr="00BA7C9E">
        <w:t xml:space="preserve">visningen sker i särskilda slutrapporter. Den första strategin som avslutades på detta sätt gällde rättsväsendets samlade effektivitet (Att hantera brottmål effektivt, RiR 2011:27). </w:t>
      </w:r>
    </w:p>
    <w:p w:rsidR="00867737" w:rsidRPr="00BA7C9E" w:rsidRDefault="00867737" w:rsidP="00867737">
      <w:pPr>
        <w:pStyle w:val="Normaltindrag"/>
      </w:pPr>
      <w:r w:rsidRPr="00BA7C9E">
        <w:t>Genom det successiva bytet av strategier kan granskningsinriktningen l</w:t>
      </w:r>
      <w:r w:rsidRPr="00BA7C9E">
        <w:t>ö</w:t>
      </w:r>
      <w:r w:rsidRPr="00BA7C9E">
        <w:t>pande justeras med hänsyn till förändringar i omvärlden och därmed hållas långsiktigt relevant och intressant.</w:t>
      </w:r>
    </w:p>
    <w:p w:rsidR="00867737" w:rsidRPr="00BA7C9E" w:rsidRDefault="00867737" w:rsidP="00867737">
      <w:pPr>
        <w:pStyle w:val="Normaltindrag"/>
      </w:pPr>
      <w:r w:rsidRPr="00BA7C9E">
        <w:t>I Riksrevisionsutredningens slutbetänkande (2008/09:URF3) och i riksd</w:t>
      </w:r>
      <w:r w:rsidRPr="00BA7C9E">
        <w:t>a</w:t>
      </w:r>
      <w:r w:rsidRPr="00BA7C9E">
        <w:t xml:space="preserve">gens behandling av </w:t>
      </w:r>
      <w:r w:rsidR="00B42059" w:rsidRPr="00BA7C9E">
        <w:t>denna utredning</w:t>
      </w:r>
      <w:r w:rsidRPr="00BA7C9E">
        <w:t xml:space="preserve"> fick frågan om effektivitetsrevisionens inriktning ett stort utrymme. Här lyftes fram att effektivitetsrevisionen i ökad utsträckning bör verka främjande för att underlätta det förändringsarbete för bättre hushållning, resursutnyttjande och ökad måluppfyllelse som grans</w:t>
      </w:r>
      <w:r w:rsidRPr="00BA7C9E">
        <w:t>k</w:t>
      </w:r>
      <w:r w:rsidRPr="00BA7C9E">
        <w:t>ningsresultaten ger anledning till. Den ambitionen ligger i linje med riksrev</w:t>
      </w:r>
      <w:r w:rsidRPr="00BA7C9E">
        <w:t>i</w:t>
      </w:r>
      <w:r w:rsidRPr="00BA7C9E">
        <w:t>sorernas strategiska inriktning sedan 2008. Nedan redovisas Riksrevisionens bedömning av hur granskningar under perioden 2009 till 2011 kan klassific</w:t>
      </w:r>
      <w:r w:rsidRPr="00BA7C9E">
        <w:t>e</w:t>
      </w:r>
      <w:r w:rsidRPr="00BA7C9E">
        <w:t>ras utifrån olika typer av effektivitetsrevision.</w:t>
      </w:r>
      <w:r w:rsidR="00F90A4F" w:rsidRPr="00BA7C9E">
        <w:t xml:space="preserve"> </w:t>
      </w:r>
    </w:p>
    <w:p w:rsidR="00867737" w:rsidRPr="00BA7C9E" w:rsidRDefault="00867737" w:rsidP="009D1724">
      <w:pPr>
        <w:pStyle w:val="Tabellrubrik"/>
      </w:pPr>
      <w:r w:rsidRPr="00BA7C9E">
        <w:t>TABELL 7 ANTAL PUBLICERADE GRANSKNINGAR OCH FÖRDELNING MELLAN OLIKA GRANSKNINGSINRIKTNINGAR 2009 – 2011</w:t>
      </w:r>
      <w:r w:rsidRPr="00BA7C9E">
        <w:rPr>
          <w:vertAlign w:val="superscript"/>
        </w:rPr>
        <w:footnoteReference w:id="6"/>
      </w:r>
      <w:r w:rsidRPr="00BA7C9E">
        <w:t xml:space="preserve"> </w:t>
      </w:r>
    </w:p>
    <w:p w:rsidR="00867737" w:rsidRPr="00BA7C9E" w:rsidRDefault="00BA7C9E" w:rsidP="002808DF">
      <w:pPr>
        <w:pStyle w:val="Normaltindrag"/>
        <w:ind w:firstLine="0"/>
      </w:pPr>
      <w:r w:rsidRPr="00BA7C9E">
        <w:rPr>
          <w:noProof/>
        </w:rPr>
        <w:drawing>
          <wp:inline distT="0" distB="0" distL="0" distR="0">
            <wp:extent cx="3777615" cy="805815"/>
            <wp:effectExtent l="0" t="0" r="0" b="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867737" w:rsidRPr="00BA7C9E" w:rsidRDefault="00867737" w:rsidP="00867737">
      <w:pPr>
        <w:pStyle w:val="Normaltindrag"/>
      </w:pPr>
    </w:p>
    <w:p w:rsidR="00867737" w:rsidRPr="00BA7C9E" w:rsidRDefault="00867737" w:rsidP="00867737">
      <w:pPr>
        <w:pStyle w:val="Normaltindrag"/>
      </w:pPr>
      <w:r w:rsidRPr="00BA7C9E">
        <w:t>Granskningar av måluppfyllelse avser förhållandet mellan mål och resultat. I granskningar av resursutnyttjande undersöks förhållandet mellan resurser och resultat, medan granskningar av hushållning avser kostnaderna i den granskade verksamheten. Som framgår av tabellen ovan har numera huvudd</w:t>
      </w:r>
      <w:r w:rsidRPr="00BA7C9E">
        <w:t>e</w:t>
      </w:r>
      <w:r w:rsidRPr="00BA7C9E">
        <w:t>len av granskningen en inriktning mot dessa tre typer av granskningar. År 2009 utgjorde dessa granskningar ca 43 procent av alla granskningar, år 2010 54 procent och år 2011 57 procent. Antalet granskningar med dessa tre inrik</w:t>
      </w:r>
      <w:r w:rsidRPr="00BA7C9E">
        <w:t>t</w:t>
      </w:r>
      <w:r w:rsidRPr="00BA7C9E">
        <w:t xml:space="preserve">ningar har sålunda ökat. </w:t>
      </w:r>
    </w:p>
    <w:p w:rsidR="00867737" w:rsidRPr="00BA7C9E" w:rsidRDefault="00867737" w:rsidP="00867737">
      <w:pPr>
        <w:pStyle w:val="Normaltindrag"/>
      </w:pPr>
      <w:r w:rsidRPr="00BA7C9E">
        <w:t xml:space="preserve">I granskningsinriktningen styrning och interna processer ingår sådana granskningar som undersökt effektiviteten i de interna processerna hos dem </w:t>
      </w:r>
      <w:r w:rsidR="00974D4F" w:rsidRPr="00BA7C9E">
        <w:t>som granskas</w:t>
      </w:r>
      <w:r w:rsidRPr="00BA7C9E">
        <w:t>. Detta är områden som har betydelse för såväl måluppfyllelse och resursutnyttjande som hushållning men där det är svårt att entydigt hänf</w:t>
      </w:r>
      <w:r w:rsidRPr="00BA7C9E">
        <w:t>ö</w:t>
      </w:r>
      <w:r w:rsidRPr="00BA7C9E">
        <w:t>ra slutsatserna till något av dessa områden. Granskningar inriktade på red</w:t>
      </w:r>
      <w:r w:rsidRPr="00BA7C9E">
        <w:t>o</w:t>
      </w:r>
      <w:r w:rsidRPr="00BA7C9E">
        <w:t xml:space="preserve">visning till regeringen och riksdagen har varit vanliga inom strategin </w:t>
      </w:r>
      <w:r w:rsidR="00261608" w:rsidRPr="00BA7C9E">
        <w:t>o</w:t>
      </w:r>
      <w:r w:rsidRPr="00BA7C9E">
        <w:t>ffentl</w:t>
      </w:r>
      <w:r w:rsidRPr="00BA7C9E">
        <w:t>i</w:t>
      </w:r>
      <w:r w:rsidRPr="00BA7C9E">
        <w:t xml:space="preserve">ga finanser och avser främst att bedöma kvaliteten i redovisningarna. Antalet sådana granskningar har minskat under de senaste åren. Granskningar av regelefterlevnad innebär att undersöka hur statliga aktörer följer lagar och regler utan en tydlig koppling till effektivitetsaspekter. De senaste två åren har inte några sådana granskningar genomförts. </w:t>
      </w:r>
    </w:p>
    <w:p w:rsidR="00867737" w:rsidRPr="00BA7C9E" w:rsidRDefault="00867737" w:rsidP="00867737">
      <w:pPr>
        <w:pStyle w:val="Normaltindrag"/>
      </w:pPr>
      <w:r w:rsidRPr="00BA7C9E">
        <w:t>Det bör påpekas att många granskningar omfattar flera olika aspekter på effektivitet även om de har en tyngdpunkt mot en viss typ. Denna tyngdpunkt har utgjort grunden för klassificeringen.</w:t>
      </w:r>
    </w:p>
    <w:p w:rsidR="00867737" w:rsidRPr="00BA7C9E" w:rsidRDefault="00867737" w:rsidP="00867737">
      <w:pPr>
        <w:pStyle w:val="Normaltindrag"/>
      </w:pPr>
    </w:p>
    <w:p w:rsidR="00867737" w:rsidRPr="00BA7C9E" w:rsidRDefault="00867737" w:rsidP="009D1724">
      <w:pPr>
        <w:pStyle w:val="R6"/>
      </w:pPr>
      <w:r w:rsidRPr="00BA7C9E">
        <w:t>Granskningen håller hög kvalitet</w:t>
      </w:r>
    </w:p>
    <w:p w:rsidR="00867737" w:rsidRPr="00BA7C9E" w:rsidRDefault="00867737" w:rsidP="009D1724">
      <w:r w:rsidRPr="00BA7C9E">
        <w:t>Riksrevisionens granskningsrapporter ska kännetecknas av en hög och jämn kvalitet. Varje granskningsrapport ska uppfylla ett antal internt formulerade kriterier som följs upp i den interna kvalitetssäkringen. En del i kvalitetssä</w:t>
      </w:r>
      <w:r w:rsidRPr="00BA7C9E">
        <w:t>k</w:t>
      </w:r>
      <w:r w:rsidRPr="00BA7C9E">
        <w:t>ringen är också den faktagranskning som genomförs för alla granskningar. Den granskade organisationen tar del av rapportutkast för att kunna korrigera eventuella sakfel samt ges möjlighet att lämna synpunkter på rapportens förslag till sammanfattning, slutsatser och rekommendationer.</w:t>
      </w:r>
    </w:p>
    <w:p w:rsidR="00867737" w:rsidRPr="00BA7C9E" w:rsidRDefault="00867737" w:rsidP="00867737">
      <w:pPr>
        <w:pStyle w:val="Normaltindrag"/>
      </w:pPr>
      <w:r w:rsidRPr="00BA7C9E">
        <w:t>Förutom insatser för att under granskningens gång höja kvaliteten i en kommande granskningsrapport använder sig Riksrevisionen av flera sätt att i efterhand följa upp kvaliteten i granskningarna. Det syftar i sin tur till ett lärande och att kvaliteten utvecklas långsiktigt. Ett exempel är att Riksrev</w:t>
      </w:r>
      <w:r w:rsidRPr="00BA7C9E">
        <w:t>i</w:t>
      </w:r>
      <w:r w:rsidRPr="00BA7C9E">
        <w:t xml:space="preserve">sionens vetenskapliga råd i </w:t>
      </w:r>
      <w:r w:rsidR="00AF7AB1" w:rsidRPr="00BA7C9E">
        <w:t>några</w:t>
      </w:r>
      <w:r w:rsidRPr="00BA7C9E">
        <w:t xml:space="preserve"> fall fått möjlighet att diskutera enskilda granskningar och granskningsstrategier och bidragit med värdefulla synpun</w:t>
      </w:r>
      <w:r w:rsidRPr="00BA7C9E">
        <w:t>k</w:t>
      </w:r>
      <w:r w:rsidRPr="00BA7C9E">
        <w:t xml:space="preserve">ter. </w:t>
      </w:r>
    </w:p>
    <w:p w:rsidR="00867737" w:rsidRPr="00BA7C9E" w:rsidRDefault="00867737" w:rsidP="00867737">
      <w:pPr>
        <w:pStyle w:val="Normaltindrag"/>
      </w:pPr>
      <w:r w:rsidRPr="00BA7C9E">
        <w:t>Ett annat exempel gäller det samarbete som Riksrevisionen inledde 2009 med Uppsala universitet om att låta forskare bedöma kvaliteten i Riksrevisi</w:t>
      </w:r>
      <w:r w:rsidRPr="00BA7C9E">
        <w:t>o</w:t>
      </w:r>
      <w:r w:rsidRPr="00BA7C9E">
        <w:t>nens granskningsrapporter. Den sammantagna bilden av kvalitetsbedömnin</w:t>
      </w:r>
      <w:r w:rsidRPr="00BA7C9E">
        <w:t>g</w:t>
      </w:r>
      <w:r w:rsidRPr="00BA7C9E">
        <w:t>arna för 2009 och 2010 var att rapporterna är trovärdiga och lever upp till allmänt formulerade kvalitetskrav. Samtidigt fanns det i vissa avseenden potential för kvalitetsförbättringar. De rörde bland annat hur Riksrevisionen analyserar, belägger och drar slutsatser om orsakssamband. Den studie som avser 2011 års rapporter innebär en fördjupad analys av bland annat grans</w:t>
      </w:r>
      <w:r w:rsidRPr="00BA7C9E">
        <w:t>k</w:t>
      </w:r>
      <w:r w:rsidRPr="00BA7C9E">
        <w:t>ningarnas upplägg, inriktning och metodval. Den fördjupade analysen ko</w:t>
      </w:r>
      <w:r w:rsidRPr="00BA7C9E">
        <w:t>m</w:t>
      </w:r>
      <w:r w:rsidRPr="00BA7C9E">
        <w:t xml:space="preserve">mer att innefatta studier av förstudier som föregått granskningarna, intervjuer med berörda projektgrupper samt en enkät till ett urval projektledare. </w:t>
      </w:r>
    </w:p>
    <w:p w:rsidR="00867737" w:rsidRPr="00BA7C9E" w:rsidRDefault="00867737" w:rsidP="00867737">
      <w:pPr>
        <w:pStyle w:val="Normaltindrag"/>
      </w:pPr>
      <w:r w:rsidRPr="00BA7C9E">
        <w:t>Ett tredje exempel är att Riksrevisionen under 2010 inledde ett uppföljande arbete visavi de myndigheter och bolag som varit föremål för granskningen. De granskade organisationerna får i en enkät möjlighet att ge sin syn på den publicerade rapporten, hur man upplevde att granskningen genomfördes och kommunicerades, projektgruppens kunskap om det granskade området samt formerna för faktagranskning av rapportutkast. De frågor som ställs i enkäten har formen av positiva påståenden där organisationen kan ge fyra olika svar: ”instämmer helt”, ”instämmer i huvudsak”, ”instämmer till v</w:t>
      </w:r>
      <w:r w:rsidR="00BE334B" w:rsidRPr="00BA7C9E">
        <w:t xml:space="preserve">iss del” samt ”instämmer inte”. </w:t>
      </w:r>
      <w:r w:rsidRPr="00BA7C9E">
        <w:t xml:space="preserve">För </w:t>
      </w:r>
      <w:r w:rsidR="00BE334B" w:rsidRPr="00BA7C9E">
        <w:t xml:space="preserve">de </w:t>
      </w:r>
      <w:r w:rsidRPr="00BA7C9E">
        <w:t xml:space="preserve">granskningar </w:t>
      </w:r>
      <w:r w:rsidR="00BE334B" w:rsidRPr="00BA7C9E">
        <w:t xml:space="preserve">som </w:t>
      </w:r>
      <w:r w:rsidRPr="00BA7C9E">
        <w:t>publicerade</w:t>
      </w:r>
      <w:r w:rsidR="00BE334B" w:rsidRPr="00BA7C9E">
        <w:t>s</w:t>
      </w:r>
      <w:r w:rsidRPr="00BA7C9E">
        <w:t xml:space="preserve"> 2011 </w:t>
      </w:r>
      <w:r w:rsidR="00BE334B" w:rsidRPr="00BA7C9E">
        <w:t>och som ing</w:t>
      </w:r>
      <w:r w:rsidR="000F7AA4" w:rsidRPr="00BA7C9E">
        <w:t>ick</w:t>
      </w:r>
      <w:r w:rsidR="00BE334B" w:rsidRPr="00BA7C9E">
        <w:t xml:space="preserve"> i undersökningen </w:t>
      </w:r>
      <w:r w:rsidRPr="00BA7C9E">
        <w:t xml:space="preserve">var bedömningen i </w:t>
      </w:r>
      <w:r w:rsidR="003623C4" w:rsidRPr="00BA7C9E">
        <w:t>85 procent</w:t>
      </w:r>
      <w:r w:rsidRPr="00BA7C9E">
        <w:t xml:space="preserve"> av de inkomna </w:t>
      </w:r>
      <w:r w:rsidR="003623C4" w:rsidRPr="00BA7C9E">
        <w:t xml:space="preserve">svaren </w:t>
      </w:r>
      <w:r w:rsidRPr="00BA7C9E">
        <w:t>att man helt eller i huvudsak instämde i påståendena. Detta är en förbättring jämfört med granskningarna 2010</w:t>
      </w:r>
      <w:r w:rsidR="00A96D53" w:rsidRPr="00BA7C9E">
        <w:t xml:space="preserve"> då 81 procent instämde i påståendena på motsvarande sätt</w:t>
      </w:r>
      <w:r w:rsidRPr="00BA7C9E">
        <w:t xml:space="preserve">. </w:t>
      </w:r>
      <w:r w:rsidR="00F22E8B" w:rsidRPr="00BA7C9E">
        <w:t xml:space="preserve">Ovanstående </w:t>
      </w:r>
      <w:r w:rsidRPr="00BA7C9E">
        <w:t>visar på en allmänt positiv syn på hur Riksr</w:t>
      </w:r>
      <w:r w:rsidRPr="00BA7C9E">
        <w:t>e</w:t>
      </w:r>
      <w:r w:rsidRPr="00BA7C9E">
        <w:t>visionen har genomfört och kommunicerat granskningarna. I enskilda fall framkom en något mindre positiv syn när det gäller projektgruppens inleda</w:t>
      </w:r>
      <w:r w:rsidRPr="00BA7C9E">
        <w:t>n</w:t>
      </w:r>
      <w:r w:rsidRPr="00BA7C9E">
        <w:t>de kunskap om det granskade området och värdet av rapportens rekommend</w:t>
      </w:r>
      <w:r w:rsidRPr="00BA7C9E">
        <w:t>a</w:t>
      </w:r>
      <w:r w:rsidRPr="00BA7C9E">
        <w:t xml:space="preserve">tioner. Resultatet bedöms i stort vara tillfredsställande.  </w:t>
      </w:r>
    </w:p>
    <w:p w:rsidR="00867737" w:rsidRPr="00BA7C9E" w:rsidRDefault="00867737" w:rsidP="00867737">
      <w:pPr>
        <w:pStyle w:val="Normaltindrag"/>
      </w:pPr>
    </w:p>
    <w:p w:rsidR="00867737" w:rsidRPr="00BA7C9E" w:rsidRDefault="00867737" w:rsidP="009D1724">
      <w:pPr>
        <w:pStyle w:val="R6"/>
      </w:pPr>
      <w:r w:rsidRPr="00BA7C9E">
        <w:t>Granskningen når hög verkningsgrad</w:t>
      </w:r>
    </w:p>
    <w:p w:rsidR="00867737" w:rsidRPr="00BA7C9E" w:rsidRDefault="00867737" w:rsidP="009D1724">
      <w:r w:rsidRPr="00BA7C9E">
        <w:t xml:space="preserve">Målet om hög verkningsgrad innebär för effektivitetsrevisionen att de brister som Riksrevisionen uppmärksammar i sina rapporter också åtgärdas. </w:t>
      </w:r>
      <w:r w:rsidR="00A8378B" w:rsidRPr="00BA7C9E">
        <w:t>Målup</w:t>
      </w:r>
      <w:r w:rsidR="00A8378B" w:rsidRPr="00BA7C9E">
        <w:t>p</w:t>
      </w:r>
      <w:r w:rsidR="00A8378B" w:rsidRPr="00BA7C9E">
        <w:t>fyllelsen</w:t>
      </w:r>
      <w:r w:rsidRPr="00BA7C9E">
        <w:t xml:space="preserve"> följs sedan fem år tillbaka genom den årliga uppföljningsrapporten. Uppföljningsrapporten 2011 innehåller en djup uppföljning av tio grans</w:t>
      </w:r>
      <w:r w:rsidRPr="00BA7C9E">
        <w:t>k</w:t>
      </w:r>
      <w:r w:rsidRPr="00BA7C9E">
        <w:t>ningsrapporter och en översiktlig uppföljning av ytterligare 62 granskning</w:t>
      </w:r>
      <w:r w:rsidRPr="00BA7C9E">
        <w:t>s</w:t>
      </w:r>
      <w:r w:rsidRPr="00BA7C9E">
        <w:t>rapporter som tagits fram inom effektivitetsrevisionen. Uppföljningen visar att så gott som samtliga rapporter medfört någon form av åtgärd. De vidtagna åtgärderna ligger oftast i linje med Riksrevisionens slutsatser och rekomme</w:t>
      </w:r>
      <w:r w:rsidRPr="00BA7C9E">
        <w:t>n</w:t>
      </w:r>
      <w:r w:rsidRPr="00BA7C9E">
        <w:t>dationer. Särskilt den djupa uppföljningen visar på sådana förändringar. Sa</w:t>
      </w:r>
      <w:r w:rsidRPr="00BA7C9E">
        <w:t>m</w:t>
      </w:r>
      <w:r w:rsidRPr="00BA7C9E">
        <w:t xml:space="preserve">tidigt är det viktigt att framhålla att åtgärder som genomförs även </w:t>
      </w:r>
      <w:r w:rsidR="00261608" w:rsidRPr="00BA7C9E">
        <w:t xml:space="preserve">kan </w:t>
      </w:r>
      <w:r w:rsidRPr="00BA7C9E">
        <w:t xml:space="preserve">ha andra orsaker än Riksrevisionens granskningsrapporter. </w:t>
      </w:r>
    </w:p>
    <w:bookmarkEnd w:id="45"/>
    <w:bookmarkEnd w:id="46"/>
    <w:bookmarkEnd w:id="47"/>
    <w:p w:rsidR="00867737" w:rsidRPr="00BA7C9E" w:rsidRDefault="00867737" w:rsidP="009D1724">
      <w:pPr>
        <w:pStyle w:val="R4"/>
      </w:pPr>
      <w:r w:rsidRPr="00BA7C9E">
        <w:t>Kostnader för effektivitetsrevisionen verksamhetsåret 2011</w:t>
      </w:r>
    </w:p>
    <w:p w:rsidR="00867737" w:rsidRPr="00BA7C9E" w:rsidRDefault="00867737" w:rsidP="009D1724">
      <w:r w:rsidRPr="00BA7C9E">
        <w:t>Kostnaderna för effektivitetsrevisionen minskade under 2011 med 13,1 mi</w:t>
      </w:r>
      <w:r w:rsidRPr="00BA7C9E">
        <w:t>l</w:t>
      </w:r>
      <w:r w:rsidRPr="00BA7C9E">
        <w:t>joner kronor. Minskningen som till viss del var planerad avsåg främst löner men även konsulter. Under avsnittet Kompetens och personal redovisas nä</w:t>
      </w:r>
      <w:r w:rsidRPr="00BA7C9E">
        <w:t>r</w:t>
      </w:r>
      <w:r w:rsidRPr="00BA7C9E">
        <w:t>mare utvecklingen när det gäller anställda och användningen av extern ko</w:t>
      </w:r>
      <w:r w:rsidRPr="00BA7C9E">
        <w:t>m</w:t>
      </w:r>
      <w:r w:rsidRPr="00BA7C9E">
        <w:t>petens i granskningsverksamheten.</w:t>
      </w:r>
    </w:p>
    <w:p w:rsidR="00867737" w:rsidRPr="00BA7C9E" w:rsidRDefault="00867737" w:rsidP="00A8378B">
      <w:pPr>
        <w:pStyle w:val="Normaltindrag"/>
        <w:rPr>
          <w:b/>
        </w:rPr>
      </w:pPr>
      <w:r w:rsidRPr="00BA7C9E">
        <w:t>Kostnaderna för och antalet timmar på effektivitetsrevision redovisas som tidigare år fördelat på de olika delarna i granskningsprocessen</w:t>
      </w:r>
      <w:r w:rsidRPr="00BA7C9E">
        <w:rPr>
          <w:b/>
        </w:rPr>
        <w:t xml:space="preserve">. </w:t>
      </w:r>
    </w:p>
    <w:p w:rsidR="000D7226" w:rsidRPr="00BA7C9E" w:rsidRDefault="00867737" w:rsidP="000D7226">
      <w:pPr>
        <w:pStyle w:val="Tabellrubrik"/>
      </w:pPr>
      <w:r w:rsidRPr="00BA7C9E">
        <w:t xml:space="preserve">TABELL 8 KOSTNADER FÖR EFFEKTIVITETSREVISION 2009 – 2011 (TKR) </w:t>
      </w:r>
    </w:p>
    <w:p w:rsidR="000D7226" w:rsidRPr="00BA7C9E" w:rsidRDefault="00BA7C9E" w:rsidP="008476F0">
      <w:pPr>
        <w:pStyle w:val="Normaltindrag"/>
        <w:ind w:firstLine="0"/>
      </w:pPr>
      <w:r w:rsidRPr="00BA7C9E">
        <w:rPr>
          <w:noProof/>
        </w:rPr>
        <w:drawing>
          <wp:inline distT="0" distB="0" distL="0" distR="0">
            <wp:extent cx="3684905" cy="80581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4905" cy="805815"/>
                    </a:xfrm>
                    <a:prstGeom prst="rect">
                      <a:avLst/>
                    </a:prstGeom>
                    <a:noFill/>
                    <a:ln>
                      <a:noFill/>
                    </a:ln>
                  </pic:spPr>
                </pic:pic>
              </a:graphicData>
            </a:graphic>
          </wp:inline>
        </w:drawing>
      </w:r>
    </w:p>
    <w:p w:rsidR="000D7226" w:rsidRPr="00BA7C9E" w:rsidRDefault="00867737" w:rsidP="000D7226">
      <w:pPr>
        <w:pStyle w:val="Tabellrubrik"/>
      </w:pPr>
      <w:r w:rsidRPr="00BA7C9E">
        <w:t>Tabell 9 Redovisade timmar FÖR ANSTÄLLD PERSONAL inom effektiv</w:t>
      </w:r>
      <w:r w:rsidRPr="00BA7C9E">
        <w:t>i</w:t>
      </w:r>
      <w:r w:rsidRPr="00BA7C9E">
        <w:t>tetsrevision 2009 – 2011 (ANTAL</w:t>
      </w:r>
      <w:r w:rsidR="000D7226" w:rsidRPr="00BA7C9E">
        <w:t xml:space="preserve">) </w:t>
      </w:r>
    </w:p>
    <w:p w:rsidR="000D7226" w:rsidRPr="00BA7C9E" w:rsidRDefault="00BA7C9E" w:rsidP="008476F0">
      <w:pPr>
        <w:pStyle w:val="Normaltindrag"/>
        <w:ind w:firstLine="0"/>
      </w:pPr>
      <w:r w:rsidRPr="00BA7C9E">
        <w:rPr>
          <w:noProof/>
        </w:rPr>
        <w:drawing>
          <wp:inline distT="0" distB="0" distL="0" distR="0">
            <wp:extent cx="3695700" cy="80581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95700" cy="805815"/>
                    </a:xfrm>
                    <a:prstGeom prst="rect">
                      <a:avLst/>
                    </a:prstGeom>
                    <a:noFill/>
                    <a:ln>
                      <a:noFill/>
                    </a:ln>
                  </pic:spPr>
                </pic:pic>
              </a:graphicData>
            </a:graphic>
          </wp:inline>
        </w:drawing>
      </w:r>
    </w:p>
    <w:p w:rsidR="00867737" w:rsidRPr="00BA7C9E" w:rsidRDefault="00867737" w:rsidP="00867737">
      <w:pPr>
        <w:pStyle w:val="Normaltindrag"/>
      </w:pPr>
    </w:p>
    <w:p w:rsidR="00867737" w:rsidRPr="00BA7C9E" w:rsidRDefault="00867737" w:rsidP="004A1B1E">
      <w:pPr>
        <w:rPr>
          <w:b/>
        </w:rPr>
      </w:pPr>
      <w:r w:rsidRPr="00BA7C9E">
        <w:t xml:space="preserve">Omvärldsbevakningens andel av de totala insatserna för effektivitetsrevision har som framgår ovan ökat under 2011. Bakgrunden är främst ett ökat behov av omvärldsbevakning till följd av </w:t>
      </w:r>
      <w:r w:rsidR="00746A36" w:rsidRPr="00BA7C9E">
        <w:t xml:space="preserve">arbetet med </w:t>
      </w:r>
      <w:r w:rsidRPr="00BA7C9E">
        <w:t>att förnya granskningsstrateg</w:t>
      </w:r>
      <w:r w:rsidRPr="00BA7C9E">
        <w:t>i</w:t>
      </w:r>
      <w:r w:rsidRPr="00BA7C9E">
        <w:t>erna. Under 2011 avslutades tre strategier</w:t>
      </w:r>
      <w:r w:rsidR="004B1B21" w:rsidRPr="00BA7C9E">
        <w:t xml:space="preserve"> och fyra</w:t>
      </w:r>
      <w:r w:rsidRPr="00BA7C9E">
        <w:t xml:space="preserve"> nya påbörjades.</w:t>
      </w:r>
      <w:r w:rsidR="004B1B21" w:rsidRPr="00BA7C9E">
        <w:t xml:space="preserve"> Föregåe</w:t>
      </w:r>
      <w:r w:rsidR="004B1B21" w:rsidRPr="00BA7C9E">
        <w:t>n</w:t>
      </w:r>
      <w:r w:rsidR="004B1B21" w:rsidRPr="00BA7C9E">
        <w:t>de år påbörjades</w:t>
      </w:r>
      <w:r w:rsidR="00746A36" w:rsidRPr="00BA7C9E">
        <w:t xml:space="preserve"> en ny strategi</w:t>
      </w:r>
      <w:r w:rsidR="004B1B21" w:rsidRPr="00BA7C9E">
        <w:t>.</w:t>
      </w:r>
      <w:r w:rsidRPr="00BA7C9E">
        <w:t xml:space="preserve"> En större vikt har </w:t>
      </w:r>
      <w:r w:rsidR="004B1B21" w:rsidRPr="00BA7C9E">
        <w:t xml:space="preserve">i år </w:t>
      </w:r>
      <w:r w:rsidRPr="00BA7C9E">
        <w:t>också lagts vid att ha ett kvalitetssäkrat underlag för riksrevisorns beslut att starta en granskning. Som framgår nedan har det gett positiva effekter på antalet förstudier och grans</w:t>
      </w:r>
      <w:r w:rsidRPr="00BA7C9E">
        <w:t>k</w:t>
      </w:r>
      <w:r w:rsidRPr="00BA7C9E">
        <w:t>ningar som avslutats utan publicering</w:t>
      </w:r>
      <w:r w:rsidRPr="00BA7C9E">
        <w:rPr>
          <w:b/>
        </w:rPr>
        <w:t>.</w:t>
      </w:r>
    </w:p>
    <w:p w:rsidR="00867737" w:rsidRPr="00BA7C9E" w:rsidRDefault="00867737" w:rsidP="00867737">
      <w:pPr>
        <w:pStyle w:val="Normaltindrag"/>
      </w:pPr>
      <w:r w:rsidRPr="00BA7C9E">
        <w:t>Kostnaden för efterarbete, det vill säga olika aktiviteter som genomförs e</w:t>
      </w:r>
      <w:r w:rsidRPr="00BA7C9E">
        <w:t>f</w:t>
      </w:r>
      <w:r w:rsidRPr="00BA7C9E">
        <w:t>ter publicering för att öka kunskapen om revisionens iakttagelser, har minskat under 2011. Det beror främst på den nya besluts- och hanteringsordningen för rapporter som inte längre kräver presentationer och underlag inför styrelsens beslut. Minskningen ligger också i linje med färre antal färdigställda rapporter under året.</w:t>
      </w:r>
    </w:p>
    <w:p w:rsidR="00867737" w:rsidRPr="00BA7C9E" w:rsidRDefault="00867737" w:rsidP="009D1724">
      <w:pPr>
        <w:pStyle w:val="R4"/>
      </w:pPr>
      <w:r w:rsidRPr="00BA7C9E">
        <w:t xml:space="preserve">Kostnader per granskningsrapport </w:t>
      </w:r>
    </w:p>
    <w:p w:rsidR="00867737" w:rsidRPr="00BA7C9E" w:rsidRDefault="00867737" w:rsidP="00A13483">
      <w:pPr>
        <w:pStyle w:val="Tabellrubrik"/>
        <w:ind w:left="851" w:hanging="851"/>
      </w:pPr>
      <w:r w:rsidRPr="00BA7C9E">
        <w:t>Tabell 10 Kostnader för förstudier och huvudstudier SAMT styc</w:t>
      </w:r>
      <w:r w:rsidRPr="00BA7C9E">
        <w:t>k</w:t>
      </w:r>
      <w:r w:rsidRPr="00BA7C9E">
        <w:t xml:space="preserve">kostnad per publicerad granskning 2009 – 2011 (tkr) </w:t>
      </w:r>
    </w:p>
    <w:p w:rsidR="00390024" w:rsidRPr="00BA7C9E" w:rsidRDefault="00BA7C9E" w:rsidP="00E512CD">
      <w:pPr>
        <w:pStyle w:val="Normaltindrag"/>
        <w:ind w:firstLine="0"/>
      </w:pPr>
      <w:r w:rsidRPr="00BA7C9E">
        <w:rPr>
          <w:noProof/>
        </w:rPr>
        <w:drawing>
          <wp:inline distT="0" distB="0" distL="0" distR="0">
            <wp:extent cx="3777615" cy="119189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7615" cy="1191895"/>
                    </a:xfrm>
                    <a:prstGeom prst="rect">
                      <a:avLst/>
                    </a:prstGeom>
                    <a:noFill/>
                    <a:ln>
                      <a:noFill/>
                    </a:ln>
                  </pic:spPr>
                </pic:pic>
              </a:graphicData>
            </a:graphic>
          </wp:inline>
        </w:drawing>
      </w:r>
    </w:p>
    <w:p w:rsidR="00867737" w:rsidRPr="00BA7C9E" w:rsidRDefault="00867737" w:rsidP="00A13483">
      <w:pPr>
        <w:pStyle w:val="Tabellrubrik"/>
        <w:ind w:left="851" w:hanging="851"/>
      </w:pPr>
      <w:r w:rsidRPr="00BA7C9E">
        <w:t xml:space="preserve">Tabell 11 Redovisade timmar för förstudier och granskningar samt genomsnittlig insats per publicerad granskning 2009 – 2011  </w:t>
      </w:r>
    </w:p>
    <w:p w:rsidR="00E512CD" w:rsidRPr="00BA7C9E" w:rsidRDefault="00BA7C9E" w:rsidP="00E512CD">
      <w:pPr>
        <w:pStyle w:val="Normaltindrag"/>
        <w:ind w:firstLine="0"/>
      </w:pPr>
      <w:r w:rsidRPr="00BA7C9E">
        <w:rPr>
          <w:noProof/>
        </w:rPr>
        <w:drawing>
          <wp:inline distT="0" distB="0" distL="0" distR="0">
            <wp:extent cx="3777615" cy="11703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77615" cy="1170305"/>
                    </a:xfrm>
                    <a:prstGeom prst="rect">
                      <a:avLst/>
                    </a:prstGeom>
                    <a:noFill/>
                    <a:ln>
                      <a:noFill/>
                    </a:ln>
                  </pic:spPr>
                </pic:pic>
              </a:graphicData>
            </a:graphic>
          </wp:inline>
        </w:drawing>
      </w:r>
    </w:p>
    <w:p w:rsidR="00E512CD" w:rsidRPr="00BA7C9E" w:rsidRDefault="00E512CD" w:rsidP="00E512CD"/>
    <w:p w:rsidR="000C6E9C" w:rsidRPr="00BA7C9E" w:rsidRDefault="00867737" w:rsidP="00E512CD">
      <w:r w:rsidRPr="00BA7C9E">
        <w:t>Styckkostnaden och antal snittimmar för publicerade granskningar under året har som framgår ovan minskat. Det förklaras främst av att de resurser som lagts på granskningar som inte resulterat i rapporter har minskat. Vid årets slut pågick totalt 32 granskningar.</w:t>
      </w:r>
    </w:p>
    <w:p w:rsidR="00F32CCD" w:rsidRPr="00BA7C9E" w:rsidRDefault="00000F7E" w:rsidP="00000F7E">
      <w:pPr>
        <w:pStyle w:val="Rubrik2"/>
        <w:spacing w:before="0"/>
      </w:pPr>
      <w:r w:rsidRPr="00BA7C9E">
        <w:br w:type="page"/>
      </w:r>
      <w:bookmarkStart w:id="50" w:name="_Toc315253445"/>
      <w:bookmarkStart w:id="51" w:name="_Toc318101631"/>
      <w:r w:rsidR="00F32CCD" w:rsidRPr="00BA7C9E">
        <w:t>Internationellt utvecklingssamarbete</w:t>
      </w:r>
      <w:bookmarkEnd w:id="50"/>
      <w:bookmarkEnd w:id="51"/>
    </w:p>
    <w:p w:rsidR="00F32CCD" w:rsidRPr="00BA7C9E" w:rsidRDefault="00F32CCD" w:rsidP="009D1724">
      <w:pPr>
        <w:pStyle w:val="Rubrik3"/>
        <w:rPr>
          <w:noProof w:val="0"/>
        </w:rPr>
      </w:pPr>
      <w:bookmarkStart w:id="52" w:name="_Toc284579683"/>
      <w:bookmarkStart w:id="53" w:name="_Toc311187635"/>
      <w:bookmarkStart w:id="54" w:name="_Toc315253446"/>
      <w:bookmarkStart w:id="55" w:name="_Toc318101632"/>
      <w:r w:rsidRPr="00BA7C9E">
        <w:rPr>
          <w:noProof w:val="0"/>
        </w:rPr>
        <w:t>Mål</w:t>
      </w:r>
      <w:bookmarkEnd w:id="52"/>
      <w:bookmarkEnd w:id="53"/>
      <w:bookmarkEnd w:id="54"/>
      <w:bookmarkEnd w:id="55"/>
      <w:r w:rsidRPr="00BA7C9E">
        <w:rPr>
          <w:noProof w:val="0"/>
        </w:rPr>
        <w:t xml:space="preserve"> </w:t>
      </w:r>
    </w:p>
    <w:p w:rsidR="00F32CCD" w:rsidRPr="00BA7C9E" w:rsidRDefault="00F32CCD" w:rsidP="009D1724">
      <w:r w:rsidRPr="00BA7C9E">
        <w:t>Målet för det internationella utvecklingssamarbetet är att det ska bidra till en god förvaltning i samarbetsländerna genom att stärka parlamentens kontrol</w:t>
      </w:r>
      <w:r w:rsidRPr="00BA7C9E">
        <w:t>l</w:t>
      </w:r>
      <w:r w:rsidRPr="00BA7C9E">
        <w:t>makt och de nationella revisionsorganens kapacitet och förmåga att bedriva revision. Utvecklingssamarbetet utgår från inriktningen av Sveriges politik för global utveckling och arbetar i enlighet med OECD/DAC:s riktlinjer. Det ska dessutom följa INTOSAI:s</w:t>
      </w:r>
      <w:r w:rsidRPr="00BA7C9E">
        <w:rPr>
          <w:vertAlign w:val="superscript"/>
        </w:rPr>
        <w:footnoteReference w:id="7"/>
      </w:r>
      <w:r w:rsidRPr="00BA7C9E">
        <w:t xml:space="preserve"> och OECD/DAC:s vägledningar och reko</w:t>
      </w:r>
      <w:r w:rsidRPr="00BA7C9E">
        <w:t>m</w:t>
      </w:r>
      <w:r w:rsidRPr="00BA7C9E">
        <w:t>mendationer i fråga om principer och metoder för kapacitetsutveckling.</w:t>
      </w:r>
    </w:p>
    <w:p w:rsidR="00963B54" w:rsidRPr="00BA7C9E" w:rsidRDefault="00F32CCD" w:rsidP="00F32CCD">
      <w:pPr>
        <w:pStyle w:val="Normaltindrag"/>
      </w:pPr>
      <w:r w:rsidRPr="00BA7C9E">
        <w:t>I varje enskilt samarbetsprojekt är det övergripande målet att Riksrevisi</w:t>
      </w:r>
      <w:r w:rsidRPr="00BA7C9E">
        <w:t>o</w:t>
      </w:r>
      <w:r w:rsidRPr="00BA7C9E">
        <w:t>nens samarbetspartner, genom att utveckla sin institutionella kapacitet, själ</w:t>
      </w:r>
      <w:r w:rsidRPr="00BA7C9E">
        <w:t>v</w:t>
      </w:r>
      <w:r w:rsidRPr="00BA7C9E">
        <w:t>ständigt och uthålligt ska kunna verka inom sitt mandat som nationellt rev</w:t>
      </w:r>
      <w:r w:rsidRPr="00BA7C9E">
        <w:t>i</w:t>
      </w:r>
      <w:r w:rsidRPr="00BA7C9E">
        <w:t>sionsorgan. Resultatmål för projekten fastst</w:t>
      </w:r>
      <w:r w:rsidR="006F142C" w:rsidRPr="00BA7C9E">
        <w:t xml:space="preserve">älls i årliga aktivitetsplaner vilket </w:t>
      </w:r>
      <w:r w:rsidRPr="00BA7C9E">
        <w:t xml:space="preserve">inbegriper stöd till </w:t>
      </w:r>
      <w:r w:rsidR="00385C8C" w:rsidRPr="00BA7C9E">
        <w:t xml:space="preserve">våra </w:t>
      </w:r>
      <w:r w:rsidRPr="00BA7C9E">
        <w:t xml:space="preserve">samarbetspartner i </w:t>
      </w:r>
      <w:r w:rsidR="00963B54" w:rsidRPr="00BA7C9E">
        <w:t xml:space="preserve">fråga om </w:t>
      </w:r>
      <w:r w:rsidRPr="00BA7C9E">
        <w:t xml:space="preserve">deras </w:t>
      </w:r>
      <w:r w:rsidR="00963B54" w:rsidRPr="00BA7C9E">
        <w:t>bidrag i reforma</w:t>
      </w:r>
      <w:r w:rsidR="00963B54" w:rsidRPr="00BA7C9E">
        <w:t>r</w:t>
      </w:r>
      <w:r w:rsidR="00963B54" w:rsidRPr="00BA7C9E">
        <w:t xml:space="preserve">betet för bättre statlig styrning och uppföljning. </w:t>
      </w:r>
    </w:p>
    <w:p w:rsidR="00F32CCD" w:rsidRPr="00BA7C9E" w:rsidRDefault="00F32CCD" w:rsidP="00F32CCD">
      <w:pPr>
        <w:pStyle w:val="Normaltindrag"/>
      </w:pPr>
      <w:r w:rsidRPr="00BA7C9E">
        <w:t xml:space="preserve">Verksamheten vägleds således av </w:t>
      </w:r>
      <w:r w:rsidR="007D2B4F" w:rsidRPr="00BA7C9E">
        <w:t>flera slags mål</w:t>
      </w:r>
      <w:r w:rsidRPr="00BA7C9E">
        <w:t>. Möjligheterna att nå de</w:t>
      </w:r>
      <w:r w:rsidRPr="00BA7C9E">
        <w:t>s</w:t>
      </w:r>
      <w:r w:rsidRPr="00BA7C9E">
        <w:t>sa mål påverkas i väsentlig grad av agerandet från andra biståndsaktörer och olika intressenter i samarbetsländerna, liksom av den allmänna utvecklingen i respektive land. Det enskilda projektet kan således ansvara endast för att dess egna resultatmål uppnås. Det är på den nivån som måluppfyllelsen bäst kan verifieras, och det är där Riksrevisionen kan redovisa projektets bidrag till utvecklingen och måluppfyllelsen på högre nivåer.</w:t>
      </w:r>
    </w:p>
    <w:p w:rsidR="00F32CCD" w:rsidRPr="00BA7C9E" w:rsidRDefault="00F32CCD" w:rsidP="00122DB4">
      <w:pPr>
        <w:pStyle w:val="Rubrik3"/>
        <w:rPr>
          <w:noProof w:val="0"/>
        </w:rPr>
      </w:pPr>
      <w:bookmarkStart w:id="56" w:name="_Toc284579684"/>
      <w:bookmarkStart w:id="57" w:name="_Toc311187636"/>
      <w:bookmarkStart w:id="58" w:name="_Toc315071796"/>
      <w:bookmarkStart w:id="59" w:name="_Toc318101633"/>
      <w:r w:rsidRPr="00BA7C9E">
        <w:rPr>
          <w:noProof w:val="0"/>
        </w:rPr>
        <w:t>Resultat och bedömning</w:t>
      </w:r>
      <w:bookmarkEnd w:id="56"/>
      <w:bookmarkEnd w:id="57"/>
      <w:bookmarkEnd w:id="58"/>
      <w:bookmarkEnd w:id="59"/>
    </w:p>
    <w:p w:rsidR="00F32CCD" w:rsidRPr="00BA7C9E" w:rsidRDefault="00F32CCD" w:rsidP="00122DB4">
      <w:pPr>
        <w:pStyle w:val="R4"/>
      </w:pPr>
      <w:r w:rsidRPr="00BA7C9E">
        <w:t>Sammanfattande bedömning</w:t>
      </w:r>
    </w:p>
    <w:p w:rsidR="00F32CCD" w:rsidRPr="00BA7C9E" w:rsidRDefault="00F32CCD" w:rsidP="00122DB4">
      <w:r w:rsidRPr="00BA7C9E">
        <w:t>Det internationella utvecklingssamarbetet har under året kännetecknats av en hög aktivitetsnivå. Arbetet med att förnya projektportföljen, till följd av att vissa projekt fullföljs och avslutas, har resulterat i tre nya samarbeten med revisionsmyndigheterna i Kambodja, Kenya och Kosovo. Vidare har utvec</w:t>
      </w:r>
      <w:r w:rsidRPr="00BA7C9E">
        <w:t>k</w:t>
      </w:r>
      <w:r w:rsidRPr="00BA7C9E">
        <w:t>lingssamarbetet med Bosnien och Hercegovina, Georgien, Tanzania (fastla</w:t>
      </w:r>
      <w:r w:rsidRPr="00BA7C9E">
        <w:t>n</w:t>
      </w:r>
      <w:r w:rsidRPr="00BA7C9E">
        <w:t>det) och den regionala organisationen African Organisation of English-speaking Supreme Audit Institutions (AFROSAI-E) fortsatt i huvudsak som planerat och uppfyllt målen enligt de årliga aktivitetsplanerna.</w:t>
      </w:r>
    </w:p>
    <w:p w:rsidR="00F32CCD" w:rsidRPr="00BA7C9E" w:rsidRDefault="00F32CCD" w:rsidP="00F32CCD">
      <w:pPr>
        <w:pStyle w:val="Normaltindrag"/>
      </w:pPr>
      <w:r w:rsidRPr="00BA7C9E">
        <w:t xml:space="preserve">Under hösten </w:t>
      </w:r>
      <w:r w:rsidR="003D66E5" w:rsidRPr="00BA7C9E">
        <w:t xml:space="preserve">lämnades </w:t>
      </w:r>
      <w:r w:rsidRPr="00BA7C9E">
        <w:t>rapporten Resultat av Riksrevisionens internati</w:t>
      </w:r>
      <w:r w:rsidRPr="00BA7C9E">
        <w:t>o</w:t>
      </w:r>
      <w:r w:rsidRPr="00BA7C9E">
        <w:t xml:space="preserve">nella utvecklingssamarbete </w:t>
      </w:r>
      <w:r w:rsidR="003D66E5" w:rsidRPr="00BA7C9E">
        <w:t xml:space="preserve">till </w:t>
      </w:r>
      <w:r w:rsidRPr="00BA7C9E">
        <w:t xml:space="preserve">riksdagen. Syftet med rapporten var att </w:t>
      </w:r>
      <w:r w:rsidR="008D6232" w:rsidRPr="00BA7C9E">
        <w:t>info</w:t>
      </w:r>
      <w:r w:rsidR="008D6232" w:rsidRPr="00BA7C9E">
        <w:t>r</w:t>
      </w:r>
      <w:r w:rsidR="008D6232" w:rsidRPr="00BA7C9E">
        <w:t>mera</w:t>
      </w:r>
      <w:r w:rsidRPr="00BA7C9E">
        <w:t xml:space="preserve"> om de projekt som bedrivits och innehållet i samarbetet samt belysa de resultat som uppnåtts. </w:t>
      </w:r>
    </w:p>
    <w:p w:rsidR="00F32CCD" w:rsidRPr="00BA7C9E" w:rsidRDefault="00F32CCD" w:rsidP="00F32CCD">
      <w:pPr>
        <w:pStyle w:val="Normaltindrag"/>
      </w:pPr>
      <w:r w:rsidRPr="00BA7C9E">
        <w:t>Riksrevisionen har som utgångspunkt att avvakta med eller avbryta sama</w:t>
      </w:r>
      <w:r w:rsidRPr="00BA7C9E">
        <w:t>r</w:t>
      </w:r>
      <w:r w:rsidRPr="00BA7C9E">
        <w:t>bete med länder där förutsättningarna för framgång förändras. Under året har samarbetet med Liberia och Zanzibar (självstyrande region i Tanzania) avsl</w:t>
      </w:r>
      <w:r w:rsidRPr="00BA7C9E">
        <w:t>u</w:t>
      </w:r>
      <w:r w:rsidRPr="00BA7C9E">
        <w:t xml:space="preserve">tats som en följd av </w:t>
      </w:r>
      <w:r w:rsidR="00681839" w:rsidRPr="00BA7C9E">
        <w:t xml:space="preserve">sådana </w:t>
      </w:r>
      <w:r w:rsidRPr="00BA7C9E">
        <w:t>förändrade förutsättningar. I Moldavien har inte alla aktiviteter kunnat genomföras på grund av politisk osäkerhet och oklarh</w:t>
      </w:r>
      <w:r w:rsidRPr="00BA7C9E">
        <w:t>e</w:t>
      </w:r>
      <w:r w:rsidRPr="00BA7C9E">
        <w:t xml:space="preserve">ter gällande den nya styrelsen på Court of Account (CoA). Måluppfyllelse per samarbetsprojekt redovisas mer utförligt nedan. </w:t>
      </w:r>
    </w:p>
    <w:p w:rsidR="00F32CCD" w:rsidRPr="00BA7C9E" w:rsidRDefault="00F32CCD" w:rsidP="00F32CCD">
      <w:pPr>
        <w:pStyle w:val="Normaltindrag"/>
      </w:pPr>
      <w:r w:rsidRPr="00BA7C9E">
        <w:t>Den 1 januari 2011 infördes ett tillägg till 22 § lagen (2002:1023) med i</w:t>
      </w:r>
      <w:r w:rsidRPr="00BA7C9E">
        <w:t>n</w:t>
      </w:r>
      <w:r w:rsidRPr="00BA7C9E">
        <w:t>struktion för Riksrevisionen. Genom ändringen regleras att inriktningen av det internationella utvecklingssamarbetet ska beslutas av Riksrevisionen efter samråd med Sida. Riksrevisionen och Sida har under året kommit överens om hur samrådsskyldigheten ska fullgöras. Ett första samrådsmöte gen</w:t>
      </w:r>
      <w:r w:rsidR="000B2E9A" w:rsidRPr="00BA7C9E">
        <w:t>omfördes i oktober. Utöver det</w:t>
      </w:r>
      <w:r w:rsidRPr="00BA7C9E">
        <w:t xml:space="preserve"> formaliserade samråd</w:t>
      </w:r>
      <w:r w:rsidR="000B2E9A" w:rsidRPr="00BA7C9E">
        <w:t>et</w:t>
      </w:r>
      <w:r w:rsidRPr="00BA7C9E">
        <w:t xml:space="preserve"> kommer myndigheterna att for</w:t>
      </w:r>
      <w:r w:rsidRPr="00BA7C9E">
        <w:t>t</w:t>
      </w:r>
      <w:r w:rsidRPr="00BA7C9E">
        <w:t xml:space="preserve">sätta med löpande samråd i olika principiella och praktiska frågor. </w:t>
      </w:r>
    </w:p>
    <w:p w:rsidR="00F32CCD" w:rsidRPr="00BA7C9E" w:rsidRDefault="00F32CCD" w:rsidP="00F32CCD">
      <w:pPr>
        <w:pStyle w:val="Normaltindrag"/>
      </w:pPr>
      <w:r w:rsidRPr="00BA7C9E">
        <w:t xml:space="preserve">Vid utgången av året pågick förberedelser för att inleda förstudier hos flera tilltänkta samarbetspartner. </w:t>
      </w:r>
    </w:p>
    <w:p w:rsidR="00F32CCD" w:rsidRPr="00BA7C9E" w:rsidRDefault="00F32CCD" w:rsidP="00122DB4">
      <w:pPr>
        <w:pStyle w:val="R4"/>
      </w:pPr>
      <w:r w:rsidRPr="00BA7C9E">
        <w:t>Måluppfyllelse per samarbetsprojekt</w:t>
      </w:r>
    </w:p>
    <w:p w:rsidR="00F32CCD" w:rsidRPr="00BA7C9E" w:rsidRDefault="00F32CCD" w:rsidP="00F32CCD">
      <w:pPr>
        <w:pStyle w:val="Normaltindrag"/>
      </w:pPr>
    </w:p>
    <w:p w:rsidR="00F32CCD" w:rsidRPr="00BA7C9E" w:rsidRDefault="00F32CCD" w:rsidP="00122DB4">
      <w:pPr>
        <w:pStyle w:val="R6"/>
      </w:pPr>
      <w:r w:rsidRPr="00BA7C9E">
        <w:t xml:space="preserve">AFROSAI-E </w:t>
      </w:r>
    </w:p>
    <w:p w:rsidR="00E512CD" w:rsidRPr="00BA7C9E" w:rsidRDefault="00F32CCD" w:rsidP="00122DB4">
      <w:r w:rsidRPr="00BA7C9E">
        <w:t>Riksrevisionens utvecklingssamarbete med AFROSAI-E, den regionala org</w:t>
      </w:r>
      <w:r w:rsidRPr="00BA7C9E">
        <w:t>a</w:t>
      </w:r>
      <w:r w:rsidRPr="00BA7C9E">
        <w:t>nisationen för engelsk- och portugisisktalande revisionsmyndigheter i Afrika, har pågått sedan 2004 och kommer, enligt nuvarande avtal, att pågå till och med december 2012. Samarbetet sker genom AFROSAI-E:s exekutiva sekr</w:t>
      </w:r>
      <w:r w:rsidRPr="00BA7C9E">
        <w:t>e</w:t>
      </w:r>
      <w:r w:rsidRPr="00BA7C9E">
        <w:t>tariat och i enlighet med en strategiplan som bygger på en modell för instit</w:t>
      </w:r>
      <w:r w:rsidRPr="00BA7C9E">
        <w:t>u</w:t>
      </w:r>
      <w:r w:rsidRPr="00BA7C9E">
        <w:t>tionell kapacitetsutveckling utvecklad av AFROSAI-E. Riksrevisionen bidrar till att förstärka sekretariatet med tre långtidsexperter inom områdena instit</w:t>
      </w:r>
      <w:r w:rsidRPr="00BA7C9E">
        <w:t>u</w:t>
      </w:r>
      <w:r w:rsidRPr="00BA7C9E">
        <w:t xml:space="preserve">tionellt kapacitetsuppbyggande, effektivitetsrevision samt finansiell revision och kvalitetssäkring. </w:t>
      </w:r>
    </w:p>
    <w:p w:rsidR="00F32CCD" w:rsidRPr="00BA7C9E" w:rsidRDefault="00F32CCD" w:rsidP="00E512CD">
      <w:pPr>
        <w:pStyle w:val="Normaltindrag"/>
      </w:pPr>
      <w:r w:rsidRPr="00BA7C9E">
        <w:t>Årets insatser har varit inriktade mot utveckling av en HR-handbok, u</w:t>
      </w:r>
      <w:r w:rsidRPr="00BA7C9E">
        <w:t>t</w:t>
      </w:r>
      <w:r w:rsidRPr="00BA7C9E">
        <w:t>bildning av kommunikationsexperter och spridning av kunskap om använ</w:t>
      </w:r>
      <w:r w:rsidRPr="00BA7C9E">
        <w:t>d</w:t>
      </w:r>
      <w:r w:rsidRPr="00BA7C9E">
        <w:t>ningen av den tidigare framtagna kommunikationshandboken samt kvalitet</w:t>
      </w:r>
      <w:r w:rsidRPr="00BA7C9E">
        <w:t>s</w:t>
      </w:r>
      <w:r w:rsidRPr="00BA7C9E">
        <w:t>säkring och strategiska ledningsfrågor. Vidare har årets aktiviteter bidragit till utveckling av riktlinjer för effektivitetsgranskningar av upphandlingsinsatser, utbildning av effektivitetsrevisorer samt utveckling av förutsättningar för införande och</w:t>
      </w:r>
      <w:r w:rsidR="000B2E9A" w:rsidRPr="00BA7C9E">
        <w:t xml:space="preserve"> tillämpning av ett </w:t>
      </w:r>
      <w:r w:rsidR="0036652D" w:rsidRPr="00BA7C9E">
        <w:t>it</w:t>
      </w:r>
      <w:r w:rsidRPr="00BA7C9E">
        <w:t>-baserat revisionsverktyg. Riksrevisionen har också deltagit i fyra kvalitetsuppföljningar på några revisionsmyndigheter i Afrika. Arbetet med att revidera en handbok i effektivitetsrevision och a</w:t>
      </w:r>
      <w:r w:rsidRPr="00BA7C9E">
        <w:t>n</w:t>
      </w:r>
      <w:r w:rsidRPr="00BA7C9E">
        <w:t>passa den till AFROSAI-E:s behov och principer har påbörjats.</w:t>
      </w:r>
    </w:p>
    <w:p w:rsidR="003C0BB6" w:rsidRPr="00BA7C9E" w:rsidRDefault="003C0BB6" w:rsidP="00E512CD">
      <w:pPr>
        <w:pStyle w:val="Normaltindrag"/>
      </w:pPr>
    </w:p>
    <w:p w:rsidR="00F32CCD" w:rsidRPr="00BA7C9E" w:rsidRDefault="00F32CCD" w:rsidP="00122DB4">
      <w:pPr>
        <w:pStyle w:val="R6"/>
      </w:pPr>
      <w:r w:rsidRPr="00BA7C9E">
        <w:t>Bosnien och Hercegovina</w:t>
      </w:r>
    </w:p>
    <w:p w:rsidR="00E512CD" w:rsidRPr="00BA7C9E" w:rsidRDefault="00F32CCD" w:rsidP="00122DB4">
      <w:r w:rsidRPr="00BA7C9E">
        <w:t>Samarbetet med de fyra</w:t>
      </w:r>
      <w:r w:rsidRPr="00BA7C9E">
        <w:rPr>
          <w:vertAlign w:val="superscript"/>
        </w:rPr>
        <w:footnoteReference w:id="8"/>
      </w:r>
      <w:r w:rsidRPr="00BA7C9E">
        <w:t xml:space="preserve"> revisionsmyndigheterna i samarbetslandet kommer, enligt det nuvarande avtalet, att pågå till och med december 2012. Under årens lopp har syftet med samarbetet varit att bidra till etablering och utvec</w:t>
      </w:r>
      <w:r w:rsidRPr="00BA7C9E">
        <w:t>k</w:t>
      </w:r>
      <w:r w:rsidRPr="00BA7C9E">
        <w:t>ling av den nyinrättade offentliga revisionen i landet. Sedan 2010 har sama</w:t>
      </w:r>
      <w:r w:rsidRPr="00BA7C9E">
        <w:t>r</w:t>
      </w:r>
      <w:r w:rsidRPr="00BA7C9E">
        <w:t>betet fokuserat på att bidra till att skapa bättre förutsättningar hos revision</w:t>
      </w:r>
      <w:r w:rsidRPr="00BA7C9E">
        <w:t>s</w:t>
      </w:r>
      <w:r w:rsidRPr="00BA7C9E">
        <w:t>myndigheterna att på egen hand kunna leda och utveckla sin effektivitetsrev</w:t>
      </w:r>
      <w:r w:rsidRPr="00BA7C9E">
        <w:t>i</w:t>
      </w:r>
      <w:r w:rsidRPr="00BA7C9E">
        <w:t>sion i enlighet med internationella standarder och nationella mandat. Riksr</w:t>
      </w:r>
      <w:r w:rsidRPr="00BA7C9E">
        <w:t>e</w:t>
      </w:r>
      <w:r w:rsidRPr="00BA7C9E">
        <w:t>visionens insatser bedrivs dels bilateralt med respektive institution, dels sa</w:t>
      </w:r>
      <w:r w:rsidRPr="00BA7C9E">
        <w:t>m</w:t>
      </w:r>
      <w:r w:rsidRPr="00BA7C9E">
        <w:t xml:space="preserve">ordnat för de fyra revisionsmyndigheterna. </w:t>
      </w:r>
    </w:p>
    <w:p w:rsidR="00F32CCD" w:rsidRPr="00BA7C9E" w:rsidRDefault="00F32CCD" w:rsidP="00E512CD">
      <w:pPr>
        <w:pStyle w:val="Normaltindrag"/>
      </w:pPr>
      <w:r w:rsidRPr="00BA7C9E">
        <w:t>Huvuddelen av de förväntade målen och aktiviteterna för 2011 har geno</w:t>
      </w:r>
      <w:r w:rsidRPr="00BA7C9E">
        <w:t>m</w:t>
      </w:r>
      <w:r w:rsidRPr="00BA7C9E">
        <w:t>förts i enlighet m</w:t>
      </w:r>
      <w:r w:rsidR="00681839" w:rsidRPr="00BA7C9E">
        <w:t>ed den årliga aktivitetsplanen.</w:t>
      </w:r>
      <w:r w:rsidRPr="00BA7C9E">
        <w:t xml:space="preserve"> Löpande stöd i revisionsarb</w:t>
      </w:r>
      <w:r w:rsidRPr="00BA7C9E">
        <w:t>e</w:t>
      </w:r>
      <w:r w:rsidRPr="00BA7C9E">
        <w:t>tet till team, operativa chefer och myndighetens ledningar har fortsatt. Därtill har inledande steg tagits för att etablera ett samarbete med företrädare för högre utbildning och forskning. Seminarier för parlamentsledamöter och medier har även genomförts. Aktiviteter för att stärka myndigheternas le</w:t>
      </w:r>
      <w:r w:rsidRPr="00BA7C9E">
        <w:t>d</w:t>
      </w:r>
      <w:r w:rsidRPr="00BA7C9E">
        <w:t>ningskapacitet och interna processer är en del av det utfasningsarbete som inletts inför projektets avslut under 2012. För att säkra resultaten från det mångåriga projektsamarbetet har även samarbetet mellan Riksrevisionen och revisionsmyndigheternas ledningar fördjupats under 2011.</w:t>
      </w:r>
    </w:p>
    <w:p w:rsidR="00F32CCD" w:rsidRPr="00BA7C9E" w:rsidRDefault="00F32CCD" w:rsidP="00F32CCD">
      <w:pPr>
        <w:pStyle w:val="Normaltindrag"/>
      </w:pPr>
    </w:p>
    <w:p w:rsidR="00F32CCD" w:rsidRPr="00BA7C9E" w:rsidRDefault="00F32CCD" w:rsidP="00122DB4">
      <w:pPr>
        <w:pStyle w:val="R6"/>
      </w:pPr>
      <w:r w:rsidRPr="00BA7C9E">
        <w:t>Georgien</w:t>
      </w:r>
    </w:p>
    <w:p w:rsidR="00E512CD" w:rsidRPr="00BA7C9E" w:rsidRDefault="00F32CCD" w:rsidP="00122DB4">
      <w:r w:rsidRPr="00BA7C9E">
        <w:t xml:space="preserve">Samarbetet med Chamber of Control of Georgia (CCG) inleddes 2010 och har fokuserat på att bidra till utveckling av en oberoende revisionsmyndighet med en hållbar kapacitet att bedriva revision av den offentliga verksamheten i enlighet med de nationella och de internationella revisionsstandarderna. Det nuvarande avtalet sträcker sig till sista december 2012. </w:t>
      </w:r>
    </w:p>
    <w:p w:rsidR="00F32CCD" w:rsidRPr="00BA7C9E" w:rsidRDefault="00F32CCD" w:rsidP="00E512CD">
      <w:pPr>
        <w:pStyle w:val="Normaltindrag"/>
      </w:pPr>
      <w:r w:rsidRPr="00BA7C9E">
        <w:t>Samarbetet har under året präglats av en hög aktivitetsnivå. Insatserna har bland annat varit inriktade mot framtagning och införande av en Manual on Quality Control samt ett program som syftar till utbildning och vidareutvec</w:t>
      </w:r>
      <w:r w:rsidRPr="00BA7C9E">
        <w:t>k</w:t>
      </w:r>
      <w:r w:rsidRPr="00BA7C9E">
        <w:t>ling av kompetensen inom finansiell revision enligt internationella standarder. En manual som använts som vägledning vid identifieringen av granskning</w:t>
      </w:r>
      <w:r w:rsidRPr="00BA7C9E">
        <w:t>s</w:t>
      </w:r>
      <w:r w:rsidRPr="00BA7C9E">
        <w:t xml:space="preserve">områden samt planeringen av förstudier inom effektivitetsrevisionen finns som ett resultat av årets arbete. </w:t>
      </w:r>
      <w:r w:rsidR="00FC6D21" w:rsidRPr="00BA7C9E">
        <w:t>I</w:t>
      </w:r>
      <w:r w:rsidR="0036652D" w:rsidRPr="00BA7C9E">
        <w:t>t</w:t>
      </w:r>
      <w:r w:rsidRPr="00BA7C9E">
        <w:t>-strategin har kompletterats med en aktiv</w:t>
      </w:r>
      <w:r w:rsidRPr="00BA7C9E">
        <w:t>i</w:t>
      </w:r>
      <w:r w:rsidRPr="00BA7C9E">
        <w:t>tetsplan som ligger till grund för fortsatt arbete med etablering a</w:t>
      </w:r>
      <w:r w:rsidR="0036652D" w:rsidRPr="00BA7C9E">
        <w:t>v en väl fu</w:t>
      </w:r>
      <w:r w:rsidR="0036652D" w:rsidRPr="00BA7C9E">
        <w:t>n</w:t>
      </w:r>
      <w:r w:rsidR="0036652D" w:rsidRPr="00BA7C9E">
        <w:t>gerande och säker it</w:t>
      </w:r>
      <w:r w:rsidRPr="00BA7C9E">
        <w:t>-organisation och infrastruktur. Erfarenhetsutbyte mellan chefer från Riksrevisionen och CCG i frågor om planering och uppföljning av verksamhet och resurser samt Human Resource Management (HRM) har skett. Vidare har ett tidre</w:t>
      </w:r>
      <w:r w:rsidR="00FC6D21" w:rsidRPr="00BA7C9E">
        <w:t>dovisningssystem utvecklats och</w:t>
      </w:r>
      <w:r w:rsidRPr="00BA7C9E">
        <w:t xml:space="preserve"> ett utkast till en HRM Strategy och en aktivitetsplan har tagits fram. Inom ramen för delpr</w:t>
      </w:r>
      <w:r w:rsidRPr="00BA7C9E">
        <w:t>o</w:t>
      </w:r>
      <w:r w:rsidRPr="00BA7C9E">
        <w:t>jektet om extern och intern kommunikation har frågor till en intressentunde</w:t>
      </w:r>
      <w:r w:rsidRPr="00BA7C9E">
        <w:t>r</w:t>
      </w:r>
      <w:r w:rsidRPr="00BA7C9E">
        <w:t>sökning arbetats fram i syfte att få reda på allmänhetens och de viktigaste intressenternas inställning till CCG.</w:t>
      </w:r>
    </w:p>
    <w:p w:rsidR="00F32CCD" w:rsidRPr="00BA7C9E" w:rsidRDefault="00F32CCD" w:rsidP="00F32CCD">
      <w:pPr>
        <w:pStyle w:val="Normaltindrag"/>
      </w:pPr>
    </w:p>
    <w:p w:rsidR="00F32CCD" w:rsidRPr="00BA7C9E" w:rsidRDefault="00F32CCD" w:rsidP="00122DB4">
      <w:pPr>
        <w:pStyle w:val="R6"/>
      </w:pPr>
      <w:r w:rsidRPr="00BA7C9E">
        <w:t>Kambodja</w:t>
      </w:r>
    </w:p>
    <w:p w:rsidR="00E512CD" w:rsidRPr="00BA7C9E" w:rsidRDefault="00F32CCD" w:rsidP="00122DB4">
      <w:r w:rsidRPr="00BA7C9E">
        <w:t>I augusti 2011 undertecknad</w:t>
      </w:r>
      <w:r w:rsidR="007D29EB" w:rsidRPr="00BA7C9E">
        <w:t>e Riksrevisionen och</w:t>
      </w:r>
      <w:r w:rsidRPr="00BA7C9E">
        <w:t xml:space="preserve"> revisionsmyndigheten i Kambodja (NAA) ett tvåårigt </w:t>
      </w:r>
      <w:r w:rsidR="007D29EB" w:rsidRPr="00BA7C9E">
        <w:t>samarbetsavtal</w:t>
      </w:r>
      <w:r w:rsidRPr="00BA7C9E">
        <w:t>. Samarbetet ska på sikt leda till en hållbar kapacitet hos NAA att planera, genomföra, kvalitetssäkra, rapport</w:t>
      </w:r>
      <w:r w:rsidRPr="00BA7C9E">
        <w:t>e</w:t>
      </w:r>
      <w:r w:rsidRPr="00BA7C9E">
        <w:t>ra, kommunicera och följa upp finansiell revision. Myndighetens högsta le</w:t>
      </w:r>
      <w:r w:rsidRPr="00BA7C9E">
        <w:t>d</w:t>
      </w:r>
      <w:r w:rsidRPr="00BA7C9E">
        <w:t xml:space="preserve">ning har besökt Sverige för att introduceras i Riksrevisionens verksamhet, revisionens roll i samhället och riksdagens hantering av revisionsrapporter. Syftet var att ge ledningen ett underlag till beslut om samarbete. </w:t>
      </w:r>
    </w:p>
    <w:p w:rsidR="00F32CCD" w:rsidRPr="00BA7C9E" w:rsidRDefault="00F32CCD" w:rsidP="00E512CD">
      <w:pPr>
        <w:pStyle w:val="Normaltindrag"/>
      </w:pPr>
      <w:r w:rsidRPr="00BA7C9E">
        <w:t>Arbetet har under året dels fokuserat på att klarlägga förutsättningarna och formerna för ett samarbete, dels att öka medvetenheten om vikten av att pl</w:t>
      </w:r>
      <w:r w:rsidRPr="00BA7C9E">
        <w:t>a</w:t>
      </w:r>
      <w:r w:rsidRPr="00BA7C9E">
        <w:t>nera ett revisionsuppdrag i enlighet med internationella revisionsstandarder. Syftet med aktiviteterna har dessutom varit att gemensamt arbeta fram unde</w:t>
      </w:r>
      <w:r w:rsidRPr="00BA7C9E">
        <w:t>r</w:t>
      </w:r>
      <w:r w:rsidRPr="00BA7C9E">
        <w:t xml:space="preserve">lag till en revisionsmanual anpassad till den kontext som NAA arbetar i.   </w:t>
      </w:r>
    </w:p>
    <w:p w:rsidR="00F32CCD" w:rsidRPr="00BA7C9E" w:rsidRDefault="00F32CCD" w:rsidP="00F32CCD">
      <w:pPr>
        <w:pStyle w:val="Normaltindrag"/>
      </w:pPr>
    </w:p>
    <w:p w:rsidR="00F32CCD" w:rsidRPr="00BA7C9E" w:rsidRDefault="00F32CCD" w:rsidP="00122DB4">
      <w:pPr>
        <w:pStyle w:val="R6"/>
      </w:pPr>
      <w:r w:rsidRPr="00BA7C9E">
        <w:t>Kenya</w:t>
      </w:r>
    </w:p>
    <w:p w:rsidR="00F32CCD" w:rsidRPr="00BA7C9E" w:rsidRDefault="00F32CCD" w:rsidP="00122DB4">
      <w:r w:rsidRPr="00BA7C9E">
        <w:t>Ett tvåårigt samarbetsavtal mellan Riksrevisionen och den kenyanska nati</w:t>
      </w:r>
      <w:r w:rsidRPr="00BA7C9E">
        <w:t>o</w:t>
      </w:r>
      <w:r w:rsidRPr="00BA7C9E">
        <w:t>nella revisionsmyndigheten, Kenya National Audit Office (KENAO), unde</w:t>
      </w:r>
      <w:r w:rsidRPr="00BA7C9E">
        <w:t>r</w:t>
      </w:r>
      <w:r w:rsidRPr="00BA7C9E">
        <w:t>tecknades i oktober. Samarbetet omfattar, förutom finansiell revision och effektivitetsrevision, stöd inom flera andra områden som lednings-, HR- och kommunikationsfrågor samt den aktuella revisionslagen och övriga lagar som kan inverka på KENAO:s möjligheter att verka inom sitt mandat. Samarbetets första fas kommer att pågå till utgången av år 2013.</w:t>
      </w:r>
    </w:p>
    <w:p w:rsidR="00F32CCD" w:rsidRPr="00BA7C9E" w:rsidRDefault="00F32CCD" w:rsidP="00F32CCD">
      <w:pPr>
        <w:pStyle w:val="Normaltindrag"/>
      </w:pPr>
    </w:p>
    <w:p w:rsidR="00F32CCD" w:rsidRPr="00BA7C9E" w:rsidRDefault="00F32CCD" w:rsidP="00122DB4">
      <w:pPr>
        <w:pStyle w:val="R6"/>
      </w:pPr>
      <w:r w:rsidRPr="00BA7C9E">
        <w:t xml:space="preserve">Kosovo </w:t>
      </w:r>
    </w:p>
    <w:p w:rsidR="00E512CD" w:rsidRPr="00BA7C9E" w:rsidRDefault="00F32CCD" w:rsidP="00122DB4">
      <w:r w:rsidRPr="00BA7C9E">
        <w:t>Riksrevisionen har under året inlett ett samarbete med Kosovos revision</w:t>
      </w:r>
      <w:r w:rsidRPr="00BA7C9E">
        <w:t>s</w:t>
      </w:r>
      <w:r w:rsidRPr="00BA7C9E">
        <w:t>myndighet</w:t>
      </w:r>
      <w:r w:rsidR="00FB0E3C" w:rsidRPr="00BA7C9E">
        <w:t>, Office of the Auditor General</w:t>
      </w:r>
      <w:r w:rsidRPr="00BA7C9E">
        <w:t>. I september slöt parterna ett tv</w:t>
      </w:r>
      <w:r w:rsidRPr="00BA7C9E">
        <w:t>å</w:t>
      </w:r>
      <w:r w:rsidRPr="00BA7C9E">
        <w:t>årigt samarbetsavtal som omfattar tre delprojekt: effektivitetsrevision, fina</w:t>
      </w:r>
      <w:r w:rsidRPr="00BA7C9E">
        <w:t>n</w:t>
      </w:r>
      <w:r w:rsidRPr="00BA7C9E">
        <w:t xml:space="preserve">siell revision och organisatoriskt ledarskap. </w:t>
      </w:r>
    </w:p>
    <w:p w:rsidR="00F32CCD" w:rsidRPr="00BA7C9E" w:rsidRDefault="00F32CCD" w:rsidP="00E512CD">
      <w:pPr>
        <w:pStyle w:val="Normaltindrag"/>
      </w:pPr>
      <w:r w:rsidRPr="00BA7C9E">
        <w:t>Under året har korttidsinsatser inom områdena effektivitetsrevision och administrativa processer genomförts. Inom det sistnämnda området bistod Riksrevisionens experter med att utforma och implementera ett system för myndighetens tidredovisning. Riksrevisionens insatser har hittills främst inriktats mot att stödja chefer och projektgrupper med att införa moderna arbetsmetoder och att höja kvaliteten i revisionsrapporter. Därtill har insatser påbörjats för att utveckla institutionella processer inom bland annat komp</w:t>
      </w:r>
      <w:r w:rsidRPr="00BA7C9E">
        <w:t>e</w:t>
      </w:r>
      <w:r w:rsidRPr="00BA7C9E">
        <w:t xml:space="preserve">tensförsörjning och kommunikation. </w:t>
      </w:r>
    </w:p>
    <w:p w:rsidR="00F32CCD" w:rsidRPr="00BA7C9E" w:rsidRDefault="00F32CCD" w:rsidP="00F32CCD">
      <w:pPr>
        <w:pStyle w:val="Normaltindrag"/>
      </w:pPr>
    </w:p>
    <w:p w:rsidR="00F32CCD" w:rsidRPr="00BA7C9E" w:rsidRDefault="00F32CCD" w:rsidP="00122DB4">
      <w:pPr>
        <w:pStyle w:val="R6"/>
      </w:pPr>
      <w:r w:rsidRPr="00BA7C9E">
        <w:t>Moldavien</w:t>
      </w:r>
    </w:p>
    <w:p w:rsidR="00E512CD" w:rsidRPr="00BA7C9E" w:rsidRDefault="00F32CCD" w:rsidP="00122DB4">
      <w:r w:rsidRPr="00BA7C9E">
        <w:t>Det institutionella utvecklingssamarbetet med den nationella revisionsmy</w:t>
      </w:r>
      <w:r w:rsidRPr="00BA7C9E">
        <w:t>n</w:t>
      </w:r>
      <w:r w:rsidRPr="00BA7C9E">
        <w:t>digheten CoA</w:t>
      </w:r>
      <w:r w:rsidRPr="00BA7C9E">
        <w:rPr>
          <w:i/>
        </w:rPr>
        <w:t xml:space="preserve"> </w:t>
      </w:r>
      <w:r w:rsidRPr="00BA7C9E">
        <w:t>har pågått sedan 2007 och har syftat till att skapa institutionella förutsättningar för att bedriva modern revision enligt de internationella rev</w:t>
      </w:r>
      <w:r w:rsidRPr="00BA7C9E">
        <w:t>i</w:t>
      </w:r>
      <w:r w:rsidRPr="00BA7C9E">
        <w:t xml:space="preserve">sionsstandarderna. Det nuvarande samarbetsavtalet går ut i december 2012. </w:t>
      </w:r>
    </w:p>
    <w:p w:rsidR="00F32CCD" w:rsidRPr="00BA7C9E" w:rsidRDefault="00F32CCD" w:rsidP="00E512CD">
      <w:pPr>
        <w:pStyle w:val="Normaltindrag"/>
      </w:pPr>
      <w:r w:rsidRPr="00BA7C9E">
        <w:t>Under 2011 fortsatte arbetet enligt den projektplan som tagits fram för 2010 – 2012. På grund av politis</w:t>
      </w:r>
      <w:r w:rsidR="0090046C" w:rsidRPr="00BA7C9E">
        <w:t xml:space="preserve">ka oroligheter har </w:t>
      </w:r>
      <w:r w:rsidR="00B810C2" w:rsidRPr="00BA7C9E">
        <w:t>CoA</w:t>
      </w:r>
      <w:r w:rsidRPr="00BA7C9E">
        <w:t xml:space="preserve"> inte haft någon pe</w:t>
      </w:r>
      <w:r w:rsidRPr="00BA7C9E">
        <w:t>r</w:t>
      </w:r>
      <w:r w:rsidRPr="00BA7C9E">
        <w:t>manent styrelse utsedd förrän i mitten av juli och därför har delar av arbetet i projektet skjutits upp. Stödet har framför allt inriktats på att utveckla den finansiella revisionen vid CoA så att den genomförs i enlighet med intern</w:t>
      </w:r>
      <w:r w:rsidRPr="00BA7C9E">
        <w:t>a</w:t>
      </w:r>
      <w:r w:rsidRPr="00BA7C9E">
        <w:t>tionella standarder.</w:t>
      </w:r>
    </w:p>
    <w:p w:rsidR="00F32CCD" w:rsidRPr="00BA7C9E" w:rsidRDefault="00F32CCD" w:rsidP="00F32CCD">
      <w:pPr>
        <w:pStyle w:val="Normaltindrag"/>
      </w:pPr>
    </w:p>
    <w:p w:rsidR="00F32CCD" w:rsidRPr="00BA7C9E" w:rsidRDefault="00F32CCD" w:rsidP="00122DB4">
      <w:pPr>
        <w:pStyle w:val="R6"/>
      </w:pPr>
      <w:r w:rsidRPr="00BA7C9E">
        <w:t>Tanzania</w:t>
      </w:r>
    </w:p>
    <w:p w:rsidR="00E512CD" w:rsidRPr="00BA7C9E" w:rsidRDefault="00F32CCD" w:rsidP="00122DB4">
      <w:r w:rsidRPr="00BA7C9E">
        <w:t>Samarbetet med den nationella revisionsmy</w:t>
      </w:r>
      <w:r w:rsidR="00087F13" w:rsidRPr="00BA7C9E">
        <w:t xml:space="preserve">ndigheten </w:t>
      </w:r>
      <w:r w:rsidRPr="00BA7C9E">
        <w:t>National Audit Of</w:t>
      </w:r>
      <w:r w:rsidR="00087F13" w:rsidRPr="00BA7C9E">
        <w:t>fice of Tanzania (</w:t>
      </w:r>
      <w:r w:rsidRPr="00BA7C9E">
        <w:t>NAOT</w:t>
      </w:r>
      <w:r w:rsidR="00087F13" w:rsidRPr="00BA7C9E">
        <w:t xml:space="preserve">) har pågått sedan 2004 och </w:t>
      </w:r>
      <w:r w:rsidRPr="00BA7C9E">
        <w:t>syfta</w:t>
      </w:r>
      <w:r w:rsidR="00087F13" w:rsidRPr="00BA7C9E">
        <w:t>r</w:t>
      </w:r>
      <w:r w:rsidRPr="00BA7C9E">
        <w:t xml:space="preserve"> till att stärka det nati</w:t>
      </w:r>
      <w:r w:rsidRPr="00BA7C9E">
        <w:t>o</w:t>
      </w:r>
      <w:r w:rsidRPr="00BA7C9E">
        <w:t xml:space="preserve">nella revisionsorganets förmåga att bedriva revision. Det nuvarande avtalet går ut i juni 2012. </w:t>
      </w:r>
    </w:p>
    <w:p w:rsidR="00F32CCD" w:rsidRPr="00BA7C9E" w:rsidRDefault="00F32CCD" w:rsidP="00E512CD">
      <w:pPr>
        <w:pStyle w:val="Normaltindrag"/>
      </w:pPr>
      <w:r w:rsidRPr="00BA7C9E">
        <w:t>Under året har samarbetet med NAOT inneburit fortsatt arbete med att s</w:t>
      </w:r>
      <w:r w:rsidRPr="00BA7C9E">
        <w:t>ä</w:t>
      </w:r>
      <w:r w:rsidRPr="00BA7C9E">
        <w:t>kerställa tillämpningen av den nya revisionsmetodiken. Särskilda utbildning</w:t>
      </w:r>
      <w:r w:rsidRPr="00BA7C9E">
        <w:t>s</w:t>
      </w:r>
      <w:r w:rsidRPr="00BA7C9E">
        <w:t>insatser har genomförts för att öka förståelsen inom olika grupper och regi</w:t>
      </w:r>
      <w:r w:rsidRPr="00BA7C9E">
        <w:t>o</w:t>
      </w:r>
      <w:r w:rsidRPr="00BA7C9E">
        <w:t>ner. Den nya revisionsmanualen har uppdaterats och införts i en ny version av ett elektroniskt dokumentationsverktyg. Användningen a</w:t>
      </w:r>
      <w:r w:rsidR="00087F13" w:rsidRPr="00BA7C9E">
        <w:t>v elektroniska d</w:t>
      </w:r>
      <w:r w:rsidR="00087F13" w:rsidRPr="00BA7C9E">
        <w:t>o</w:t>
      </w:r>
      <w:r w:rsidR="00087F13" w:rsidRPr="00BA7C9E">
        <w:t xml:space="preserve">kument i det </w:t>
      </w:r>
      <w:r w:rsidR="0036652D" w:rsidRPr="00BA7C9E">
        <w:t>it</w:t>
      </w:r>
      <w:r w:rsidRPr="00BA7C9E">
        <w:t xml:space="preserve">-baserade revisionsverktyget har fortsatt att öka i enlighet med den fyraåriga plan som finns för successivt genomförande. Utbildning </w:t>
      </w:r>
      <w:r w:rsidR="00087F13" w:rsidRPr="00BA7C9E">
        <w:t xml:space="preserve">i </w:t>
      </w:r>
      <w:r w:rsidR="0036652D" w:rsidRPr="00BA7C9E">
        <w:t>it</w:t>
      </w:r>
      <w:r w:rsidRPr="00BA7C9E">
        <w:t>-revision har genomförts enligt plan. Inom effektivitetsrevisionen har två nya granskningar inom väg- och hälsosektorn publicerats. Den senare om mödra- och spädbarnsdödlighet vann Riksrevisionens pris för bästa effektivitetsra</w:t>
      </w:r>
      <w:r w:rsidRPr="00BA7C9E">
        <w:t>p</w:t>
      </w:r>
      <w:r w:rsidRPr="00BA7C9E">
        <w:t>port. Rapporterna har rönt stor uppmärksamhet i parlamentets revisionsko</w:t>
      </w:r>
      <w:r w:rsidRPr="00BA7C9E">
        <w:t>m</w:t>
      </w:r>
      <w:r w:rsidRPr="00BA7C9E">
        <w:t>mittéer och i medier. Tre nya effektivitetsstudier om vattendistribution, trafi</w:t>
      </w:r>
      <w:r w:rsidRPr="00BA7C9E">
        <w:t>k</w:t>
      </w:r>
      <w:r w:rsidRPr="00BA7C9E">
        <w:t>säkerhet och skatteuppbörd inom di</w:t>
      </w:r>
      <w:r w:rsidR="00087F13" w:rsidRPr="00BA7C9E">
        <w:t xml:space="preserve">strikten pågår. Uppbyggnad av </w:t>
      </w:r>
      <w:r w:rsidR="0036652D" w:rsidRPr="00BA7C9E">
        <w:t>it</w:t>
      </w:r>
      <w:r w:rsidRPr="00BA7C9E">
        <w:t>-funktionen inom NAOT har fortsatt genom utbildning. Förberedelser för att etab</w:t>
      </w:r>
      <w:r w:rsidR="00087F13" w:rsidRPr="00BA7C9E">
        <w:t>lera ett Wide Area Network</w:t>
      </w:r>
      <w:r w:rsidRPr="00BA7C9E">
        <w:t xml:space="preserve"> för att knyta samman huvudkontoret med tjugo lokalkontor avslutades och införandet har påbörjats.</w:t>
      </w:r>
    </w:p>
    <w:p w:rsidR="00F32CCD" w:rsidRPr="00BA7C9E" w:rsidRDefault="00F32CCD" w:rsidP="00F32CCD">
      <w:pPr>
        <w:pStyle w:val="Normaltindrag"/>
      </w:pPr>
    </w:p>
    <w:p w:rsidR="00F32CCD" w:rsidRPr="00BA7C9E" w:rsidRDefault="00F32CCD" w:rsidP="00122DB4">
      <w:pPr>
        <w:pStyle w:val="R6"/>
      </w:pPr>
      <w:r w:rsidRPr="00BA7C9E">
        <w:t>Övriga projekt</w:t>
      </w:r>
    </w:p>
    <w:p w:rsidR="00F32CCD" w:rsidRPr="00BA7C9E" w:rsidRDefault="00F32CCD" w:rsidP="00122DB4">
      <w:r w:rsidRPr="00BA7C9E">
        <w:t>Under året har samarbetet med Liberia och Zanzibar (självstyrande region i Tanzania) avslutats som ett resultat av tidigare identifierade svårigheter. Externa utvärderingar av dessa båda projekt har genomförts. Utvärderingen av projektet i Liberia visade på svårigheter att utvärdera måluppfyllelse</w:t>
      </w:r>
      <w:r w:rsidR="00E512CD" w:rsidRPr="00BA7C9E">
        <w:t>n</w:t>
      </w:r>
      <w:r w:rsidRPr="00BA7C9E">
        <w:t xml:space="preserve"> med de oklara planeringsförutsättningar som fanns då projektet inleddes. När det gäller Zanzibar visar utvärderingsrapporten att det har funnits brister </w:t>
      </w:r>
      <w:r w:rsidR="0098533F" w:rsidRPr="00BA7C9E">
        <w:t xml:space="preserve">både </w:t>
      </w:r>
      <w:r w:rsidRPr="00BA7C9E">
        <w:t xml:space="preserve">i förmågan och </w:t>
      </w:r>
      <w:r w:rsidR="0098533F" w:rsidRPr="00BA7C9E">
        <w:t xml:space="preserve">i </w:t>
      </w:r>
      <w:r w:rsidRPr="00BA7C9E">
        <w:t xml:space="preserve">engagemanget att ta emot stöd för att utvecklas till en modern revisionsmyndighet. Samarbetet med the Accounting Chamber of Ukraine (ACU) har fortsatt varit vilande beroende på meningsskiljaktigheter inom ACU i fråga om införande av en modern finansiell revision. I ovan nämnda projekt ligger svårigheterna i första hand utanför Riksrevisionens kontroll. </w:t>
      </w:r>
    </w:p>
    <w:p w:rsidR="00F32CCD" w:rsidRPr="00BA7C9E" w:rsidRDefault="00F32CCD" w:rsidP="00F32CCD">
      <w:pPr>
        <w:pStyle w:val="Normaltindrag"/>
      </w:pPr>
      <w:r w:rsidRPr="00BA7C9E">
        <w:t>Under året har insatser gjorts för att förnya och utöka projektportföljen. Löpande informationsutbyte med Utrikesdepartementet och Sida har ägt rum om pågående projekt och om nya tilltänkta samarbetspartners. Arbetet med att undersöka förutsättningarna för samarbete med de nationella revisionsorg</w:t>
      </w:r>
      <w:r w:rsidRPr="00BA7C9E">
        <w:t>a</w:t>
      </w:r>
      <w:r w:rsidRPr="00BA7C9E">
        <w:t xml:space="preserve">nen i Kenya, Kosovo och Kambodja har, som ovan nämnts, resulterat i tre nya samarbetsprojekt. Arbetet med att undersöka förutsättningarna för samarbete med de nationella revisionsorganen i Bolivia, Uganda och Mali befinner sig i en första fas vid utgången av 2011. </w:t>
      </w:r>
    </w:p>
    <w:p w:rsidR="00F32CCD" w:rsidRPr="00BA7C9E" w:rsidRDefault="00F32CCD" w:rsidP="00F32CCD">
      <w:pPr>
        <w:pStyle w:val="Normaltindrag"/>
      </w:pPr>
      <w:r w:rsidRPr="00BA7C9E">
        <w:t>Under juni månad ordnade Riksrevisionen, i egenskap av samarbetspartner inom utvecklingssamarbetet, ett seminarium i Tallinn tillsammans med den estniska revisionsmyndigheten o</w:t>
      </w:r>
      <w:r w:rsidR="00AF7AB1" w:rsidRPr="00BA7C9E">
        <w:t>m införande av nya ISSAI</w:t>
      </w:r>
      <w:r w:rsidRPr="00BA7C9E">
        <w:t xml:space="preserve"> för Financial audit och Compliance audit. Deltagare var nationella revisionsmyndigheter i Öste</w:t>
      </w:r>
      <w:r w:rsidRPr="00BA7C9E">
        <w:t>u</w:t>
      </w:r>
      <w:r w:rsidRPr="00BA7C9E">
        <w:t>ropa.</w:t>
      </w:r>
    </w:p>
    <w:p w:rsidR="00122DB4" w:rsidRPr="00BA7C9E" w:rsidRDefault="00122DB4" w:rsidP="00F32CCD">
      <w:pPr>
        <w:pStyle w:val="Normaltindrag"/>
      </w:pPr>
    </w:p>
    <w:p w:rsidR="00F32CCD" w:rsidRPr="00BA7C9E" w:rsidRDefault="00F32CCD" w:rsidP="00122DB4">
      <w:pPr>
        <w:pStyle w:val="R6"/>
      </w:pPr>
      <w:r w:rsidRPr="00BA7C9E">
        <w:t xml:space="preserve">Kvalitetssäkring </w:t>
      </w:r>
    </w:p>
    <w:p w:rsidR="00F32CCD" w:rsidRPr="00BA7C9E" w:rsidRDefault="00F32CCD" w:rsidP="00122DB4">
      <w:r w:rsidRPr="00BA7C9E">
        <w:t xml:space="preserve">Under året har det pågående arbetet med metod- och kvalitetsutveckling fortsatt. Ett steg mot ökad harmonisering av projektverksamheten är bland annat framtagandet av en vägledning för internationellt utvecklingssamarbete (VIS). VIS:en </w:t>
      </w:r>
      <w:r w:rsidR="00E512CD" w:rsidRPr="00BA7C9E">
        <w:t>har under året vidareutvecklats</w:t>
      </w:r>
      <w:r w:rsidRPr="00BA7C9E">
        <w:t xml:space="preserve"> och i augusti fattades beslut om en ny version som bland annat reglerar hur projekten ska planeras, genomf</w:t>
      </w:r>
      <w:r w:rsidRPr="00BA7C9E">
        <w:t>ö</w:t>
      </w:r>
      <w:r w:rsidRPr="00BA7C9E">
        <w:t xml:space="preserve">ras, redovisas och följas upp.  </w:t>
      </w:r>
    </w:p>
    <w:p w:rsidR="00F32CCD" w:rsidRPr="00BA7C9E" w:rsidRDefault="00F32CCD" w:rsidP="00F32CCD">
      <w:pPr>
        <w:pStyle w:val="Normaltindrag"/>
      </w:pPr>
      <w:r w:rsidRPr="00BA7C9E">
        <w:t>Utveckling av strategier och principer för de områden som normalt omfa</w:t>
      </w:r>
      <w:r w:rsidRPr="00BA7C9E">
        <w:t>t</w:t>
      </w:r>
      <w:r w:rsidRPr="00BA7C9E">
        <w:t>tas av det stöd som Riksrevisionen ger till samarbetspartner fortsatte under året. Det handlar bland annat om att utforma dokument som ett stöd i det löpande arbetet och om att anordna nätverksträffar där diskussioner förs kring metoder, principer och erfarenheter i arbetet med att utveckla revision i sa</w:t>
      </w:r>
      <w:r w:rsidRPr="00BA7C9E">
        <w:t>m</w:t>
      </w:r>
      <w:r w:rsidRPr="00BA7C9E">
        <w:t>arbetsprojekten. Nätverksträffarna är ett viktigt inslag för att uppnå enhetli</w:t>
      </w:r>
      <w:r w:rsidRPr="00BA7C9E">
        <w:t>g</w:t>
      </w:r>
      <w:r w:rsidRPr="00BA7C9E">
        <w:t>het i arbetet, stärka medarbetarnas kompetens och skapa förutsättningar för god kvalitet i projekten.</w:t>
      </w:r>
    </w:p>
    <w:p w:rsidR="00F32CCD" w:rsidRPr="00BA7C9E" w:rsidRDefault="00F32CCD" w:rsidP="00A362FB">
      <w:pPr>
        <w:pStyle w:val="R4"/>
        <w:pageBreakBefore/>
        <w:spacing w:before="0" w:line="240" w:lineRule="exact"/>
      </w:pPr>
      <w:r w:rsidRPr="00BA7C9E">
        <w:t xml:space="preserve">Kostnader </w:t>
      </w:r>
      <w:r w:rsidR="001E4B67" w:rsidRPr="00BA7C9E">
        <w:t>för internationellt utvecklingssamarbete</w:t>
      </w:r>
    </w:p>
    <w:p w:rsidR="00A44DAF" w:rsidRPr="00BA7C9E" w:rsidRDefault="00F32CCD" w:rsidP="00483CF8">
      <w:pPr>
        <w:pStyle w:val="Tabellrubrik"/>
        <w:ind w:left="851" w:hanging="851"/>
      </w:pPr>
      <w:r w:rsidRPr="00BA7C9E">
        <w:t>Tabell 12 Kostnader</w:t>
      </w:r>
      <w:r w:rsidRPr="00BA7C9E">
        <w:rPr>
          <w:vertAlign w:val="superscript"/>
        </w:rPr>
        <w:footnoteReference w:id="9"/>
      </w:r>
      <w:r w:rsidRPr="00BA7C9E">
        <w:t xml:space="preserve"> för det internationella utvecklingssamarb</w:t>
      </w:r>
      <w:r w:rsidRPr="00BA7C9E">
        <w:t>e</w:t>
      </w:r>
      <w:r w:rsidRPr="00BA7C9E">
        <w:t>tet 2009</w:t>
      </w:r>
      <w:r w:rsidR="00E3235F" w:rsidRPr="00BA7C9E">
        <w:t xml:space="preserve"> </w:t>
      </w:r>
      <w:r w:rsidRPr="00BA7C9E">
        <w:t>–</w:t>
      </w:r>
      <w:r w:rsidR="00E3235F" w:rsidRPr="00BA7C9E">
        <w:t xml:space="preserve"> </w:t>
      </w:r>
      <w:r w:rsidRPr="00BA7C9E">
        <w:t xml:space="preserve">2011 (tkr) samt uppgifter om när den nuvarande projektfasen avslutas </w:t>
      </w:r>
    </w:p>
    <w:p w:rsidR="00F32CCD" w:rsidRPr="00BA7C9E" w:rsidRDefault="00BA7C9E" w:rsidP="00F34DE6">
      <w:pPr>
        <w:pStyle w:val="Normaltindrag"/>
        <w:ind w:firstLine="0"/>
      </w:pPr>
      <w:r w:rsidRPr="00BA7C9E">
        <w:rPr>
          <w:noProof/>
        </w:rPr>
        <w:drawing>
          <wp:inline distT="0" distB="0" distL="0" distR="0">
            <wp:extent cx="3238500" cy="15836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0" cy="1583690"/>
                    </a:xfrm>
                    <a:prstGeom prst="rect">
                      <a:avLst/>
                    </a:prstGeom>
                    <a:noFill/>
                    <a:ln>
                      <a:noFill/>
                    </a:ln>
                  </pic:spPr>
                </pic:pic>
              </a:graphicData>
            </a:graphic>
          </wp:inline>
        </w:drawing>
      </w:r>
    </w:p>
    <w:p w:rsidR="00A44DAF" w:rsidRPr="00BA7C9E" w:rsidRDefault="00A44DAF" w:rsidP="00D75012">
      <w:pPr>
        <w:pStyle w:val="Tabelltext"/>
        <w:spacing w:line="140" w:lineRule="exact"/>
      </w:pPr>
    </w:p>
    <w:p w:rsidR="00117FA7" w:rsidRPr="00BA7C9E" w:rsidRDefault="00F32CCD" w:rsidP="00F84CA3">
      <w:pPr>
        <w:pStyle w:val="Tabellrubrik"/>
        <w:spacing w:before="160"/>
        <w:ind w:left="851" w:hanging="851"/>
      </w:pPr>
      <w:r w:rsidRPr="00BA7C9E">
        <w:t>Tabell 13 Redovisade timmar FÖR internationellt utvecklingssam</w:t>
      </w:r>
      <w:r w:rsidR="000831AC" w:rsidRPr="00BA7C9E">
        <w:t xml:space="preserve"> arbete 2009</w:t>
      </w:r>
      <w:r w:rsidR="00175FB3" w:rsidRPr="00BA7C9E">
        <w:t xml:space="preserve"> </w:t>
      </w:r>
      <w:r w:rsidR="000831AC" w:rsidRPr="00BA7C9E">
        <w:t>–</w:t>
      </w:r>
      <w:r w:rsidR="00175FB3" w:rsidRPr="00BA7C9E">
        <w:t xml:space="preserve"> </w:t>
      </w:r>
      <w:r w:rsidR="00117FA7" w:rsidRPr="00BA7C9E">
        <w:t>2011</w:t>
      </w:r>
    </w:p>
    <w:p w:rsidR="00F34DE6" w:rsidRPr="00BA7C9E" w:rsidRDefault="00BA7C9E" w:rsidP="00B12B7A">
      <w:pPr>
        <w:pStyle w:val="Tabellrubrik"/>
        <w:spacing w:before="0"/>
        <w:ind w:left="851" w:hanging="851"/>
      </w:pPr>
      <w:r w:rsidRPr="00BA7C9E">
        <w:rPr>
          <w:noProof/>
        </w:rPr>
        <w:drawing>
          <wp:inline distT="0" distB="0" distL="0" distR="0">
            <wp:extent cx="2580005" cy="2940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80005" cy="294005"/>
                    </a:xfrm>
                    <a:prstGeom prst="rect">
                      <a:avLst/>
                    </a:prstGeom>
                    <a:noFill/>
                    <a:ln>
                      <a:noFill/>
                    </a:ln>
                  </pic:spPr>
                </pic:pic>
              </a:graphicData>
            </a:graphic>
          </wp:inline>
        </w:drawing>
      </w:r>
    </w:p>
    <w:p w:rsidR="00C01FE5" w:rsidRPr="00BA7C9E" w:rsidRDefault="00C01FE5" w:rsidP="004550CA">
      <w:pPr>
        <w:spacing w:before="0" w:line="240" w:lineRule="atLeast"/>
      </w:pPr>
    </w:p>
    <w:p w:rsidR="00C01FE5" w:rsidRPr="00BA7C9E" w:rsidRDefault="00C01FE5" w:rsidP="00C01FE5">
      <w:r w:rsidRPr="00BA7C9E">
        <w:t>Såväl kostnader som redovisade timmar inom det internationella utveckling</w:t>
      </w:r>
      <w:r w:rsidRPr="00BA7C9E">
        <w:t>s</w:t>
      </w:r>
      <w:r w:rsidRPr="00BA7C9E">
        <w:t>samarbetet är högre jämfört med föregående år. Det högre utfallet är ett resu</w:t>
      </w:r>
      <w:r w:rsidRPr="00BA7C9E">
        <w:t>l</w:t>
      </w:r>
      <w:r w:rsidRPr="00BA7C9E">
        <w:t>tat av en ökad aktivitetsnivå i verksamheten.</w:t>
      </w:r>
    </w:p>
    <w:p w:rsidR="00C01FE5" w:rsidRPr="00BA7C9E" w:rsidRDefault="00C01FE5" w:rsidP="00C01FE5">
      <w:pPr>
        <w:pStyle w:val="Tabelltext"/>
        <w:rPr>
          <w:spacing w:val="8"/>
          <w:sz w:val="14"/>
        </w:rPr>
      </w:pPr>
    </w:p>
    <w:p w:rsidR="00F32CCD" w:rsidRPr="00BA7C9E" w:rsidRDefault="00F32CCD" w:rsidP="004550CA">
      <w:pPr>
        <w:pStyle w:val="R4"/>
        <w:spacing w:before="200"/>
      </w:pPr>
      <w:r w:rsidRPr="00BA7C9E">
        <w:t>Gemensamma kostnader i utvecklingssamarbetet</w:t>
      </w:r>
    </w:p>
    <w:p w:rsidR="00752818" w:rsidRPr="00BA7C9E" w:rsidRDefault="00752818" w:rsidP="00752818">
      <w:r w:rsidRPr="00BA7C9E">
        <w:t>Det internationella utvecklingssamarbetet bär gemensamma kostnader enligt samma modell</w:t>
      </w:r>
      <w:r w:rsidRPr="00BA7C9E">
        <w:rPr>
          <w:rStyle w:val="Fotnotsreferens"/>
        </w:rPr>
        <w:footnoteReference w:id="10"/>
      </w:r>
      <w:r w:rsidRPr="00BA7C9E">
        <w:t xml:space="preserve"> som Riksrevisionen i övrigt för att uppnå en ändamålsenlig</w:t>
      </w:r>
      <w:r w:rsidR="00C01FE5" w:rsidRPr="00BA7C9E">
        <w:t xml:space="preserve"> fördelning av myndighetsgemensamma kostnader. </w:t>
      </w:r>
    </w:p>
    <w:p w:rsidR="00C01FE5" w:rsidRPr="00BA7C9E" w:rsidRDefault="00C01FE5" w:rsidP="00C01FE5">
      <w:pPr>
        <w:pStyle w:val="Normaltindrag"/>
      </w:pPr>
      <w:r w:rsidRPr="00BA7C9E">
        <w:t>De gemensamma kostnaderna inom utvecklingssamarbetet består av my</w:t>
      </w:r>
      <w:r w:rsidRPr="00BA7C9E">
        <w:t>n</w:t>
      </w:r>
      <w:r w:rsidRPr="00BA7C9E">
        <w:t>dighetsgemensamma och enhetsgemensamma kostnader samt indirekta kos</w:t>
      </w:r>
      <w:r w:rsidRPr="00BA7C9E">
        <w:t>t</w:t>
      </w:r>
      <w:r w:rsidRPr="00BA7C9E">
        <w:t xml:space="preserve">nader för inlånad personal. </w:t>
      </w:r>
    </w:p>
    <w:p w:rsidR="000831AC" w:rsidRPr="00BA7C9E" w:rsidRDefault="00F32CCD" w:rsidP="004550CA">
      <w:pPr>
        <w:pStyle w:val="Tabellrubrik"/>
        <w:spacing w:before="200"/>
        <w:ind w:left="851" w:hanging="851"/>
      </w:pPr>
      <w:r w:rsidRPr="00BA7C9E">
        <w:t>Tabell 14 De Gemensamma Kostnadernas del av anslagsbelastningen för internationellt utvecklingssamarbete 2009</w:t>
      </w:r>
      <w:r w:rsidR="00E3235F" w:rsidRPr="00BA7C9E">
        <w:t xml:space="preserve"> </w:t>
      </w:r>
      <w:r w:rsidRPr="00BA7C9E">
        <w:t>–</w:t>
      </w:r>
      <w:r w:rsidR="00E3235F" w:rsidRPr="00BA7C9E">
        <w:t xml:space="preserve"> </w:t>
      </w:r>
      <w:r w:rsidRPr="00BA7C9E">
        <w:t xml:space="preserve">2011 (tkr) </w:t>
      </w:r>
    </w:p>
    <w:p w:rsidR="00F32CCD" w:rsidRPr="00BA7C9E" w:rsidRDefault="00BA7C9E" w:rsidP="00F34DE6">
      <w:pPr>
        <w:pStyle w:val="Normaltindrag"/>
        <w:ind w:firstLine="0"/>
      </w:pPr>
      <w:r w:rsidRPr="00BA7C9E">
        <w:rPr>
          <w:noProof/>
        </w:rPr>
        <w:drawing>
          <wp:inline distT="0" distB="0" distL="0" distR="0">
            <wp:extent cx="3374390" cy="6261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74390" cy="626110"/>
                    </a:xfrm>
                    <a:prstGeom prst="rect">
                      <a:avLst/>
                    </a:prstGeom>
                    <a:noFill/>
                    <a:ln>
                      <a:noFill/>
                    </a:ln>
                  </pic:spPr>
                </pic:pic>
              </a:graphicData>
            </a:graphic>
          </wp:inline>
        </w:drawing>
      </w:r>
    </w:p>
    <w:p w:rsidR="00F32CCD" w:rsidRPr="00BA7C9E" w:rsidRDefault="00F32CCD" w:rsidP="004550CA">
      <w:pPr>
        <w:pStyle w:val="Normaltindrag"/>
        <w:spacing w:line="180" w:lineRule="atLeast"/>
      </w:pPr>
    </w:p>
    <w:p w:rsidR="0018439F" w:rsidRPr="00BA7C9E" w:rsidRDefault="00F32CCD" w:rsidP="00E512CD">
      <w:r w:rsidRPr="00BA7C9E">
        <w:t>De gemensamma kostnadernas andel av anslagsbelastningen ligger kvar på samma nivå som föregående år.</w:t>
      </w:r>
    </w:p>
    <w:p w:rsidR="00F32CCD" w:rsidRPr="00BA7C9E" w:rsidRDefault="00F32CCD" w:rsidP="004A2A16">
      <w:pPr>
        <w:pStyle w:val="Rubrik2"/>
        <w:spacing w:before="0"/>
      </w:pPr>
      <w:r w:rsidRPr="00BA7C9E">
        <w:br w:type="page"/>
      </w:r>
      <w:bookmarkStart w:id="60" w:name="_Toc311187637"/>
      <w:bookmarkStart w:id="61" w:name="_Toc315253448"/>
      <w:bookmarkStart w:id="62" w:name="_Toc318101634"/>
      <w:r w:rsidRPr="00BA7C9E">
        <w:t>Omvärldsriktad verksamhet</w:t>
      </w:r>
      <w:bookmarkEnd w:id="60"/>
      <w:bookmarkEnd w:id="61"/>
      <w:bookmarkEnd w:id="62"/>
    </w:p>
    <w:p w:rsidR="00F32CCD" w:rsidRPr="00BA7C9E" w:rsidRDefault="00F32CCD" w:rsidP="00122DB4">
      <w:pPr>
        <w:pStyle w:val="Rubrik3"/>
        <w:rPr>
          <w:noProof w:val="0"/>
        </w:rPr>
      </w:pPr>
      <w:bookmarkStart w:id="63" w:name="_Toc284579687"/>
      <w:bookmarkStart w:id="64" w:name="_Toc311187638"/>
      <w:bookmarkStart w:id="65" w:name="_Toc315253449"/>
      <w:bookmarkStart w:id="66" w:name="_Toc318101635"/>
      <w:r w:rsidRPr="00BA7C9E">
        <w:rPr>
          <w:noProof w:val="0"/>
        </w:rPr>
        <w:t>Mål</w:t>
      </w:r>
      <w:bookmarkEnd w:id="63"/>
      <w:bookmarkEnd w:id="64"/>
      <w:bookmarkEnd w:id="65"/>
      <w:bookmarkEnd w:id="66"/>
    </w:p>
    <w:p w:rsidR="00F32CCD" w:rsidRPr="00BA7C9E" w:rsidRDefault="00F32CCD" w:rsidP="00122DB4">
      <w:bookmarkStart w:id="67" w:name="_Toc284579688"/>
      <w:r w:rsidRPr="00BA7C9E">
        <w:t>Den omvärldsriktade verksamheten syftar till att öka kunskapen om och i</w:t>
      </w:r>
      <w:r w:rsidRPr="00BA7C9E">
        <w:t>n</w:t>
      </w:r>
      <w:r w:rsidRPr="00BA7C9E">
        <w:t>tresset för revisionens roll och resultat, och att bidra till revisionens utvec</w:t>
      </w:r>
      <w:r w:rsidRPr="00BA7C9E">
        <w:t>k</w:t>
      </w:r>
      <w:r w:rsidRPr="00BA7C9E">
        <w:t>ling i Sverige och internationellt. Verksamhetsgrenen omfattar de instru</w:t>
      </w:r>
      <w:r w:rsidRPr="00BA7C9E">
        <w:t>k</w:t>
      </w:r>
      <w:r w:rsidRPr="00BA7C9E">
        <w:t>tionsenliga uppgifter som Riksrevisionen har i rollen som nationellt rev</w:t>
      </w:r>
      <w:r w:rsidRPr="00BA7C9E">
        <w:t>i</w:t>
      </w:r>
      <w:r w:rsidRPr="00BA7C9E">
        <w:t>sionsorgan. Som sådant företräder Riksrevisionen den statliga revisionen i olika sammanhang i utvecklingen av revisionens profession, uppgifter och roll i samhället. Målet för verksamhetsgrenen är att befästa och främja rev</w:t>
      </w:r>
      <w:r w:rsidRPr="00BA7C9E">
        <w:t>i</w:t>
      </w:r>
      <w:r w:rsidRPr="00BA7C9E">
        <w:t>sionens roll, nationellt och internationellt samt att öka genomslaget för Rik</w:t>
      </w:r>
      <w:r w:rsidRPr="00BA7C9E">
        <w:t>s</w:t>
      </w:r>
      <w:r w:rsidRPr="00BA7C9E">
        <w:t>revisionens verksamhet.</w:t>
      </w:r>
    </w:p>
    <w:p w:rsidR="00F32CCD" w:rsidRPr="00BA7C9E" w:rsidRDefault="00F32CCD" w:rsidP="00122DB4">
      <w:pPr>
        <w:pStyle w:val="Rubrik3"/>
        <w:rPr>
          <w:noProof w:val="0"/>
        </w:rPr>
      </w:pPr>
      <w:bookmarkStart w:id="68" w:name="_Toc311187639"/>
      <w:bookmarkStart w:id="69" w:name="_Toc315253450"/>
      <w:bookmarkStart w:id="70" w:name="_Toc318101636"/>
      <w:r w:rsidRPr="00BA7C9E">
        <w:rPr>
          <w:noProof w:val="0"/>
        </w:rPr>
        <w:t>Resultat och bedömning</w:t>
      </w:r>
      <w:bookmarkEnd w:id="67"/>
      <w:bookmarkEnd w:id="68"/>
      <w:bookmarkEnd w:id="69"/>
      <w:bookmarkEnd w:id="70"/>
    </w:p>
    <w:p w:rsidR="00F32CCD" w:rsidRPr="00BA7C9E" w:rsidRDefault="00F32CCD" w:rsidP="00122DB4">
      <w:pPr>
        <w:pStyle w:val="R4"/>
      </w:pPr>
      <w:r w:rsidRPr="00BA7C9E">
        <w:t>Sammanfattande bedömning</w:t>
      </w:r>
    </w:p>
    <w:p w:rsidR="00F32CCD" w:rsidRPr="00BA7C9E" w:rsidRDefault="00F32CCD" w:rsidP="00122DB4">
      <w:r w:rsidRPr="00BA7C9E">
        <w:t>Riksrevisionen har en omfattande samverkan med revisionsorgan i andra länder genom deltagande i olika organisationer och arbetsgrupper. Nationellt har kontakterna med riksdagen legat på en hög nivå främst genom föredra</w:t>
      </w:r>
      <w:r w:rsidRPr="00BA7C9E">
        <w:t>g</w:t>
      </w:r>
      <w:r w:rsidRPr="00BA7C9E">
        <w:t xml:space="preserve">ningar av aktuella granskningar men även </w:t>
      </w:r>
      <w:r w:rsidR="00E63E15" w:rsidRPr="00BA7C9E">
        <w:t xml:space="preserve">genom </w:t>
      </w:r>
      <w:r w:rsidRPr="00BA7C9E">
        <w:t>att Riksrevisionen inform</w:t>
      </w:r>
      <w:r w:rsidRPr="00BA7C9E">
        <w:t>e</w:t>
      </w:r>
      <w:r w:rsidRPr="00BA7C9E">
        <w:t xml:space="preserve">rat om verksamheten. Härutöver har Riksrevisionen arrangerat och deltagit i ett antal seminarier och konferenser. Återkommande uppgifter </w:t>
      </w:r>
      <w:r w:rsidR="00033D49" w:rsidRPr="00BA7C9E">
        <w:t xml:space="preserve">i form av Riksrevisorernas </w:t>
      </w:r>
      <w:r w:rsidRPr="00BA7C9E">
        <w:t xml:space="preserve">årliga rapport, </w:t>
      </w:r>
      <w:r w:rsidR="00033D49" w:rsidRPr="00BA7C9E">
        <w:t xml:space="preserve">Riksrevisionens </w:t>
      </w:r>
      <w:r w:rsidRPr="00BA7C9E">
        <w:t>uppföljningsrapport</w:t>
      </w:r>
      <w:r w:rsidR="00033D49" w:rsidRPr="00BA7C9E">
        <w:t>,</w:t>
      </w:r>
      <w:r w:rsidRPr="00BA7C9E">
        <w:t xml:space="preserve"> </w:t>
      </w:r>
      <w:r w:rsidR="00033D49" w:rsidRPr="00BA7C9E">
        <w:t>grans</w:t>
      </w:r>
      <w:r w:rsidR="00033D49" w:rsidRPr="00BA7C9E">
        <w:t>k</w:t>
      </w:r>
      <w:r w:rsidR="00033D49" w:rsidRPr="00BA7C9E">
        <w:t xml:space="preserve">ningsplan </w:t>
      </w:r>
      <w:r w:rsidRPr="00BA7C9E">
        <w:t>och remis</w:t>
      </w:r>
      <w:r w:rsidR="00033D49" w:rsidRPr="00BA7C9E">
        <w:t>ser</w:t>
      </w:r>
      <w:r w:rsidRPr="00BA7C9E">
        <w:t xml:space="preserve"> har genomförts enligt plan. </w:t>
      </w:r>
    </w:p>
    <w:p w:rsidR="00F32CCD" w:rsidRPr="00BA7C9E" w:rsidRDefault="00F32CCD" w:rsidP="00F32CCD">
      <w:pPr>
        <w:pStyle w:val="Normaltindrag"/>
      </w:pPr>
      <w:r w:rsidRPr="00BA7C9E">
        <w:t>Riksrevisionens bedömning är att de olika aktiviteterna inom den o</w:t>
      </w:r>
      <w:r w:rsidRPr="00BA7C9E">
        <w:t>m</w:t>
      </w:r>
      <w:r w:rsidRPr="00BA7C9E">
        <w:t>världsriktade verksamheten har förmedlat kunskap om revisionens roll och resultat, bidragit till revisionens utveckling och därmed ökat förutsättningarna för genomslag för Riksrevisionens verksamhet.</w:t>
      </w:r>
    </w:p>
    <w:p w:rsidR="00F32CCD" w:rsidRPr="00BA7C9E" w:rsidRDefault="00F32CCD" w:rsidP="00C52848">
      <w:pPr>
        <w:pStyle w:val="R4"/>
      </w:pPr>
      <w:r w:rsidRPr="00BA7C9E">
        <w:t>Internationell omvärldsriktad verksamhet</w:t>
      </w:r>
    </w:p>
    <w:p w:rsidR="00F32CCD" w:rsidRPr="00BA7C9E" w:rsidRDefault="00F32CCD" w:rsidP="00F32CCD">
      <w:pPr>
        <w:pStyle w:val="Normaltindrag"/>
      </w:pPr>
    </w:p>
    <w:p w:rsidR="00F32CCD" w:rsidRPr="00BA7C9E" w:rsidRDefault="00F32CCD" w:rsidP="00C52848">
      <w:pPr>
        <w:pStyle w:val="R6"/>
      </w:pPr>
      <w:r w:rsidRPr="00BA7C9E">
        <w:t xml:space="preserve">Internationell revision, samverkan och kontakter </w:t>
      </w:r>
    </w:p>
    <w:p w:rsidR="00F32CCD" w:rsidRPr="00BA7C9E" w:rsidRDefault="00F32CCD" w:rsidP="00C52848">
      <w:r w:rsidRPr="00BA7C9E">
        <w:t>Riksrevisionen deltar som nationellt revisionsorgan i internationellt samarb</w:t>
      </w:r>
      <w:r w:rsidRPr="00BA7C9E">
        <w:t>e</w:t>
      </w:r>
      <w:r w:rsidRPr="00BA7C9E">
        <w:t>te. Myndigheten är medlem i INTOSAI och andra multilaterala nätverk och organisationer inom revisionsområdet. Dessutom deltar Riksrevisionen i bilateralt utbyte och revision av internationella organisationer samt samverkar med Europeiska revisionsrätten och de nationella revisionsorganen inom EU när det gäller granskning av EU-medel. Det kan nämnas att ett initiativ som de nordiska riksrevisorerna tog under 2010 om INTOSAI:s roll i aktuella och betydande globala utmaningar nu har resulterat i ett beslut från INTOSAI:s styrelse att utreda frågan. Riksrevisionen har deltagit i flera av INTOSAI:s kommittéer och arbetsgrupper, bland annat i syfte att bidra med och ta del av metoder och erfarenheter som kan användas i den egna granskningsverksa</w:t>
      </w:r>
      <w:r w:rsidRPr="00BA7C9E">
        <w:t>m</w:t>
      </w:r>
      <w:r w:rsidRPr="00BA7C9E">
        <w:t>heten och för att bidra med egna kunskaper och erfarenheter. Vidare stod Riksrevisionen värd för EUROSAI:s</w:t>
      </w:r>
      <w:r w:rsidRPr="00BA7C9E">
        <w:rPr>
          <w:vertAlign w:val="superscript"/>
        </w:rPr>
        <w:footnoteReference w:id="11"/>
      </w:r>
      <w:r w:rsidRPr="00BA7C9E">
        <w:t xml:space="preserve"> miljöarbetsgrupps årliga möte. Mötet samlade närmare 60 deltagare från 30 </w:t>
      </w:r>
      <w:r w:rsidR="00FE0EAA" w:rsidRPr="00BA7C9E">
        <w:t xml:space="preserve">nationella </w:t>
      </w:r>
      <w:r w:rsidRPr="00BA7C9E">
        <w:t>revisionsorgan.</w:t>
      </w:r>
    </w:p>
    <w:p w:rsidR="00F32CCD" w:rsidRPr="00BA7C9E" w:rsidRDefault="00F32CCD" w:rsidP="00F32CCD">
      <w:pPr>
        <w:pStyle w:val="Normaltindrag"/>
      </w:pPr>
      <w:r w:rsidRPr="00BA7C9E">
        <w:t>Under 2011 deltog Riksrevisionen i en peer review av USA:s revision</w:t>
      </w:r>
      <w:r w:rsidRPr="00BA7C9E">
        <w:t>s</w:t>
      </w:r>
      <w:r w:rsidRPr="00BA7C9E">
        <w:t>myndighet. Dessutom deltog Riksrevisionen i en peer review av den finska revisionsmyndigheten, som avslutas 2012. Under året har Riksrevisionen mottagit 14 besök från främst revisionsorgan, parlament och regeringar. Vid</w:t>
      </w:r>
      <w:r w:rsidRPr="00BA7C9E">
        <w:t>a</w:t>
      </w:r>
      <w:r w:rsidRPr="00BA7C9E">
        <w:t>re har Riksrevisionen besvarat mer än 50 enkäter och frågor från andra lä</w:t>
      </w:r>
      <w:r w:rsidRPr="00BA7C9E">
        <w:t>n</w:t>
      </w:r>
      <w:r w:rsidRPr="00BA7C9E">
        <w:t>ders revisionsorgan. Under 2011 har Europeiska revisionsrätten genomfört sex granskningsbesök i Sverige. Riksrevisionen samarbetar i enlighet med Lissabonfördraget med Europeiska revisionsrätten och medverkar med obse</w:t>
      </w:r>
      <w:r w:rsidRPr="00BA7C9E">
        <w:t>r</w:t>
      </w:r>
      <w:r w:rsidRPr="00BA7C9E">
        <w:t>vatörer vid dess granskningsbesök i Sverige. Riksrevisionen har granskat fem nordiska institutioner i enlighet med den så kallade domicillandsprincipen och varit medlem i revisionskommissionen i Europeiska rymdorganisationen ESA samt medlem av revisionskollegiet för EU:s försvarssamarbete Athena. Rev</w:t>
      </w:r>
      <w:r w:rsidRPr="00BA7C9E">
        <w:t>i</w:t>
      </w:r>
      <w:r w:rsidRPr="00BA7C9E">
        <w:t>sionsåtagandena i ESA och Athena har avslutats.</w:t>
      </w:r>
    </w:p>
    <w:p w:rsidR="00F32CCD" w:rsidRPr="00BA7C9E" w:rsidRDefault="00F32CCD" w:rsidP="00F32CCD">
      <w:pPr>
        <w:pStyle w:val="Normaltindrag"/>
      </w:pPr>
    </w:p>
    <w:p w:rsidR="00F32CCD" w:rsidRPr="00BA7C9E" w:rsidRDefault="00F32CCD" w:rsidP="00C52848">
      <w:pPr>
        <w:pStyle w:val="R6"/>
      </w:pPr>
      <w:r w:rsidRPr="00BA7C9E">
        <w:t>Financial Audit Subcommittee</w:t>
      </w:r>
    </w:p>
    <w:p w:rsidR="00F32CCD" w:rsidRPr="00BA7C9E" w:rsidRDefault="00F32CCD" w:rsidP="00C52848">
      <w:bookmarkStart w:id="71" w:name="_Toc284579689"/>
      <w:r w:rsidRPr="00BA7C9E">
        <w:t>Riksrevisionen är ordförande i INTOSAI:s Financial Audit Subcommittee (FAS). Uppdraget är att leda arbetet med att utveckla internationella riktlinjer för finansiell revision inom offentlig verksamhet. Utvecklingsarbetet sker i samarbete med den privata sektorns standardsättande organ – International Auditing and Assurance Standards Board (IAASB) som är knutet till Intern</w:t>
      </w:r>
      <w:r w:rsidRPr="00BA7C9E">
        <w:t>a</w:t>
      </w:r>
      <w:r w:rsidRPr="00BA7C9E">
        <w:t>t</w:t>
      </w:r>
      <w:r w:rsidR="00E8294A" w:rsidRPr="00BA7C9E">
        <w:t>ional Federation of Accountants (IFAC).</w:t>
      </w:r>
      <w:r w:rsidRPr="00BA7C9E">
        <w:t xml:space="preserve"> För att genomföra åtagandet som ordförande har Riksrevisionen ett sekretariat som leder samordningen och det praktiska utvecklingsarbetet. </w:t>
      </w:r>
    </w:p>
    <w:p w:rsidR="00172F3D" w:rsidRPr="00BA7C9E" w:rsidRDefault="00F32CCD" w:rsidP="00F32CCD">
      <w:pPr>
        <w:pStyle w:val="Normaltindrag"/>
      </w:pPr>
      <w:r w:rsidRPr="00BA7C9E">
        <w:t>Efter att FAS riktlinjer an</w:t>
      </w:r>
      <w:r w:rsidR="00FE0EAA" w:rsidRPr="00BA7C9E">
        <w:t xml:space="preserve">togs av INTOSAI:s kongress 2010 </w:t>
      </w:r>
      <w:r w:rsidRPr="00BA7C9E">
        <w:t>har arbetet i</w:t>
      </w:r>
      <w:r w:rsidRPr="00BA7C9E">
        <w:t>n</w:t>
      </w:r>
      <w:r w:rsidRPr="00BA7C9E">
        <w:t>riktats mot att skapa medvetenhet om riktlinjerna och att bidra till impleme</w:t>
      </w:r>
      <w:r w:rsidRPr="00BA7C9E">
        <w:t>n</w:t>
      </w:r>
      <w:r w:rsidRPr="00BA7C9E">
        <w:t>tering av riktlinjerna i INTOSAI:s medlemsländer. En stor del av arbetet inom FAS under 2011 har även innefattat en nödvändig revidering av andra sta</w:t>
      </w:r>
      <w:r w:rsidRPr="00BA7C9E">
        <w:t>n</w:t>
      </w:r>
      <w:r w:rsidRPr="00BA7C9E">
        <w:t>darder inom INTOSAI som inte har ansetts vara konsistenta med de nya riktlinjerna. Dessutom pågår ett konstant utvecklingsarbete inom IAASB, där FAS även har aktiv medverkan för att bevaka och tillförsäkra den offentliga sektorns perspektiv och behov. Arbetets inriktning följer den arbetsplan som fastställts av relevant kommitté inom INTOSAI. Resursbehovet kommer sannolikt successivt att minska under kommande år.</w:t>
      </w:r>
    </w:p>
    <w:p w:rsidR="00172F3D" w:rsidRPr="00BA7C9E" w:rsidRDefault="00172F3D" w:rsidP="00F32CCD">
      <w:pPr>
        <w:pStyle w:val="Normaltindrag"/>
      </w:pPr>
    </w:p>
    <w:p w:rsidR="009D20E1" w:rsidRPr="00BA7C9E" w:rsidRDefault="009D20E1" w:rsidP="00F32CCD">
      <w:pPr>
        <w:pStyle w:val="Normaltindrag"/>
      </w:pPr>
    </w:p>
    <w:p w:rsidR="00F32CCD" w:rsidRPr="00BA7C9E" w:rsidRDefault="00F32CCD" w:rsidP="009D20E1">
      <w:pPr>
        <w:pStyle w:val="R4"/>
      </w:pPr>
      <w:r w:rsidRPr="00BA7C9E">
        <w:t>Nationell omvärldsriktad verksamhet</w:t>
      </w:r>
      <w:bookmarkEnd w:id="71"/>
    </w:p>
    <w:p w:rsidR="00F32CCD" w:rsidRPr="00BA7C9E" w:rsidRDefault="00F32CCD" w:rsidP="009D20E1">
      <w:r w:rsidRPr="00BA7C9E">
        <w:t>I den nationella omvärldsriktade verksamheten ingår bland annat Riksrevisi</w:t>
      </w:r>
      <w:r w:rsidRPr="00BA7C9E">
        <w:t>o</w:t>
      </w:r>
      <w:r w:rsidRPr="00BA7C9E">
        <w:t>nens kontakter med riksdagens utskott och kanslier. Riksrevis</w:t>
      </w:r>
      <w:r w:rsidR="00172F3D" w:rsidRPr="00BA7C9E">
        <w:t xml:space="preserve">ionen </w:t>
      </w:r>
      <w:r w:rsidRPr="00BA7C9E">
        <w:t xml:space="preserve">har också publicerat </w:t>
      </w:r>
      <w:r w:rsidR="00172F3D" w:rsidRPr="00BA7C9E">
        <w:t>Riksrevisorernas å</w:t>
      </w:r>
      <w:r w:rsidRPr="00BA7C9E">
        <w:t>rliga rapport, Riksrevisionens uppföljnings</w:t>
      </w:r>
      <w:r w:rsidR="006C4EDD" w:rsidRPr="00BA7C9E">
        <w:t>ra</w:t>
      </w:r>
      <w:r w:rsidR="006C4EDD" w:rsidRPr="00BA7C9E">
        <w:t>p</w:t>
      </w:r>
      <w:r w:rsidR="006C4EDD" w:rsidRPr="00BA7C9E">
        <w:t>port samt</w:t>
      </w:r>
      <w:r w:rsidRPr="00BA7C9E">
        <w:t xml:space="preserve"> </w:t>
      </w:r>
      <w:r w:rsidR="006C4EDD" w:rsidRPr="00BA7C9E">
        <w:t>granskningsplan 2011/2012</w:t>
      </w:r>
      <w:r w:rsidR="00E86827" w:rsidRPr="00BA7C9E">
        <w:t>.</w:t>
      </w:r>
    </w:p>
    <w:p w:rsidR="00F32CCD" w:rsidRPr="00BA7C9E" w:rsidRDefault="00F32CCD" w:rsidP="00F32CCD">
      <w:pPr>
        <w:pStyle w:val="Normaltindrag"/>
      </w:pPr>
    </w:p>
    <w:p w:rsidR="00F32CCD" w:rsidRPr="00BA7C9E" w:rsidRDefault="00F32CCD" w:rsidP="00C52848">
      <w:pPr>
        <w:pStyle w:val="R6"/>
      </w:pPr>
      <w:r w:rsidRPr="00BA7C9E">
        <w:t xml:space="preserve">Externa kontakter och seminarier  </w:t>
      </w:r>
    </w:p>
    <w:p w:rsidR="00F32CCD" w:rsidRPr="00BA7C9E" w:rsidRDefault="00F32CCD" w:rsidP="00C52848">
      <w:r w:rsidRPr="00BA7C9E">
        <w:t xml:space="preserve">En god kunskap </w:t>
      </w:r>
      <w:r w:rsidR="002A6A3A" w:rsidRPr="00BA7C9E">
        <w:t xml:space="preserve">i omvärlden </w:t>
      </w:r>
      <w:r w:rsidRPr="00BA7C9E">
        <w:t>om Riksrevisionens roll och uppgift är en viktig förutsättning för att nå uppsatta mål inte minst när det gäller att nå ökad ver</w:t>
      </w:r>
      <w:r w:rsidRPr="00BA7C9E">
        <w:t>k</w:t>
      </w:r>
      <w:r w:rsidRPr="00BA7C9E">
        <w:t>ningsgrad.</w:t>
      </w:r>
    </w:p>
    <w:p w:rsidR="00F32CCD" w:rsidRPr="00BA7C9E" w:rsidRDefault="00F32CCD" w:rsidP="00F32CCD">
      <w:pPr>
        <w:pStyle w:val="Normaltindrag"/>
      </w:pPr>
      <w:r w:rsidRPr="00BA7C9E">
        <w:t>Utöver kontakterna med anledning av pågående eller genomförd grans</w:t>
      </w:r>
      <w:r w:rsidRPr="00BA7C9E">
        <w:t>k</w:t>
      </w:r>
      <w:r w:rsidRPr="00BA7C9E">
        <w:t>ning har Riksrevisionen under året träffat riksdagens utskott och utskottskan</w:t>
      </w:r>
      <w:r w:rsidRPr="00BA7C9E">
        <w:t>s</w:t>
      </w:r>
      <w:r w:rsidRPr="00BA7C9E">
        <w:t>lier i syfte att informera om verksamheten och planerade insatser. En externt utförd mätning av hur Riksrevisionen uppfattas av bland annat riksdagsled</w:t>
      </w:r>
      <w:r w:rsidRPr="00BA7C9E">
        <w:t>a</w:t>
      </w:r>
      <w:r w:rsidRPr="00BA7C9E">
        <w:t xml:space="preserve">möter visar en positiv syn på Riksrevisionens arbete. </w:t>
      </w:r>
    </w:p>
    <w:p w:rsidR="00F32CCD" w:rsidRPr="00BA7C9E" w:rsidRDefault="00F32CCD" w:rsidP="00F32CCD">
      <w:pPr>
        <w:pStyle w:val="Normaltindrag"/>
      </w:pPr>
      <w:r w:rsidRPr="00BA7C9E">
        <w:t xml:space="preserve">Riksrevisorerna har även besökt departement och myndighetschefer samt arrangerat frukostmöten på Riksrevisionen som ett 30-tal myndighetschefer deltagit i. </w:t>
      </w:r>
    </w:p>
    <w:p w:rsidR="00F32CCD" w:rsidRPr="00BA7C9E" w:rsidRDefault="00F32CCD" w:rsidP="00F32CCD">
      <w:pPr>
        <w:pStyle w:val="Normaltindrag"/>
      </w:pPr>
      <w:r w:rsidRPr="00BA7C9E">
        <w:t>Den årliga konferensen Riksrevisionsdagen vänder sig till myndighetsch</w:t>
      </w:r>
      <w:r w:rsidRPr="00BA7C9E">
        <w:t>e</w:t>
      </w:r>
      <w:r w:rsidRPr="00BA7C9E">
        <w:t xml:space="preserve">fer, högre tjänstemän inom statsförvaltningen, politiker och medarbetare. </w:t>
      </w:r>
      <w:r w:rsidR="00934E45" w:rsidRPr="00BA7C9E">
        <w:t>Årets t</w:t>
      </w:r>
      <w:r w:rsidRPr="00BA7C9E">
        <w:t>ema var Staten, förtroendet och medborgarna. Tillsammans med Ek</w:t>
      </w:r>
      <w:r w:rsidRPr="00BA7C9E">
        <w:t>o</w:t>
      </w:r>
      <w:r w:rsidRPr="00BA7C9E">
        <w:t>nomistyrningsverket, Sveriges kommuner och landsting, Far och Sveriges kommunala yrkesrevisorer anordnade Riksrevisionen konferensen Mötesplats Offentlig Revision för personer som är verksamma inom revisionsområdet i offentlig sektor. Konferensen arrangerades för andra gången och drygt 200 personer deltog. Riksrevisionen medverkade även på Kvalitetsmässan i Göt</w:t>
      </w:r>
      <w:r w:rsidRPr="00BA7C9E">
        <w:t>e</w:t>
      </w:r>
      <w:r w:rsidRPr="00BA7C9E">
        <w:t>borg. Myndigheten deltog med en utställningsmonter och arrangerade två seminarier. Under Almedalsveckan deltog riksrevisorerna Gudrun Antemar och Jan Landahl i flera paneldiskussioner.</w:t>
      </w:r>
      <w:r w:rsidRPr="00BA7C9E">
        <w:rPr>
          <w:i/>
        </w:rPr>
        <w:t xml:space="preserve"> </w:t>
      </w:r>
    </w:p>
    <w:p w:rsidR="00F32CCD" w:rsidRPr="00BA7C9E" w:rsidRDefault="00F32CCD" w:rsidP="00F32CCD">
      <w:pPr>
        <w:pStyle w:val="Normaltindrag"/>
        <w:rPr>
          <w:iCs/>
        </w:rPr>
      </w:pPr>
      <w:r w:rsidRPr="00BA7C9E">
        <w:t>Riksrevisionen har deltagit i och arrangerat ett antal seminarier och konf</w:t>
      </w:r>
      <w:r w:rsidRPr="00BA7C9E">
        <w:t>e</w:t>
      </w:r>
      <w:r w:rsidRPr="00BA7C9E">
        <w:t xml:space="preserve">renser i syfte att informera om Riksrevisionens verksamhet och att inhämta information från andra personer och organisationer. </w:t>
      </w:r>
    </w:p>
    <w:p w:rsidR="00F32CCD" w:rsidRPr="00BA7C9E" w:rsidRDefault="00F32CCD" w:rsidP="00F32CCD">
      <w:pPr>
        <w:pStyle w:val="Normaltindrag"/>
      </w:pPr>
    </w:p>
    <w:p w:rsidR="00F32CCD" w:rsidRPr="00BA7C9E" w:rsidRDefault="00F32CCD" w:rsidP="00C52848">
      <w:pPr>
        <w:pStyle w:val="R6"/>
      </w:pPr>
      <w:r w:rsidRPr="00BA7C9E">
        <w:t xml:space="preserve">Instruktionsenliga uppgifter </w:t>
      </w:r>
    </w:p>
    <w:p w:rsidR="00F32CCD" w:rsidRPr="00BA7C9E" w:rsidRDefault="00F32CCD" w:rsidP="00C52848">
      <w:r w:rsidRPr="00BA7C9E">
        <w:t>I Riksrevisorernas årliga rapport presentera</w:t>
      </w:r>
      <w:r w:rsidR="00FE0EAA" w:rsidRPr="00BA7C9E">
        <w:t>s</w:t>
      </w:r>
      <w:r w:rsidRPr="00BA7C9E">
        <w:t xml:space="preserve"> de viktigaste iakttagelserna från den årliga revisionen och </w:t>
      </w:r>
      <w:r w:rsidR="00C87AF2" w:rsidRPr="00BA7C9E">
        <w:t xml:space="preserve">från </w:t>
      </w:r>
      <w:r w:rsidRPr="00BA7C9E">
        <w:t>effektivitetsrevisionen. I 2011 års rapport red</w:t>
      </w:r>
      <w:r w:rsidRPr="00BA7C9E">
        <w:t>o</w:t>
      </w:r>
      <w:r w:rsidRPr="00BA7C9E">
        <w:t xml:space="preserve">visades de viktigaste slutsatserna inom de avslutade strategierna </w:t>
      </w:r>
      <w:r w:rsidR="00C87AF2" w:rsidRPr="00BA7C9E">
        <w:t>h</w:t>
      </w:r>
      <w:r w:rsidRPr="00BA7C9E">
        <w:t xml:space="preserve">ållbara transfereringar och </w:t>
      </w:r>
      <w:r w:rsidR="00C87AF2" w:rsidRPr="00BA7C9E">
        <w:t>e</w:t>
      </w:r>
      <w:r w:rsidRPr="00BA7C9E">
        <w:t>ffektiv förvaltning.</w:t>
      </w:r>
    </w:p>
    <w:p w:rsidR="00F32CCD" w:rsidRPr="00BA7C9E" w:rsidRDefault="00F32CCD" w:rsidP="00F32CCD">
      <w:pPr>
        <w:pStyle w:val="Normaltindrag"/>
      </w:pPr>
      <w:r w:rsidRPr="00BA7C9E">
        <w:t>I Uppföljningsrapport 2011 redovisades en djup uppföljning av tio äldre granskningsrapporter från effektivitetsrevisionen och en översiktlig uppföl</w:t>
      </w:r>
      <w:r w:rsidRPr="00BA7C9E">
        <w:t>j</w:t>
      </w:r>
      <w:r w:rsidRPr="00BA7C9E">
        <w:t xml:space="preserve">ning av 62 nyare granskningsrapporter. Uppföljningen visade att i stort sett samtliga rapporter har medfört någon form av åtgärd som oftast ligger i linje med Riksrevisionens slutsatser och rekommendationer. När det gäller den årliga revisionen visade uppföljningen att de myndigheter som fått en </w:t>
      </w:r>
      <w:r w:rsidR="001A1AC8" w:rsidRPr="00BA7C9E">
        <w:t>invän</w:t>
      </w:r>
      <w:r w:rsidR="001A1AC8" w:rsidRPr="00BA7C9E">
        <w:t>d</w:t>
      </w:r>
      <w:r w:rsidR="001A1AC8" w:rsidRPr="00BA7C9E">
        <w:t xml:space="preserve">ning </w:t>
      </w:r>
      <w:r w:rsidRPr="00BA7C9E">
        <w:t>i revisionsberättelsen vidtagit relevanta åtgärder för att komma till rätta med problemen. Uppföljningsrapporten innehöll också en slutredovisning av hur Riksrevisionens styrelse behandlat de granskningsrapporter från effektiv</w:t>
      </w:r>
      <w:r w:rsidRPr="00BA7C9E">
        <w:t>i</w:t>
      </w:r>
      <w:r w:rsidRPr="00BA7C9E">
        <w:t>tetsrevisionen som publicerats under 2003–2010. Vidare redovisades hur riksdagen har behandlat framställningar och redogörelser som Riksrevisi</w:t>
      </w:r>
      <w:r w:rsidRPr="00BA7C9E">
        <w:t>o</w:t>
      </w:r>
      <w:r w:rsidRPr="00BA7C9E">
        <w:t>nens styrelse lämnat samt vilka granskningsrapporter som regeringen angett som avslutade i budgetpropositionen för 2011.</w:t>
      </w:r>
    </w:p>
    <w:p w:rsidR="00F32CCD" w:rsidRPr="00BA7C9E" w:rsidRDefault="00F32CCD" w:rsidP="00F32CCD">
      <w:pPr>
        <w:pStyle w:val="Normaltindrag"/>
      </w:pPr>
      <w:r w:rsidRPr="00BA7C9E">
        <w:t>Granskningsplan 2011/2012 lämnades under hösten 2011 och anpassades därmed till riksdagsåret. Planen gavs därutöver ett delvis nytt innehåll jämfört med tidigare år genom att riksrevisorerna redogjorde för sin syn på mandatet, väsentliga tendenser i omvärlden och hur dessa påverkar revisionens närmare inriktning. Ett viktigt underlag för granskningsplanen men också för det i</w:t>
      </w:r>
      <w:r w:rsidRPr="00BA7C9E">
        <w:t>n</w:t>
      </w:r>
      <w:r w:rsidRPr="00BA7C9E">
        <w:t>terna professionella samtalet har varit utarbetandet av några interna skrifter om centrala förändringar som kan påverka revisionen (Effektivitetsrevision i en ny omvärld, Trender, förändringar och utmaningar i omvärlden och Effe</w:t>
      </w:r>
      <w:r w:rsidRPr="00BA7C9E">
        <w:t>k</w:t>
      </w:r>
      <w:r w:rsidRPr="00BA7C9E">
        <w:t xml:space="preserve">tivitetsrevision – roll, möjligheter och gränser). </w:t>
      </w:r>
      <w:r w:rsidRPr="00BA7C9E">
        <w:tab/>
      </w:r>
    </w:p>
    <w:p w:rsidR="00F32CCD" w:rsidRPr="00BA7C9E" w:rsidRDefault="00F32CCD" w:rsidP="00F32CCD">
      <w:pPr>
        <w:pStyle w:val="Normaltindrag"/>
      </w:pPr>
      <w:r w:rsidRPr="00BA7C9E">
        <w:t>Riksrevisionen företräder den statliga revisionen i olika sammanhang, till exempel i frågor om styrning och revision. Myndigheten har även genom sin granskning kunskap om förhållanden inom en mängd olika områden. Under 2011 lämnades 12 (15) remissyttranden, bland annat om Långtidsutrednin</w:t>
      </w:r>
      <w:r w:rsidRPr="00BA7C9E">
        <w:t>g</w:t>
      </w:r>
      <w:r w:rsidRPr="00BA7C9E">
        <w:t>ens huvudbetänkande och om sanktionsavgifter på trygghetsområdet.</w:t>
      </w:r>
    </w:p>
    <w:p w:rsidR="00F32CCD" w:rsidRPr="00BA7C9E" w:rsidRDefault="00F32CCD" w:rsidP="00C52848">
      <w:pPr>
        <w:pStyle w:val="R4"/>
      </w:pPr>
      <w:r w:rsidRPr="00BA7C9E">
        <w:t>Kostnader för omvärldsriktad verksamhet</w:t>
      </w:r>
    </w:p>
    <w:p w:rsidR="00104A4B" w:rsidRPr="00BA7C9E" w:rsidRDefault="00F32CCD" w:rsidP="009E6222">
      <w:pPr>
        <w:pStyle w:val="Tabellrubrik"/>
        <w:ind w:left="851" w:hanging="851"/>
      </w:pPr>
      <w:r w:rsidRPr="00BA7C9E">
        <w:t>Tabell 15 Kostnader och intäkter för omvärldsriktad verksamhet och för internationell uppdragsverksamhet 2009</w:t>
      </w:r>
      <w:r w:rsidR="0034215B" w:rsidRPr="00BA7C9E">
        <w:t xml:space="preserve"> </w:t>
      </w:r>
      <w:r w:rsidRPr="00BA7C9E">
        <w:t>–</w:t>
      </w:r>
      <w:r w:rsidR="0034215B" w:rsidRPr="00BA7C9E">
        <w:t xml:space="preserve"> </w:t>
      </w:r>
      <w:r w:rsidRPr="00BA7C9E">
        <w:t>2011 (tkr)</w:t>
      </w:r>
      <w:r w:rsidR="009E6222" w:rsidRPr="00BA7C9E">
        <w:t xml:space="preserve"> </w:t>
      </w:r>
    </w:p>
    <w:p w:rsidR="00F32CCD" w:rsidRPr="00BA7C9E" w:rsidRDefault="00BA7C9E" w:rsidP="00C008BC">
      <w:pPr>
        <w:pStyle w:val="Normaltindrag"/>
        <w:ind w:firstLine="0"/>
      </w:pPr>
      <w:r w:rsidRPr="00BA7C9E">
        <w:rPr>
          <w:noProof/>
        </w:rPr>
        <w:drawing>
          <wp:inline distT="0" distB="0" distL="0" distR="0">
            <wp:extent cx="3777615" cy="1431290"/>
            <wp:effectExtent l="0" t="0" r="0" b="0"/>
            <wp:docPr id="1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77615" cy="1431290"/>
                    </a:xfrm>
                    <a:prstGeom prst="rect">
                      <a:avLst/>
                    </a:prstGeom>
                    <a:noFill/>
                    <a:ln>
                      <a:noFill/>
                    </a:ln>
                  </pic:spPr>
                </pic:pic>
              </a:graphicData>
            </a:graphic>
          </wp:inline>
        </w:drawing>
      </w:r>
    </w:p>
    <w:p w:rsidR="00F32CCD" w:rsidRPr="00BA7C9E" w:rsidRDefault="00F32CCD"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C52848" w:rsidRPr="00BA7C9E" w:rsidRDefault="00C52848" w:rsidP="00F32CCD">
      <w:pPr>
        <w:pStyle w:val="Normaltindrag"/>
      </w:pPr>
    </w:p>
    <w:p w:rsidR="009D20E1" w:rsidRPr="00BA7C9E" w:rsidRDefault="009D20E1" w:rsidP="00F32CCD">
      <w:pPr>
        <w:pStyle w:val="Normaltindrag"/>
      </w:pPr>
    </w:p>
    <w:p w:rsidR="00F32CCD" w:rsidRPr="00BA7C9E" w:rsidRDefault="00F32CCD" w:rsidP="009D20E1">
      <w:pPr>
        <w:pStyle w:val="Tabellrubrik"/>
        <w:ind w:left="851" w:hanging="851"/>
      </w:pPr>
      <w:r w:rsidRPr="00BA7C9E">
        <w:t>Tabell 16 Timmar för omvärldsriktad verksamhet och för intern</w:t>
      </w:r>
      <w:r w:rsidRPr="00BA7C9E">
        <w:t>a</w:t>
      </w:r>
      <w:r w:rsidR="009D20E1" w:rsidRPr="00BA7C9E">
        <w:t>tionell uppdragsverksamhet 2009 – 2011</w:t>
      </w:r>
    </w:p>
    <w:p w:rsidR="00104A4B" w:rsidRPr="00BA7C9E" w:rsidRDefault="00BA7C9E" w:rsidP="00C008BC">
      <w:pPr>
        <w:pStyle w:val="Normaltindrag"/>
        <w:ind w:firstLine="0"/>
        <w:rPr>
          <w:b/>
        </w:rPr>
      </w:pPr>
      <w:r w:rsidRPr="00BA7C9E">
        <w:rPr>
          <w:noProof/>
        </w:rPr>
        <w:drawing>
          <wp:inline distT="0" distB="0" distL="0" distR="0">
            <wp:extent cx="3777615" cy="151828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77615" cy="1518285"/>
                    </a:xfrm>
                    <a:prstGeom prst="rect">
                      <a:avLst/>
                    </a:prstGeom>
                    <a:noFill/>
                    <a:ln>
                      <a:noFill/>
                    </a:ln>
                  </pic:spPr>
                </pic:pic>
              </a:graphicData>
            </a:graphic>
          </wp:inline>
        </w:drawing>
      </w:r>
    </w:p>
    <w:p w:rsidR="00104A4B" w:rsidRPr="00BA7C9E" w:rsidRDefault="00104A4B" w:rsidP="00F32CCD">
      <w:pPr>
        <w:pStyle w:val="Normaltindrag"/>
        <w:rPr>
          <w:b/>
        </w:rPr>
      </w:pPr>
    </w:p>
    <w:p w:rsidR="00F32CCD" w:rsidRPr="00BA7C9E" w:rsidRDefault="00F32CCD" w:rsidP="00C008BC">
      <w:r w:rsidRPr="00BA7C9E">
        <w:t xml:space="preserve">Kostnaderna för internationell omvärldsriktad verksamhet har ökat under året. Ökningen avser internationell revision, samverkan och kontakter och beror på att Riksrevisionen medverkat i ett antal peer review av andra länder samt stått som värd för ett internationellt möte inom EUROSAI:s miljöarbetsgrupp. Kostnaderna för FAS har minskat, vilket är enligt plan då arbetet har gått in i en ny fas och färre personer varit inblandade i verksamheten. </w:t>
      </w:r>
    </w:p>
    <w:p w:rsidR="00F32CCD" w:rsidRPr="00BA7C9E" w:rsidRDefault="00F32CCD" w:rsidP="00F32CCD">
      <w:pPr>
        <w:pStyle w:val="Normaltindrag"/>
      </w:pPr>
      <w:r w:rsidRPr="00BA7C9E">
        <w:t>Inom den nationella delen har kostnaderna för instruktions</w:t>
      </w:r>
      <w:r w:rsidR="00565865" w:rsidRPr="00BA7C9E">
        <w:t xml:space="preserve">enliga uppgifter </w:t>
      </w:r>
      <w:r w:rsidRPr="00BA7C9E">
        <w:t>minskat, medan kostnaderna för seminarier har ökat främst för Kvalitetsmä</w:t>
      </w:r>
      <w:r w:rsidRPr="00BA7C9E">
        <w:t>s</w:t>
      </w:r>
      <w:r w:rsidRPr="00BA7C9E">
        <w:t xml:space="preserve">san och konferensen Mötesplats Offentlig Revision. </w:t>
      </w:r>
      <w:r w:rsidR="00565865" w:rsidRPr="00BA7C9E">
        <w:t>K</w:t>
      </w:r>
      <w:r w:rsidRPr="00BA7C9E">
        <w:t>ostnaderna för konf</w:t>
      </w:r>
      <w:r w:rsidRPr="00BA7C9E">
        <w:t>e</w:t>
      </w:r>
      <w:r w:rsidRPr="00BA7C9E">
        <w:t xml:space="preserve">renser varierar mellan åren eftersom de inte hålls varje år.  </w:t>
      </w:r>
    </w:p>
    <w:p w:rsidR="00F32CCD" w:rsidRPr="00BA7C9E" w:rsidRDefault="00F32CCD" w:rsidP="00C52848">
      <w:pPr>
        <w:pStyle w:val="R4"/>
      </w:pPr>
      <w:r w:rsidRPr="00BA7C9E">
        <w:t xml:space="preserve">Avgiftsfinansierad internationell uppdragsverksamhet </w:t>
      </w:r>
    </w:p>
    <w:p w:rsidR="00F32CCD" w:rsidRPr="00BA7C9E" w:rsidRDefault="00F32CCD" w:rsidP="00C52848">
      <w:r w:rsidRPr="00BA7C9E">
        <w:t>Den internationella uppdragsverksamheten har under året avsett revision av verksamheten inom Östersjöstaternas råd och ett uppdrag i Montenegro som syftar till att introducera effektivitetsrevision och att stimulera samverkan inom effektivitetsrevisionen med andra revisionsorgan i regionen.</w:t>
      </w:r>
    </w:p>
    <w:p w:rsidR="00F32CCD" w:rsidRPr="00BA7C9E" w:rsidRDefault="00F32CCD" w:rsidP="00431669">
      <w:pPr>
        <w:pStyle w:val="Tabellrubrik"/>
        <w:ind w:left="851" w:hanging="851"/>
      </w:pPr>
      <w:r w:rsidRPr="00BA7C9E">
        <w:t>Tabell 17 intäkter och Kostnader för avgiftsfinansierad Intern</w:t>
      </w:r>
      <w:r w:rsidRPr="00BA7C9E">
        <w:t>a</w:t>
      </w:r>
      <w:r w:rsidRPr="00BA7C9E">
        <w:t>tionell uppdragsverksamhet 2009</w:t>
      </w:r>
      <w:r w:rsidR="0034215B" w:rsidRPr="00BA7C9E">
        <w:t xml:space="preserve"> </w:t>
      </w:r>
      <w:r w:rsidRPr="00BA7C9E">
        <w:t>–</w:t>
      </w:r>
      <w:r w:rsidR="0034215B" w:rsidRPr="00BA7C9E">
        <w:t xml:space="preserve"> </w:t>
      </w:r>
      <w:r w:rsidRPr="00BA7C9E">
        <w:t xml:space="preserve">2011 (tkr) </w:t>
      </w:r>
    </w:p>
    <w:p w:rsidR="00F32CCD" w:rsidRPr="00BA7C9E" w:rsidRDefault="00BA7C9E" w:rsidP="00E42F22">
      <w:pPr>
        <w:pStyle w:val="Normaltindrag"/>
        <w:tabs>
          <w:tab w:val="left" w:pos="993"/>
        </w:tabs>
        <w:ind w:firstLine="0"/>
        <w:rPr>
          <w:b/>
        </w:rPr>
      </w:pPr>
      <w:r w:rsidRPr="00BA7C9E">
        <w:rPr>
          <w:noProof/>
        </w:rPr>
        <w:drawing>
          <wp:inline distT="0" distB="0" distL="0" distR="0">
            <wp:extent cx="3657600" cy="65341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7600" cy="653415"/>
                    </a:xfrm>
                    <a:prstGeom prst="rect">
                      <a:avLst/>
                    </a:prstGeom>
                    <a:noFill/>
                    <a:ln>
                      <a:noFill/>
                    </a:ln>
                  </pic:spPr>
                </pic:pic>
              </a:graphicData>
            </a:graphic>
          </wp:inline>
        </w:drawing>
      </w:r>
    </w:p>
    <w:p w:rsidR="00F32CCD" w:rsidRPr="00BA7C9E" w:rsidRDefault="00F32CCD" w:rsidP="00F32CCD">
      <w:pPr>
        <w:pStyle w:val="Normaltindrag"/>
      </w:pPr>
    </w:p>
    <w:p w:rsidR="00F32CCD" w:rsidRPr="00BA7C9E" w:rsidRDefault="00F32CCD" w:rsidP="004A2A16">
      <w:pPr>
        <w:pStyle w:val="Rubrik2"/>
        <w:spacing w:before="0"/>
      </w:pPr>
      <w:r w:rsidRPr="00BA7C9E">
        <w:br w:type="page"/>
      </w:r>
      <w:bookmarkStart w:id="72" w:name="_Toc311187640"/>
      <w:bookmarkStart w:id="73" w:name="_Toc315253451"/>
      <w:bookmarkStart w:id="74" w:name="_Toc318101637"/>
      <w:r w:rsidRPr="00BA7C9E">
        <w:t>Parlamentariska rådet</w:t>
      </w:r>
      <w:bookmarkEnd w:id="72"/>
      <w:bookmarkEnd w:id="73"/>
      <w:bookmarkEnd w:id="74"/>
    </w:p>
    <w:p w:rsidR="00F32CCD" w:rsidRPr="00BA7C9E" w:rsidRDefault="00F32CCD" w:rsidP="00C52848">
      <w:r w:rsidRPr="00BA7C9E">
        <w:t>Riksrevisionens parlamentariska råd</w:t>
      </w:r>
      <w:r w:rsidR="00DE143B" w:rsidRPr="00BA7C9E">
        <w:t xml:space="preserve"> inrättades den </w:t>
      </w:r>
      <w:r w:rsidR="008D1423" w:rsidRPr="00BA7C9E">
        <w:t>1</w:t>
      </w:r>
      <w:r w:rsidR="00DE143B" w:rsidRPr="00BA7C9E">
        <w:t xml:space="preserve"> januari 2011</w:t>
      </w:r>
      <w:r w:rsidRPr="00BA7C9E">
        <w:t xml:space="preserve">. </w:t>
      </w:r>
      <w:r w:rsidR="0079744A" w:rsidRPr="00BA7C9E">
        <w:t xml:space="preserve">Rådet övertog uppgiften att följa granskningsverksamheten från Riksrevisionens styrelse som lades ner vid årsskiftet 2010/2011. </w:t>
      </w:r>
      <w:r w:rsidRPr="00BA7C9E">
        <w:t xml:space="preserve">Enligt riksdagsordningen ska riksdagen för varje valperiod välja ett </w:t>
      </w:r>
      <w:r w:rsidR="0079744A" w:rsidRPr="00BA7C9E">
        <w:t>parlamentariskt</w:t>
      </w:r>
      <w:r w:rsidRPr="00BA7C9E">
        <w:t xml:space="preserve"> råd</w:t>
      </w:r>
      <w:r w:rsidR="00F656A3" w:rsidRPr="00BA7C9E">
        <w:t xml:space="preserve"> som</w:t>
      </w:r>
      <w:r w:rsidRPr="00BA7C9E">
        <w:t xml:space="preserve"> </w:t>
      </w:r>
      <w:r w:rsidR="00B731BE" w:rsidRPr="00BA7C9E">
        <w:t xml:space="preserve">ska </w:t>
      </w:r>
      <w:r w:rsidRPr="00BA7C9E">
        <w:t>bestå</w:t>
      </w:r>
      <w:r w:rsidR="00B731BE" w:rsidRPr="00BA7C9E">
        <w:t xml:space="preserve"> </w:t>
      </w:r>
      <w:r w:rsidRPr="00BA7C9E">
        <w:t xml:space="preserve">av en riksdagsledamot från varje partigrupp. Inga suppleanter ska finnas.  </w:t>
      </w:r>
    </w:p>
    <w:p w:rsidR="00F32CCD" w:rsidRPr="00BA7C9E" w:rsidRDefault="00F32CCD" w:rsidP="00F32CCD">
      <w:pPr>
        <w:pStyle w:val="Normaltindrag"/>
      </w:pPr>
      <w:r w:rsidRPr="00BA7C9E">
        <w:t>Riksrevisionens parlamentariska råd har under året följt granskningsver</w:t>
      </w:r>
      <w:r w:rsidRPr="00BA7C9E">
        <w:t>k</w:t>
      </w:r>
      <w:r w:rsidRPr="00BA7C9E">
        <w:t>samheten i enlighet med regelverket. Rådet har fått en redogörelse för försl</w:t>
      </w:r>
      <w:r w:rsidRPr="00BA7C9E">
        <w:t>a</w:t>
      </w:r>
      <w:r w:rsidRPr="00BA7C9E">
        <w:t>get till budget för Riksrevisionen av riksrevisorn med administrativt ansvar. Vidare har information lämnats om Riksrevisionens årsredovisning för 2010, Riksrevisorernas årliga rapport, granskningsplanen 2011/12 och om det inte</w:t>
      </w:r>
      <w:r w:rsidRPr="00BA7C9E">
        <w:t>r</w:t>
      </w:r>
      <w:r w:rsidRPr="00BA7C9E">
        <w:t xml:space="preserve">nationella utvecklingssamarbetet. </w:t>
      </w:r>
    </w:p>
    <w:p w:rsidR="00DE143B" w:rsidRPr="00BA7C9E" w:rsidRDefault="00F32CCD" w:rsidP="00F32CCD">
      <w:pPr>
        <w:pStyle w:val="Normaltindrag"/>
      </w:pPr>
      <w:r w:rsidRPr="00BA7C9E">
        <w:t>Riksrevisorerna har också löpande redovisat arbetet i de viktigaste grans</w:t>
      </w:r>
      <w:r w:rsidRPr="00BA7C9E">
        <w:t>k</w:t>
      </w:r>
      <w:r w:rsidRPr="00BA7C9E">
        <w:t>ningarna och hur granskningsplanen följs.</w:t>
      </w:r>
      <w:r w:rsidR="00D0379E" w:rsidRPr="00BA7C9E">
        <w:t xml:space="preserve"> </w:t>
      </w:r>
      <w:r w:rsidRPr="00BA7C9E">
        <w:t>Rådet har haft fem sammanträden under året. En arbetsordning har antagits.</w:t>
      </w:r>
    </w:p>
    <w:p w:rsidR="00DE143B" w:rsidRPr="00BA7C9E" w:rsidRDefault="00DE143B" w:rsidP="00F32CCD">
      <w:pPr>
        <w:pStyle w:val="Normaltindrag"/>
      </w:pPr>
    </w:p>
    <w:p w:rsidR="00F32CCD" w:rsidRPr="00BA7C9E" w:rsidRDefault="00F32CCD" w:rsidP="00DE143B">
      <w:pPr>
        <w:pStyle w:val="Normaltindrag"/>
        <w:ind w:firstLine="0"/>
      </w:pPr>
      <w:r w:rsidRPr="00BA7C9E">
        <w:t>Det parlamentariska rådet består av följande ledamöter:</w:t>
      </w:r>
    </w:p>
    <w:p w:rsidR="00F32CCD" w:rsidRPr="00BA7C9E" w:rsidRDefault="00F32CCD" w:rsidP="00DE143B">
      <w:pPr>
        <w:jc w:val="left"/>
      </w:pPr>
      <w:r w:rsidRPr="00BA7C9E">
        <w:t>Emma Henriksson (KD), ordförande</w:t>
      </w:r>
    </w:p>
    <w:p w:rsidR="00F32CCD" w:rsidRPr="00BA7C9E" w:rsidRDefault="00F32CCD" w:rsidP="00DE143B">
      <w:pPr>
        <w:jc w:val="left"/>
      </w:pPr>
      <w:r w:rsidRPr="00BA7C9E">
        <w:t>Billy Gustafsson (S), vice ordförande, ledamot sedan 2011-05-06</w:t>
      </w:r>
    </w:p>
    <w:p w:rsidR="00F32CCD" w:rsidRPr="00BA7C9E" w:rsidRDefault="00F32CCD" w:rsidP="00DE143B">
      <w:pPr>
        <w:jc w:val="left"/>
      </w:pPr>
      <w:r w:rsidRPr="00BA7C9E">
        <w:t>Elisabeth Svantesson (M)</w:t>
      </w:r>
    </w:p>
    <w:p w:rsidR="00F32CCD" w:rsidRPr="00BA7C9E" w:rsidRDefault="00F32CCD" w:rsidP="00DE143B">
      <w:pPr>
        <w:jc w:val="left"/>
      </w:pPr>
      <w:r w:rsidRPr="00BA7C9E">
        <w:t>Ulf Holm (MP)</w:t>
      </w:r>
    </w:p>
    <w:p w:rsidR="00F32CCD" w:rsidRPr="00BA7C9E" w:rsidRDefault="00F32CCD" w:rsidP="00DE143B">
      <w:pPr>
        <w:jc w:val="left"/>
      </w:pPr>
      <w:r w:rsidRPr="00BA7C9E">
        <w:t>Gunnar Andrén (FP)</w:t>
      </w:r>
    </w:p>
    <w:p w:rsidR="00F32CCD" w:rsidRPr="00BA7C9E" w:rsidRDefault="00F32CCD" w:rsidP="00DE143B">
      <w:pPr>
        <w:jc w:val="left"/>
      </w:pPr>
      <w:r w:rsidRPr="00BA7C9E">
        <w:t>Anders W Jonsson (C)</w:t>
      </w:r>
    </w:p>
    <w:p w:rsidR="00F32CCD" w:rsidRPr="00BA7C9E" w:rsidRDefault="00F32CCD" w:rsidP="00DE143B">
      <w:pPr>
        <w:jc w:val="left"/>
      </w:pPr>
      <w:r w:rsidRPr="00BA7C9E">
        <w:t>David Lång (SD)</w:t>
      </w:r>
    </w:p>
    <w:p w:rsidR="00F32CCD" w:rsidRPr="00BA7C9E" w:rsidRDefault="00F32CCD" w:rsidP="00DE143B">
      <w:pPr>
        <w:jc w:val="left"/>
      </w:pPr>
      <w:r w:rsidRPr="00BA7C9E">
        <w:t xml:space="preserve">Jacob Johnson (V) </w:t>
      </w:r>
    </w:p>
    <w:p w:rsidR="00F32CCD" w:rsidRPr="00BA7C9E" w:rsidRDefault="00F32CCD" w:rsidP="00DE143B">
      <w:pPr>
        <w:jc w:val="left"/>
      </w:pPr>
      <w:r w:rsidRPr="00BA7C9E">
        <w:t>Tommy Waidelich (S), ledamot 2011-01-01–2011-05-04</w:t>
      </w:r>
    </w:p>
    <w:p w:rsidR="00F32CCD" w:rsidRPr="00BA7C9E" w:rsidRDefault="00000F7E" w:rsidP="00000F7E">
      <w:pPr>
        <w:pStyle w:val="Rubrik2"/>
        <w:spacing w:before="0"/>
      </w:pPr>
      <w:r w:rsidRPr="00BA7C9E">
        <w:br w:type="page"/>
      </w:r>
      <w:bookmarkStart w:id="75" w:name="_Toc315253452"/>
      <w:bookmarkStart w:id="76" w:name="_Toc318101638"/>
      <w:r w:rsidR="00F32CCD" w:rsidRPr="00BA7C9E">
        <w:t>Vetenskapliga rådet</w:t>
      </w:r>
      <w:bookmarkEnd w:id="75"/>
      <w:bookmarkEnd w:id="76"/>
    </w:p>
    <w:p w:rsidR="00F32CCD" w:rsidRPr="00BA7C9E" w:rsidRDefault="00F32CCD" w:rsidP="00000F7E">
      <w:r w:rsidRPr="00BA7C9E">
        <w:t>Det vetenskapliga rådet är ett rådgivande organ till riksrevisorerna, i första hand med inriktning mot mer strategiska frågor. Frågor som tagits upp har företrädesvis behandlat kvalitet och val av metod i granskningsarbetet. Det vetenskapliga rådet har engagerats för diskussioner om publicerade grans</w:t>
      </w:r>
      <w:r w:rsidRPr="00BA7C9E">
        <w:t>k</w:t>
      </w:r>
      <w:r w:rsidRPr="00BA7C9E">
        <w:t>ningsrapporter, pågående granskningar och förstudier från effektivitetsrev</w:t>
      </w:r>
      <w:r w:rsidRPr="00BA7C9E">
        <w:t>i</w:t>
      </w:r>
      <w:r w:rsidRPr="00BA7C9E">
        <w:t>sionen, Riksrevisionens uppföljningsrapport och Riksrevisorernas årliga rapport. Den granskning av kvaliteten i granskningsrapporterna som löpande genomförs av Uppsala universitet har också diskuterats. Normalt deltar de berörda projektgrupperna i diskussionerna. De skriftliga underlag som tas fram till rådets möten samt minnesanteckningar finns tillgängliga på Riksr</w:t>
      </w:r>
      <w:r w:rsidRPr="00BA7C9E">
        <w:t>e</w:t>
      </w:r>
      <w:r w:rsidRPr="00BA7C9E">
        <w:t xml:space="preserve">visionens intranät. </w:t>
      </w:r>
    </w:p>
    <w:p w:rsidR="00F32CCD" w:rsidRPr="00BA7C9E" w:rsidRDefault="00F32CCD" w:rsidP="00F32CCD">
      <w:pPr>
        <w:spacing w:before="0"/>
        <w:ind w:firstLine="227"/>
      </w:pPr>
      <w:r w:rsidRPr="00BA7C9E">
        <w:t xml:space="preserve">Rådet har under året haft två möten, och Riksrevisionen har i likhet med tidigare år haft stort utbyte av det vetenskapliga rådets arbete. </w:t>
      </w:r>
    </w:p>
    <w:p w:rsidR="00F32CCD" w:rsidRPr="00BA7C9E" w:rsidRDefault="00F32CCD" w:rsidP="00F32CCD"/>
    <w:p w:rsidR="00F32CCD" w:rsidRPr="00BA7C9E" w:rsidRDefault="00F32CCD" w:rsidP="00F32CCD">
      <w:r w:rsidRPr="00BA7C9E">
        <w:t xml:space="preserve">Det vetenskapliga rådet består av följande ledamöter: </w:t>
      </w:r>
    </w:p>
    <w:p w:rsidR="00F32CCD" w:rsidRPr="00BA7C9E" w:rsidRDefault="00F32CCD" w:rsidP="00F32CCD">
      <w:pPr>
        <w:jc w:val="left"/>
      </w:pPr>
      <w:r w:rsidRPr="00BA7C9E">
        <w:t xml:space="preserve">Fredrik Andersson, professor, Lunds universitet </w:t>
      </w:r>
    </w:p>
    <w:p w:rsidR="00F32CCD" w:rsidRPr="00BA7C9E" w:rsidRDefault="00F32CCD" w:rsidP="00F32CCD">
      <w:pPr>
        <w:jc w:val="left"/>
      </w:pPr>
      <w:r w:rsidRPr="00BA7C9E">
        <w:t xml:space="preserve">Claes Bergström, professor, Handelshögskolan i Stockholm </w:t>
      </w:r>
    </w:p>
    <w:p w:rsidR="00F32CCD" w:rsidRPr="00BA7C9E" w:rsidRDefault="00F32CCD" w:rsidP="00F32CCD">
      <w:pPr>
        <w:jc w:val="left"/>
      </w:pPr>
      <w:r w:rsidRPr="00BA7C9E">
        <w:t xml:space="preserve">Thomas Bull, professor, Uppsala universitet </w:t>
      </w:r>
    </w:p>
    <w:p w:rsidR="00F32CCD" w:rsidRPr="00BA7C9E" w:rsidRDefault="00F32CCD" w:rsidP="00F32CCD">
      <w:pPr>
        <w:jc w:val="left"/>
      </w:pPr>
      <w:r w:rsidRPr="00BA7C9E">
        <w:t xml:space="preserve">Margareta Hallberg, professor, Göteborgs universitet </w:t>
      </w:r>
    </w:p>
    <w:p w:rsidR="00F32CCD" w:rsidRPr="00BA7C9E" w:rsidRDefault="00F32CCD" w:rsidP="00F32CCD">
      <w:pPr>
        <w:jc w:val="left"/>
      </w:pPr>
      <w:r w:rsidRPr="00BA7C9E">
        <w:t xml:space="preserve">Jesper Strömbäck, professor, Mittuniversitetet i Sundsvall </w:t>
      </w:r>
    </w:p>
    <w:p w:rsidR="00F32CCD" w:rsidRPr="00BA7C9E" w:rsidRDefault="00F32CCD" w:rsidP="00F32CCD">
      <w:pPr>
        <w:jc w:val="left"/>
      </w:pPr>
      <w:r w:rsidRPr="00BA7C9E">
        <w:t xml:space="preserve">Daniel Tarschys, professor, Stockholms universitet (ledamot även tidigare) </w:t>
      </w:r>
    </w:p>
    <w:p w:rsidR="00F32CCD" w:rsidRPr="00BA7C9E" w:rsidRDefault="00F32CCD" w:rsidP="00F32CCD">
      <w:pPr>
        <w:jc w:val="left"/>
      </w:pPr>
      <w:r w:rsidRPr="00BA7C9E">
        <w:t>Wiweka Warnling-Nerep, professor, Stockholms universitet</w:t>
      </w:r>
    </w:p>
    <w:p w:rsidR="00000F7E" w:rsidRPr="00BA7C9E" w:rsidRDefault="00000F7E" w:rsidP="00000F7E">
      <w:pPr>
        <w:pStyle w:val="Normaltindrag"/>
      </w:pPr>
    </w:p>
    <w:p w:rsidR="00F32CCD" w:rsidRPr="00BA7C9E" w:rsidRDefault="00000F7E" w:rsidP="00000F7E">
      <w:pPr>
        <w:pStyle w:val="Rubrik2"/>
        <w:spacing w:before="0"/>
      </w:pPr>
      <w:r w:rsidRPr="00BA7C9E">
        <w:br w:type="page"/>
      </w:r>
      <w:bookmarkStart w:id="77" w:name="_Toc284579694"/>
      <w:bookmarkStart w:id="78" w:name="_Toc311187642"/>
      <w:bookmarkStart w:id="79" w:name="_Toc315253453"/>
      <w:bookmarkStart w:id="80" w:name="_Toc318101639"/>
      <w:r w:rsidR="00F32CCD" w:rsidRPr="00BA7C9E">
        <w:t>Kompetens och personal</w:t>
      </w:r>
      <w:bookmarkEnd w:id="77"/>
      <w:bookmarkEnd w:id="78"/>
      <w:bookmarkEnd w:id="79"/>
      <w:bookmarkEnd w:id="80"/>
    </w:p>
    <w:p w:rsidR="00F32CCD" w:rsidRPr="00BA7C9E" w:rsidRDefault="00F32CCD" w:rsidP="004A2A16">
      <w:pPr>
        <w:spacing w:before="125"/>
        <w:rPr>
          <w:b/>
        </w:rPr>
      </w:pPr>
      <w:bookmarkStart w:id="81" w:name="_Toc284579695"/>
      <w:r w:rsidRPr="00BA7C9E">
        <w:t>I detta kapitel redovisas de åtgärder som vidtagits för att säkerställa att det finns god kompetens för att nå verksamhetens mål och utföra Riksrevisionens uppdrag. Riksrevisorerna har med stöd av väsentlighetskriteriet</w:t>
      </w:r>
      <w:r w:rsidRPr="00BA7C9E">
        <w:rPr>
          <w:vertAlign w:val="superscript"/>
        </w:rPr>
        <w:footnoteReference w:id="12"/>
      </w:r>
      <w:r w:rsidRPr="00BA7C9E">
        <w:t xml:space="preserve"> valt att liksom regeringens myndigheter redovisa kompetensförsörjning enligt 3 kap. 3 § förordningen (2000:605) om årsredovisning och budgetunderlag. Dessu</w:t>
      </w:r>
      <w:r w:rsidRPr="00BA7C9E">
        <w:t>t</w:t>
      </w:r>
      <w:r w:rsidRPr="00BA7C9E">
        <w:t>om redovisas här personalstatistik, sjukfrånvaro, arbetsmiljö och åtgärder för att förebygga ohälsa.</w:t>
      </w:r>
      <w:r w:rsidRPr="00BA7C9E" w:rsidDel="000170D3">
        <w:t xml:space="preserve"> </w:t>
      </w:r>
      <w:bookmarkStart w:id="82" w:name="_Toc311187643"/>
    </w:p>
    <w:p w:rsidR="00F32CCD" w:rsidRPr="00BA7C9E" w:rsidRDefault="00F32CCD" w:rsidP="005E47D4">
      <w:pPr>
        <w:pStyle w:val="Rubrik3"/>
        <w:rPr>
          <w:noProof w:val="0"/>
        </w:rPr>
      </w:pPr>
      <w:bookmarkStart w:id="83" w:name="_Toc315253454"/>
      <w:bookmarkStart w:id="84" w:name="_Toc318101640"/>
      <w:r w:rsidRPr="00BA7C9E">
        <w:rPr>
          <w:noProof w:val="0"/>
        </w:rPr>
        <w:t>Sammanfattande bedömning</w:t>
      </w:r>
      <w:bookmarkEnd w:id="81"/>
      <w:bookmarkEnd w:id="82"/>
      <w:bookmarkEnd w:id="83"/>
      <w:bookmarkEnd w:id="84"/>
    </w:p>
    <w:p w:rsidR="00F32CCD" w:rsidRPr="00BA7C9E" w:rsidRDefault="00F32CCD" w:rsidP="00F32CCD">
      <w:pPr>
        <w:spacing w:before="0"/>
        <w:rPr>
          <w:color w:val="000000"/>
        </w:rPr>
      </w:pPr>
      <w:r w:rsidRPr="00BA7C9E">
        <w:t>Riksrevisionen arbetar för att säkerställa</w:t>
      </w:r>
      <w:r w:rsidR="00A4289A" w:rsidRPr="00BA7C9E">
        <w:t xml:space="preserve"> en effektiv</w:t>
      </w:r>
      <w:r w:rsidRPr="00BA7C9E">
        <w:t xml:space="preserve"> kompetensförsörjning vilket </w:t>
      </w:r>
      <w:r w:rsidR="00A4289A" w:rsidRPr="00BA7C9E">
        <w:t xml:space="preserve">också </w:t>
      </w:r>
      <w:r w:rsidRPr="00BA7C9E">
        <w:t>är en förutsättning för att myndigheten ska uppfattas som en attraktiv arbetsplats o</w:t>
      </w:r>
      <w:r w:rsidR="00A4289A" w:rsidRPr="00BA7C9E">
        <w:t xml:space="preserve">ch arbetsgivare. För att </w:t>
      </w:r>
      <w:r w:rsidRPr="00BA7C9E">
        <w:t>behålla en tillfredsställande kompetensförsörjning satsar Riksrevisionen bland annat på vidareutbildning inom professionen, ledarutveckling och justering av ingångslöner. Medarb</w:t>
      </w:r>
      <w:r w:rsidRPr="00BA7C9E">
        <w:t>e</w:t>
      </w:r>
      <w:r w:rsidRPr="00BA7C9E">
        <w:t>tarenkäten är en viktig indikator som visar hur de anställda uppfattar sin a</w:t>
      </w:r>
      <w:r w:rsidRPr="00BA7C9E">
        <w:t>r</w:t>
      </w:r>
      <w:r w:rsidRPr="00BA7C9E">
        <w:t>betsplats. De brister som framkom i den senaste medarbetarundersökningen har följts upp och åtgärder har inarbetats i den löpande verksamheten under året. Riksrevisionen har haft en något högre personalomsättning under 2011 jämfört med 2010, vilket var förväntat med tanke på den låga personalomsät</w:t>
      </w:r>
      <w:r w:rsidRPr="00BA7C9E">
        <w:t>t</w:t>
      </w:r>
      <w:r w:rsidRPr="00BA7C9E">
        <w:t>ning myndigheten hade under föregående år. Sjukfrånvaron har minskat något under året</w:t>
      </w:r>
      <w:r w:rsidR="00D848FC" w:rsidRPr="00BA7C9E">
        <w:t>.</w:t>
      </w:r>
      <w:r w:rsidRPr="00BA7C9E">
        <w:t xml:space="preserve"> </w:t>
      </w:r>
      <w:r w:rsidRPr="00BA7C9E">
        <w:rPr>
          <w:color w:val="000000"/>
        </w:rPr>
        <w:t>Sammantaget bedömer Riksrevisionen att kompetensläget är til</w:t>
      </w:r>
      <w:r w:rsidRPr="00BA7C9E">
        <w:rPr>
          <w:color w:val="000000"/>
        </w:rPr>
        <w:t>l</w:t>
      </w:r>
      <w:r w:rsidRPr="00BA7C9E">
        <w:rPr>
          <w:color w:val="000000"/>
        </w:rPr>
        <w:t xml:space="preserve">fredsställande. </w:t>
      </w:r>
    </w:p>
    <w:p w:rsidR="00F32CCD" w:rsidRPr="00BA7C9E" w:rsidRDefault="00F32CCD" w:rsidP="005E47D4">
      <w:pPr>
        <w:pStyle w:val="Rubrik3"/>
        <w:rPr>
          <w:noProof w:val="0"/>
        </w:rPr>
      </w:pPr>
      <w:bookmarkStart w:id="85" w:name="_Toc311187644"/>
      <w:bookmarkStart w:id="86" w:name="_Toc315253455"/>
      <w:bookmarkStart w:id="87" w:name="_Toc318101641"/>
      <w:r w:rsidRPr="00BA7C9E">
        <w:rPr>
          <w:noProof w:val="0"/>
        </w:rPr>
        <w:t>Kompetens</w:t>
      </w:r>
      <w:bookmarkEnd w:id="85"/>
      <w:bookmarkEnd w:id="86"/>
      <w:bookmarkEnd w:id="87"/>
    </w:p>
    <w:p w:rsidR="00F32CCD" w:rsidRPr="00BA7C9E" w:rsidRDefault="00F32CCD" w:rsidP="00F32CCD">
      <w:r w:rsidRPr="00BA7C9E">
        <w:t>Nedan beskrivs de åtgärder som vidtagits för att säkerställa myndighetens kompetens. Åtgärderna bedöms ha förbättrat myndighetens möjlighet att attrahera, rekrytera och behålla rätt kompetens för att genomföra sitt upp</w:t>
      </w:r>
      <w:r w:rsidR="00A4289A" w:rsidRPr="00BA7C9E">
        <w:t>drag och uppnå de mål som ställt</w:t>
      </w:r>
      <w:r w:rsidRPr="00BA7C9E">
        <w:t>s.</w:t>
      </w:r>
    </w:p>
    <w:p w:rsidR="00F32CCD" w:rsidRPr="00BA7C9E" w:rsidRDefault="00F32CCD" w:rsidP="005E47D4">
      <w:pPr>
        <w:pStyle w:val="R4"/>
      </w:pPr>
      <w:r w:rsidRPr="00BA7C9E">
        <w:t xml:space="preserve">Kompetens- och ledarskapsförsörjning </w:t>
      </w:r>
    </w:p>
    <w:p w:rsidR="00A4289A" w:rsidRPr="00BA7C9E" w:rsidRDefault="00F32CCD" w:rsidP="00A4289A">
      <w:r w:rsidRPr="00BA7C9E">
        <w:t>Metoden för lönesätta</w:t>
      </w:r>
      <w:r w:rsidR="00A4289A" w:rsidRPr="00BA7C9E">
        <w:t>nde samtal har vidareutvecklats</w:t>
      </w:r>
      <w:r w:rsidRPr="00BA7C9E">
        <w:t xml:space="preserve"> och lönesättande samtal har nu blivit accepterat som ett vedertaget arbetssätt </w:t>
      </w:r>
      <w:r w:rsidR="00A4289A" w:rsidRPr="00BA7C9E">
        <w:t xml:space="preserve">i </w:t>
      </w:r>
      <w:r w:rsidRPr="00BA7C9E">
        <w:t>m</w:t>
      </w:r>
      <w:r w:rsidR="00A4289A" w:rsidRPr="00BA7C9E">
        <w:t>yndighetens årliga lönerevision</w:t>
      </w:r>
      <w:r w:rsidRPr="00BA7C9E">
        <w:t>. Ingångslönerna för nyexaminerade akademiker har under året höjts. Myndigheten har vidare gjort följdjusteringar av lönestrukturer som är direkt kopplade till ingångslöner. Premien som tilldelas de revisorer inom årlig revision som klarat ett prov har höjts.</w:t>
      </w:r>
      <w:r w:rsidR="00A4289A" w:rsidRPr="00BA7C9E">
        <w:t xml:space="preserve"> </w:t>
      </w:r>
    </w:p>
    <w:p w:rsidR="00F32CCD" w:rsidRPr="00BA7C9E" w:rsidRDefault="00F32CCD" w:rsidP="00A4289A">
      <w:pPr>
        <w:ind w:firstLine="227"/>
      </w:pPr>
      <w:r w:rsidRPr="00BA7C9E">
        <w:t>Arbetet med att införa metoder för att tillvarata, utveckla och dela kunsk</w:t>
      </w:r>
      <w:r w:rsidRPr="00BA7C9E">
        <w:t>a</w:t>
      </w:r>
      <w:r w:rsidRPr="00BA7C9E">
        <w:t xml:space="preserve">per inom organisationen har </w:t>
      </w:r>
      <w:r w:rsidR="00A4289A" w:rsidRPr="00BA7C9E">
        <w:t>utvecklats</w:t>
      </w:r>
      <w:r w:rsidRPr="00BA7C9E">
        <w:t>. En långsiktig och strukturerad ko</w:t>
      </w:r>
      <w:r w:rsidRPr="00BA7C9E">
        <w:t>m</w:t>
      </w:r>
      <w:r w:rsidRPr="00BA7C9E">
        <w:t>petensplanering har initierats. Rätt kompetenssammansättning är nödvändig för en effektiv och god användning av myndighetens resurser.</w:t>
      </w:r>
    </w:p>
    <w:p w:rsidR="00F32CCD" w:rsidRPr="00BA7C9E" w:rsidRDefault="00F32CCD" w:rsidP="00F32CCD">
      <w:pPr>
        <w:spacing w:before="0"/>
        <w:ind w:firstLine="227"/>
      </w:pPr>
      <w:r w:rsidRPr="00BA7C9E">
        <w:t>Hur Riksrevisionens kärnvärden, öppenhet, professionalism och oberoe</w:t>
      </w:r>
      <w:r w:rsidRPr="00BA7C9E">
        <w:t>n</w:t>
      </w:r>
      <w:r w:rsidRPr="00BA7C9E">
        <w:t>de, tolkas och tillämpas har betydelse för hur myndigheten genomför sitt uppdrag och hur effektivt målen uppnås. Riksrevisionen har därför under 2011 arbetat vidare med sin värdegrund. Kärnvärdena och etikpolicyn har diskuterats. Likaså har seminarier med aktuella dilemman genomförts. Vä</w:t>
      </w:r>
      <w:r w:rsidRPr="00BA7C9E">
        <w:t>r</w:t>
      </w:r>
      <w:r w:rsidRPr="00BA7C9E">
        <w:t>degrund har varit tema för ett chefsseminarium och erfarenheterna summer</w:t>
      </w:r>
      <w:r w:rsidRPr="00BA7C9E">
        <w:t>a</w:t>
      </w:r>
      <w:r w:rsidRPr="00BA7C9E">
        <w:t>des på en myndighetsdag. Denna gemensamma satsning har resulterat i en förtydligad definition och beskrivning av kärnvärdena. Under slutet av året har riktlinjer dragits upp för det fortsatta arbetet.</w:t>
      </w:r>
    </w:p>
    <w:p w:rsidR="00F32CCD" w:rsidRPr="00BA7C9E" w:rsidRDefault="00F32CCD" w:rsidP="00F32CCD">
      <w:pPr>
        <w:spacing w:before="0"/>
        <w:ind w:firstLine="227"/>
      </w:pPr>
      <w:r w:rsidRPr="00BA7C9E">
        <w:t>En av framgångsfaktorerna för myndighetens uppdrag och måluppfyllelse är en god ledarförsörjning, varför arbetet med att ta fram en långsiktig leda</w:t>
      </w:r>
      <w:r w:rsidRPr="00BA7C9E">
        <w:t>r</w:t>
      </w:r>
      <w:r w:rsidRPr="00BA7C9E">
        <w:t>försörjningsplan har påbörjats utifrån den ledarförsörjningsstrategi som rev</w:t>
      </w:r>
      <w:r w:rsidRPr="00BA7C9E">
        <w:t>i</w:t>
      </w:r>
      <w:r w:rsidRPr="00BA7C9E">
        <w:t>derats under 2011. Ett nytt ledarutvecklingsprogram har startats. Programmet omfattar både individuella insatser och aktiviteter för hela chefskollektivet. De gemensamma aktiviteterna under 2011 har inriktats på att stärka myndi</w:t>
      </w:r>
      <w:r w:rsidRPr="00BA7C9E">
        <w:t>g</w:t>
      </w:r>
      <w:r w:rsidRPr="00BA7C9E">
        <w:t>hetens arbete med värdegrunden och att höja chefernas medvetande om a</w:t>
      </w:r>
      <w:r w:rsidRPr="00BA7C9E">
        <w:t>r</w:t>
      </w:r>
      <w:r w:rsidRPr="00BA7C9E">
        <w:t xml:space="preserve">betsmiljöns betydelse. </w:t>
      </w:r>
    </w:p>
    <w:p w:rsidR="00F32CCD" w:rsidRPr="00BA7C9E" w:rsidRDefault="00F32CCD" w:rsidP="005E47D4">
      <w:pPr>
        <w:pStyle w:val="R4"/>
      </w:pPr>
      <w:r w:rsidRPr="00BA7C9E">
        <w:t xml:space="preserve">Kompetensutveckling </w:t>
      </w:r>
    </w:p>
    <w:p w:rsidR="00F32CCD" w:rsidRPr="00BA7C9E" w:rsidRDefault="00F32CCD" w:rsidP="00F32CCD">
      <w:r w:rsidRPr="00BA7C9E">
        <w:t xml:space="preserve">Under sitt första år deltar nyanställda i en introduktionsutbildning som är gemensam för hela myndigheten. </w:t>
      </w:r>
      <w:r w:rsidR="00E5006C" w:rsidRPr="00BA7C9E">
        <w:t xml:space="preserve">Vid det årliga </w:t>
      </w:r>
      <w:r w:rsidR="00C02002" w:rsidRPr="00BA7C9E">
        <w:t xml:space="preserve">medarbetarsamtalet </w:t>
      </w:r>
      <w:r w:rsidR="001607F1" w:rsidRPr="00BA7C9E">
        <w:t xml:space="preserve">upprättar </w:t>
      </w:r>
      <w:r w:rsidR="00C02002" w:rsidRPr="00BA7C9E">
        <w:t>alla</w:t>
      </w:r>
      <w:r w:rsidRPr="00BA7C9E">
        <w:t xml:space="preserve"> anställda en individuell kompetensutvecklingsplan </w:t>
      </w:r>
      <w:r w:rsidR="00E5006C" w:rsidRPr="00BA7C9E">
        <w:t xml:space="preserve">i samråd med </w:t>
      </w:r>
      <w:r w:rsidR="00945528" w:rsidRPr="00BA7C9E">
        <w:t xml:space="preserve">sin </w:t>
      </w:r>
      <w:r w:rsidR="00E5006C" w:rsidRPr="00BA7C9E">
        <w:t>chef</w:t>
      </w:r>
      <w:r w:rsidR="00C02002" w:rsidRPr="00BA7C9E">
        <w:t>.</w:t>
      </w:r>
      <w:r w:rsidR="00E5006C" w:rsidRPr="00BA7C9E">
        <w:t xml:space="preserve"> </w:t>
      </w:r>
      <w:r w:rsidRPr="00BA7C9E">
        <w:t xml:space="preserve">En kompetensutvecklingsplan skapar förutsättningar för en medarbetares långsiktiga kompetensutveckling och karriärplanering. </w:t>
      </w:r>
    </w:p>
    <w:p w:rsidR="00F32CCD" w:rsidRPr="00BA7C9E" w:rsidRDefault="00F32CCD" w:rsidP="00F32CCD">
      <w:pPr>
        <w:keepNext/>
        <w:spacing w:before="0" w:line="200" w:lineRule="atLeast"/>
        <w:jc w:val="left"/>
        <w:outlineLvl w:val="5"/>
        <w:rPr>
          <w:sz w:val="18"/>
          <w:szCs w:val="18"/>
        </w:rPr>
      </w:pPr>
    </w:p>
    <w:p w:rsidR="00F32CCD" w:rsidRPr="00BA7C9E" w:rsidRDefault="00F32CCD" w:rsidP="005E47D4">
      <w:pPr>
        <w:pStyle w:val="R6"/>
      </w:pPr>
      <w:r w:rsidRPr="00BA7C9E">
        <w:t xml:space="preserve">Kompetensutveckling inom årlig revision </w:t>
      </w:r>
    </w:p>
    <w:p w:rsidR="00F32CCD" w:rsidRPr="00BA7C9E" w:rsidRDefault="00F32CCD" w:rsidP="00F32CCD">
      <w:r w:rsidRPr="00BA7C9E">
        <w:t>Under året gavs kurser inom det femåriga utbildningsprogram som Riksrev</w:t>
      </w:r>
      <w:r w:rsidRPr="00BA7C9E">
        <w:t>i</w:t>
      </w:r>
      <w:r w:rsidRPr="00BA7C9E">
        <w:t>sionen anordnar. I utbildningen ingår två prov, ett efter tre års yrkeserfarenhet varvad med utbildning och ett efter fem år. Utbildningen ska motsvara den som ges för revisorer inom den privata sektorn, men med fokus på det rege</w:t>
      </w:r>
      <w:r w:rsidRPr="00BA7C9E">
        <w:t>l</w:t>
      </w:r>
      <w:r w:rsidRPr="00BA7C9E">
        <w:t>verk som gäller statlig verksamhet. Syftet är att säkerställa att revisorerna inom årlig revision har tillräckliga teoretiska kunskaper för att utföra revision inom statlig verksamhet och förmåga att i praktiken tillämpa sådana kunsk</w:t>
      </w:r>
      <w:r w:rsidRPr="00BA7C9E">
        <w:t>a</w:t>
      </w:r>
      <w:r w:rsidRPr="00BA7C9E">
        <w:t xml:space="preserve">per i arbetet. Provverksamheten genomfördes liksom tidigare år i samarbete med Revisorsnämnden. </w:t>
      </w:r>
    </w:p>
    <w:p w:rsidR="00F32CCD" w:rsidRPr="00BA7C9E" w:rsidRDefault="00F32CCD" w:rsidP="00F32CCD">
      <w:pPr>
        <w:spacing w:before="0"/>
        <w:ind w:firstLine="227"/>
      </w:pPr>
      <w:r w:rsidRPr="00BA7C9E">
        <w:t xml:space="preserve">Under 2011 godkändes 6 av de 16 revisorer som genomförde prov 1 och 5 av de 11 revisorer som genomförde prov 2. Vid utgången av 2011 fanns 58 revisorer inom den årliga revisionen som klarat prov 1 eller prov 1 och 2 eller är auktoriserade revisorer. </w:t>
      </w:r>
    </w:p>
    <w:p w:rsidR="00F32CCD" w:rsidRPr="00BA7C9E" w:rsidRDefault="00F32CCD" w:rsidP="00F32CCD">
      <w:pPr>
        <w:spacing w:before="0"/>
        <w:ind w:firstLine="227"/>
      </w:pPr>
      <w:r w:rsidRPr="00BA7C9E">
        <w:t>De ansvariga revisorerna har ett delegerat ansvar i organisationen för vart och ett av den årliga revisionens uppdrag, vilket innebär att de ansvarar för revisionsarbetet och för att underteckna revisionsberättelser och revisorsintyg. Alla ansvariga revisorer uppfyller de interna kompetenskraven.</w:t>
      </w:r>
    </w:p>
    <w:p w:rsidR="00F32CCD" w:rsidRPr="00BA7C9E" w:rsidRDefault="00F32CCD" w:rsidP="005E47D4">
      <w:pPr>
        <w:pStyle w:val="R6"/>
      </w:pPr>
      <w:r w:rsidRPr="00BA7C9E">
        <w:t xml:space="preserve">Kompetensutveckling inom effektivitetsrevision </w:t>
      </w:r>
    </w:p>
    <w:p w:rsidR="00F32CCD" w:rsidRPr="00BA7C9E" w:rsidRDefault="00F32CCD" w:rsidP="00F32CCD">
      <w:r w:rsidRPr="00BA7C9E">
        <w:t>Den interna utbildningen för effektivitetsrevisorer består av en grundutbil</w:t>
      </w:r>
      <w:r w:rsidRPr="00BA7C9E">
        <w:t>d</w:t>
      </w:r>
      <w:r w:rsidRPr="00BA7C9E">
        <w:t>ning (nivå 1 och 2), en fortsättningsutbildning och en seminarieverksamhet. Det finns dessutom en akademisk katalog som erbjuder kurser på magister- och doktorandnivå inom forskningsområdet public management och metod. Utbildningarna som finns med i katalogen ges vid tio universitet och en hö</w:t>
      </w:r>
      <w:r w:rsidRPr="00BA7C9E">
        <w:t>g</w:t>
      </w:r>
      <w:r w:rsidRPr="00BA7C9E">
        <w:t xml:space="preserve">skola. </w:t>
      </w:r>
    </w:p>
    <w:p w:rsidR="00F32CCD" w:rsidRPr="00BA7C9E" w:rsidRDefault="00F32CCD" w:rsidP="00F32CCD">
      <w:pPr>
        <w:spacing w:before="0"/>
        <w:ind w:firstLine="227"/>
      </w:pPr>
      <w:r w:rsidRPr="00BA7C9E">
        <w:t>Under 2011 har implementeringen av det nya utbildningsprogrammet a</w:t>
      </w:r>
      <w:r w:rsidRPr="00BA7C9E">
        <w:t>v</w:t>
      </w:r>
      <w:r w:rsidRPr="00BA7C9E">
        <w:t>slutats och övergått till förvaltning. De utbildningar som genomförts har varit inom områdena projektarbete, metodutbildning, revisionsmetodik och ko</w:t>
      </w:r>
      <w:r w:rsidRPr="00BA7C9E">
        <w:t>m</w:t>
      </w:r>
      <w:r w:rsidRPr="00BA7C9E">
        <w:t>munikation. Vissa kurser har genomförts gemensamt med årlig revision. För revisorerna inom årlig revision har även anordnats två utbildningar i projek</w:t>
      </w:r>
      <w:r w:rsidRPr="00BA7C9E">
        <w:t>t</w:t>
      </w:r>
      <w:r w:rsidRPr="00BA7C9E">
        <w:t xml:space="preserve">ledning med samma struktur som för effektivitetsrevisorer. </w:t>
      </w:r>
    </w:p>
    <w:p w:rsidR="00F32CCD" w:rsidRPr="00BA7C9E" w:rsidRDefault="00F32CCD" w:rsidP="00F32CCD">
      <w:pPr>
        <w:spacing w:before="0"/>
        <w:ind w:firstLine="227"/>
      </w:pPr>
      <w:r w:rsidRPr="00BA7C9E">
        <w:t xml:space="preserve">Inom seminarieverksamheten har 19 interna seminarier genomförts, varav 14 i huvudsak inom effektivitetsrevisionens verksamhet. Seminarierna har bland annat varit inriktade mot metodområdet, upphandling, internationellt </w:t>
      </w:r>
      <w:r w:rsidR="00263F5A" w:rsidRPr="00BA7C9E">
        <w:t>utvecklings</w:t>
      </w:r>
      <w:r w:rsidRPr="00BA7C9E">
        <w:t xml:space="preserve">arbete och korruption. </w:t>
      </w:r>
    </w:p>
    <w:p w:rsidR="00F32CCD" w:rsidRPr="00BA7C9E" w:rsidRDefault="00F32CCD" w:rsidP="00F32CCD">
      <w:pPr>
        <w:spacing w:before="0"/>
        <w:ind w:firstLine="227"/>
      </w:pPr>
    </w:p>
    <w:p w:rsidR="00F32CCD" w:rsidRPr="00BA7C9E" w:rsidRDefault="00F32CCD" w:rsidP="005E47D4">
      <w:pPr>
        <w:pStyle w:val="R6"/>
      </w:pPr>
      <w:r w:rsidRPr="00BA7C9E">
        <w:t>Kompetensutveckling inom internationell verksamhet</w:t>
      </w:r>
    </w:p>
    <w:p w:rsidR="00F32CCD" w:rsidRPr="00BA7C9E" w:rsidRDefault="00F32CCD" w:rsidP="00F32CCD">
      <w:r w:rsidRPr="00BA7C9E">
        <w:t>I</w:t>
      </w:r>
      <w:r w:rsidR="00A03E72" w:rsidRPr="00BA7C9E">
        <w:t xml:space="preserve"> de internationella verksamheterna</w:t>
      </w:r>
      <w:r w:rsidRPr="00BA7C9E">
        <w:t xml:space="preserve"> har en särskild insats gjorts för att öka medarbetarnas kunskaper i det engelska språket. Medarbetare har även delt</w:t>
      </w:r>
      <w:r w:rsidRPr="00BA7C9E">
        <w:t>a</w:t>
      </w:r>
      <w:r w:rsidRPr="00BA7C9E">
        <w:t>git i seminarier och kurser för att höja kompetensen kring det svenska utvec</w:t>
      </w:r>
      <w:r w:rsidRPr="00BA7C9E">
        <w:t>k</w:t>
      </w:r>
      <w:r w:rsidRPr="00BA7C9E">
        <w:t>lingssamarbetet, arrangerade av bland annat Sida.</w:t>
      </w:r>
    </w:p>
    <w:p w:rsidR="00F32CCD" w:rsidRPr="00BA7C9E" w:rsidRDefault="00F32CCD" w:rsidP="005E47D4">
      <w:pPr>
        <w:pStyle w:val="R4"/>
      </w:pPr>
      <w:r w:rsidRPr="00BA7C9E">
        <w:t>Användning av extern kompetens och internt kompetensutbyte</w:t>
      </w:r>
    </w:p>
    <w:p w:rsidR="00F32CCD" w:rsidRPr="00BA7C9E" w:rsidRDefault="00F32CCD" w:rsidP="00F32CCD">
      <w:pPr>
        <w:keepNext/>
      </w:pPr>
      <w:r w:rsidRPr="00BA7C9E">
        <w:t>En viktig strategisk fråga för Riksrevisionen är att utnyttja den egna samlade kompetensen på bästa sätt och vid behov komplettera den dels genom sama</w:t>
      </w:r>
      <w:r w:rsidRPr="00BA7C9E">
        <w:t>r</w:t>
      </w:r>
      <w:r w:rsidRPr="00BA7C9E">
        <w:t xml:space="preserve">bete med universitet och högskolor, dels genom att anlita konsulter inom både revision och administration. </w:t>
      </w:r>
    </w:p>
    <w:p w:rsidR="00F32CCD" w:rsidRPr="00BA7C9E" w:rsidRDefault="00F32CCD" w:rsidP="00F32CCD">
      <w:pPr>
        <w:spacing w:before="0"/>
        <w:ind w:firstLine="227"/>
      </w:pPr>
      <w:r w:rsidRPr="00BA7C9E">
        <w:t>För att kunna leverera en jämn produktion till riksdagen är en viktig ko</w:t>
      </w:r>
      <w:r w:rsidRPr="00BA7C9E">
        <w:t>m</w:t>
      </w:r>
      <w:r w:rsidRPr="00BA7C9E">
        <w:t xml:space="preserve">ponent att hyra in tillfällig personal och specialistkompetens. Det senare avser till exempel akademiskt avancerad kunskap och specialistkompetens inom </w:t>
      </w:r>
      <w:r w:rsidR="0036652D" w:rsidRPr="00BA7C9E">
        <w:t>it</w:t>
      </w:r>
      <w:r w:rsidRPr="00BA7C9E">
        <w:t>-revision. Extern kompetens utgör dessutom ett viktigt stöd för kärnverksa</w:t>
      </w:r>
      <w:r w:rsidRPr="00BA7C9E">
        <w:t>m</w:t>
      </w:r>
      <w:r w:rsidRPr="00BA7C9E">
        <w:t>heten vid verksamhets- och kompetensutveckling.</w:t>
      </w:r>
    </w:p>
    <w:p w:rsidR="00F32CCD" w:rsidRPr="00BA7C9E" w:rsidRDefault="00F32CCD" w:rsidP="00F32CCD">
      <w:pPr>
        <w:keepNext/>
        <w:spacing w:before="0" w:line="200" w:lineRule="atLeast"/>
        <w:jc w:val="left"/>
        <w:outlineLvl w:val="5"/>
        <w:rPr>
          <w:sz w:val="18"/>
          <w:szCs w:val="18"/>
        </w:rPr>
      </w:pPr>
    </w:p>
    <w:p w:rsidR="00F32CCD" w:rsidRPr="00BA7C9E" w:rsidRDefault="00F32CCD" w:rsidP="005E47D4">
      <w:pPr>
        <w:pStyle w:val="R6"/>
      </w:pPr>
      <w:r w:rsidRPr="00BA7C9E">
        <w:t>Användning av extern kompetens och konsulter</w:t>
      </w:r>
    </w:p>
    <w:p w:rsidR="00F32CCD" w:rsidRPr="00BA7C9E" w:rsidRDefault="00F32CCD" w:rsidP="00F32CCD">
      <w:r w:rsidRPr="00BA7C9E">
        <w:t>Användningen av extern kompetens inom granskningsverksamheten har minskat i storleksordningen 4 miljoner kronor. Minskningen avser i allt v</w:t>
      </w:r>
      <w:r w:rsidRPr="00BA7C9E">
        <w:t>ä</w:t>
      </w:r>
      <w:r w:rsidRPr="00BA7C9E">
        <w:t>sentligt effektivitetsrevisionen. Minskningen är ett uttryck för dels en något lägre verksamhetsvolym jämfört med 2010, dels att de nu aktuella grans</w:t>
      </w:r>
      <w:r w:rsidRPr="00BA7C9E">
        <w:t>k</w:t>
      </w:r>
      <w:r w:rsidRPr="00BA7C9E">
        <w:t>ningsstrategierna under året inte krävde samma utpräglade spetskompetens som var fallet exempelvis när det gällde de tidigare granskningarna av fö</w:t>
      </w:r>
      <w:r w:rsidRPr="00BA7C9E">
        <w:t>r</w:t>
      </w:r>
      <w:r w:rsidRPr="00BA7C9E">
        <w:t>säljning av statliga bolag.</w:t>
      </w:r>
    </w:p>
    <w:p w:rsidR="00F32CCD" w:rsidRPr="00BA7C9E" w:rsidRDefault="00F32CCD" w:rsidP="00431669">
      <w:pPr>
        <w:pStyle w:val="Tabellrubrik"/>
        <w:ind w:left="851" w:hanging="851"/>
      </w:pPr>
      <w:bookmarkStart w:id="88" w:name="_Toc222796998"/>
      <w:bookmarkStart w:id="89" w:name="_Toc221523824"/>
      <w:r w:rsidRPr="00BA7C9E">
        <w:t>TABELL 18 KOSTNADER FÖR extern kompetens och konsulter inom E</w:t>
      </w:r>
      <w:r w:rsidRPr="00BA7C9E">
        <w:t>F</w:t>
      </w:r>
      <w:r w:rsidRPr="00BA7C9E">
        <w:t>FEKTIVITETSREVISION 2009</w:t>
      </w:r>
      <w:r w:rsidR="00431669" w:rsidRPr="00BA7C9E">
        <w:t xml:space="preserve"> </w:t>
      </w:r>
      <w:r w:rsidRPr="00BA7C9E">
        <w:t>–</w:t>
      </w:r>
      <w:r w:rsidR="00431669" w:rsidRPr="00BA7C9E">
        <w:t xml:space="preserve"> </w:t>
      </w:r>
      <w:r w:rsidRPr="00BA7C9E">
        <w:t xml:space="preserve">2011 (TKR) </w:t>
      </w:r>
    </w:p>
    <w:p w:rsidR="00F32CCD" w:rsidRPr="00BA7C9E" w:rsidRDefault="00BA7C9E" w:rsidP="00F32CCD">
      <w:pPr>
        <w:keepNext/>
        <w:spacing w:before="0" w:line="200" w:lineRule="atLeast"/>
        <w:ind w:left="851" w:hanging="851"/>
        <w:jc w:val="left"/>
        <w:rPr>
          <w:caps/>
          <w:spacing w:val="8"/>
          <w:sz w:val="14"/>
        </w:rPr>
      </w:pPr>
      <w:r w:rsidRPr="00BA7C9E">
        <w:rPr>
          <w:noProof/>
        </w:rPr>
        <w:drawing>
          <wp:inline distT="0" distB="0" distL="0" distR="0">
            <wp:extent cx="3777615" cy="52260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77615" cy="522605"/>
                    </a:xfrm>
                    <a:prstGeom prst="rect">
                      <a:avLst/>
                    </a:prstGeom>
                    <a:noFill/>
                    <a:ln>
                      <a:noFill/>
                    </a:ln>
                  </pic:spPr>
                </pic:pic>
              </a:graphicData>
            </a:graphic>
          </wp:inline>
        </w:drawing>
      </w:r>
    </w:p>
    <w:p w:rsidR="00F32CCD" w:rsidRPr="00BA7C9E" w:rsidRDefault="00F32CCD" w:rsidP="00431669">
      <w:pPr>
        <w:pStyle w:val="Tabellrubrik"/>
        <w:ind w:left="851" w:hanging="851"/>
      </w:pPr>
      <w:r w:rsidRPr="00BA7C9E">
        <w:t>TABELL 19 KOSTNADER FÖR extern kompetens och konsulter inom årlig revision 2009</w:t>
      </w:r>
      <w:r w:rsidR="00431669" w:rsidRPr="00BA7C9E">
        <w:t xml:space="preserve"> </w:t>
      </w:r>
      <w:r w:rsidRPr="00BA7C9E">
        <w:t>–</w:t>
      </w:r>
      <w:r w:rsidR="00431669" w:rsidRPr="00BA7C9E">
        <w:t xml:space="preserve"> </w:t>
      </w:r>
      <w:r w:rsidRPr="00BA7C9E">
        <w:t>2011 (TKR)</w:t>
      </w:r>
      <w:r w:rsidRPr="00BA7C9E" w:rsidDel="00117A85">
        <w:t xml:space="preserve"> </w:t>
      </w:r>
    </w:p>
    <w:p w:rsidR="00F32CCD" w:rsidRPr="00BA7C9E" w:rsidRDefault="00BA7C9E" w:rsidP="00F32CCD">
      <w:pPr>
        <w:keepNext/>
        <w:spacing w:before="0" w:line="200" w:lineRule="atLeast"/>
        <w:jc w:val="left"/>
        <w:rPr>
          <w:caps/>
          <w:spacing w:val="8"/>
          <w:sz w:val="14"/>
        </w:rPr>
      </w:pPr>
      <w:r w:rsidRPr="00BA7C9E">
        <w:rPr>
          <w:noProof/>
        </w:rPr>
        <w:drawing>
          <wp:inline distT="0" distB="0" distL="0" distR="0">
            <wp:extent cx="3777615" cy="62611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7615" cy="626110"/>
                    </a:xfrm>
                    <a:prstGeom prst="rect">
                      <a:avLst/>
                    </a:prstGeom>
                    <a:noFill/>
                    <a:ln>
                      <a:noFill/>
                    </a:ln>
                  </pic:spPr>
                </pic:pic>
              </a:graphicData>
            </a:graphic>
          </wp:inline>
        </w:drawing>
      </w:r>
    </w:p>
    <w:p w:rsidR="00F32CCD" w:rsidRPr="00BA7C9E" w:rsidRDefault="00F32CCD" w:rsidP="00F32CCD">
      <w:pPr>
        <w:keepNext/>
        <w:spacing w:before="250" w:line="200" w:lineRule="atLeast"/>
        <w:ind w:left="851" w:hanging="851"/>
        <w:jc w:val="left"/>
        <w:rPr>
          <w:caps/>
          <w:spacing w:val="8"/>
          <w:sz w:val="14"/>
        </w:rPr>
      </w:pPr>
      <w:r w:rsidRPr="00BA7C9E">
        <w:rPr>
          <w:caps/>
          <w:spacing w:val="8"/>
          <w:sz w:val="14"/>
        </w:rPr>
        <w:t xml:space="preserve">Tabell 20 Kostnader för extern kompetens och konsulter </w:t>
      </w:r>
      <w:r w:rsidR="00E5006C" w:rsidRPr="00BA7C9E">
        <w:rPr>
          <w:caps/>
          <w:spacing w:val="8"/>
          <w:sz w:val="14"/>
        </w:rPr>
        <w:t xml:space="preserve">inom hela myndigheten </w:t>
      </w:r>
      <w:r w:rsidRPr="00BA7C9E">
        <w:rPr>
          <w:caps/>
          <w:spacing w:val="8"/>
          <w:sz w:val="14"/>
        </w:rPr>
        <w:t>2009</w:t>
      </w:r>
      <w:r w:rsidR="00431669" w:rsidRPr="00BA7C9E">
        <w:rPr>
          <w:caps/>
          <w:spacing w:val="8"/>
          <w:sz w:val="14"/>
        </w:rPr>
        <w:t xml:space="preserve"> </w:t>
      </w:r>
      <w:r w:rsidRPr="00BA7C9E">
        <w:rPr>
          <w:caps/>
          <w:spacing w:val="8"/>
          <w:sz w:val="14"/>
        </w:rPr>
        <w:t>–</w:t>
      </w:r>
      <w:r w:rsidR="00431669" w:rsidRPr="00BA7C9E">
        <w:rPr>
          <w:caps/>
          <w:spacing w:val="8"/>
          <w:sz w:val="14"/>
        </w:rPr>
        <w:t xml:space="preserve"> </w:t>
      </w:r>
      <w:r w:rsidRPr="00BA7C9E">
        <w:rPr>
          <w:caps/>
          <w:spacing w:val="8"/>
          <w:sz w:val="14"/>
        </w:rPr>
        <w:t xml:space="preserve">2011 (tkr)          </w:t>
      </w:r>
    </w:p>
    <w:p w:rsidR="00F32CCD" w:rsidRPr="00BA7C9E" w:rsidRDefault="00BA7C9E" w:rsidP="00F32CCD">
      <w:pPr>
        <w:keepNext/>
        <w:spacing w:before="0" w:line="200" w:lineRule="atLeast"/>
        <w:jc w:val="left"/>
        <w:outlineLvl w:val="5"/>
        <w:rPr>
          <w:sz w:val="18"/>
          <w:szCs w:val="18"/>
        </w:rPr>
      </w:pPr>
      <w:r w:rsidRPr="00BA7C9E">
        <w:rPr>
          <w:noProof/>
          <w:szCs w:val="18"/>
        </w:rPr>
        <w:drawing>
          <wp:inline distT="0" distB="0" distL="0" distR="0">
            <wp:extent cx="3777615" cy="137731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77615" cy="1377315"/>
                    </a:xfrm>
                    <a:prstGeom prst="rect">
                      <a:avLst/>
                    </a:prstGeom>
                    <a:noFill/>
                    <a:ln>
                      <a:noFill/>
                    </a:ln>
                  </pic:spPr>
                </pic:pic>
              </a:graphicData>
            </a:graphic>
          </wp:inline>
        </w:drawing>
      </w:r>
    </w:p>
    <w:p w:rsidR="00F32CCD" w:rsidRPr="00BA7C9E" w:rsidRDefault="00F32CCD" w:rsidP="00F32CCD"/>
    <w:p w:rsidR="00F32CCD" w:rsidRPr="00BA7C9E" w:rsidRDefault="00F32CCD" w:rsidP="00F32CCD">
      <w:r w:rsidRPr="00BA7C9E">
        <w:t>Inom det internationella utvecklingssamarbetet är kostnaderna för extern kompetens och konsulter närmast oförändrade medan de halverats inom den omvärldsriktade verksamheten jämfört med föregående år. Minskningen är främst relaterad till utvecklingen av de riktlinjer inom F</w:t>
      </w:r>
      <w:r w:rsidR="00016972" w:rsidRPr="00BA7C9E">
        <w:t>AS</w:t>
      </w:r>
      <w:r w:rsidRPr="00BA7C9E">
        <w:t xml:space="preserve"> som slutfördes förra året. I och med att riktlinjerna antogs vid</w:t>
      </w:r>
      <w:r w:rsidR="00016972" w:rsidRPr="00BA7C9E">
        <w:t xml:space="preserve"> </w:t>
      </w:r>
      <w:r w:rsidRPr="00BA7C9E">
        <w:t>INTOSAI:s kongress i nove</w:t>
      </w:r>
      <w:r w:rsidRPr="00BA7C9E">
        <w:t>m</w:t>
      </w:r>
      <w:r w:rsidRPr="00BA7C9E">
        <w:t>ber 2010 har arbetet gått in i en ny fas, och behovet av extern kompetens har minskat. Även kostnaderna för verksamhetsutveckling har minskat, vilket beror på att översynen av de administrativa processerna och tel</w:t>
      </w:r>
      <w:r w:rsidR="00664CEC" w:rsidRPr="00BA7C9E">
        <w:t>efonibytet avslutades 2010</w:t>
      </w:r>
      <w:r w:rsidRPr="00BA7C9E">
        <w:t>. Kostnaderna för extern kompetens och konsulter inom stö</w:t>
      </w:r>
      <w:r w:rsidRPr="00BA7C9E">
        <w:t>d</w:t>
      </w:r>
      <w:r w:rsidRPr="00BA7C9E">
        <w:t>verksamheten har däremot ökat. När det gäller kompetensutveckling beror det främst på implementeringen av det nya utbildningsprogrammet för effektiv</w:t>
      </w:r>
      <w:r w:rsidRPr="00BA7C9E">
        <w:t>i</w:t>
      </w:r>
      <w:r w:rsidRPr="00BA7C9E">
        <w:t xml:space="preserve">tetsrevisionen. Under året har Riksrevisionen gjort särskilda satsningar för att skapa en bättre </w:t>
      </w:r>
      <w:r w:rsidR="0036652D" w:rsidRPr="00BA7C9E">
        <w:t>it</w:t>
      </w:r>
      <w:r w:rsidRPr="00BA7C9E">
        <w:t>-infrastruktur, vilket har medfört ökade kostnader vad gäller kompetens- och resursförstärkning. Andra kostnader som hänförs till komp</w:t>
      </w:r>
      <w:r w:rsidRPr="00BA7C9E">
        <w:t>e</w:t>
      </w:r>
      <w:r w:rsidRPr="00BA7C9E">
        <w:t xml:space="preserve">tens- och resursförstärkning är bemanning av receptionen, </w:t>
      </w:r>
      <w:r w:rsidR="0036652D" w:rsidRPr="00BA7C9E">
        <w:t>it</w:t>
      </w:r>
      <w:r w:rsidRPr="00BA7C9E">
        <w:t>-support, ekon</w:t>
      </w:r>
      <w:r w:rsidRPr="00BA7C9E">
        <w:t>o</w:t>
      </w:r>
      <w:r w:rsidRPr="00BA7C9E">
        <w:t xml:space="preserve">mitjänster samt stöd vid rekrytering. </w:t>
      </w:r>
    </w:p>
    <w:p w:rsidR="00F32CCD" w:rsidRPr="00BA7C9E" w:rsidRDefault="00F32CCD" w:rsidP="00F32CCD"/>
    <w:p w:rsidR="00F32CCD" w:rsidRPr="00BA7C9E" w:rsidRDefault="00F32CCD" w:rsidP="005E47D4">
      <w:pPr>
        <w:pStyle w:val="R6"/>
      </w:pPr>
      <w:r w:rsidRPr="00BA7C9E">
        <w:t xml:space="preserve">Internt kompetensutbyte </w:t>
      </w:r>
    </w:p>
    <w:p w:rsidR="00F32CCD" w:rsidRPr="00BA7C9E" w:rsidRDefault="00F32CCD" w:rsidP="00F32CCD">
      <w:pPr>
        <w:keepNext/>
      </w:pPr>
      <w:r w:rsidRPr="00BA7C9E">
        <w:t>Samverkan både mellan och inom verksamhetsgrenarna syftar till att ta till vara medarbetarnas kompetens så effektivt som möjligt och samtidigt bidra till att utveckla densamma. Aktiviteterna under det gångna året har i stort sett varit de samma som tidigare. Effektivitetsrevisorer har deltagit i den årliga revisionen av myndigheternas resultatredovisningar och revisorerna inom årlig revision har när det varit lämpligt deltagit i effektivitetsgranskningar. De årliga revisorerna har också bidragit till effektivitetsrevisorernas verksa</w:t>
      </w:r>
      <w:r w:rsidRPr="00BA7C9E">
        <w:t>m</w:t>
      </w:r>
      <w:r w:rsidRPr="00BA7C9E">
        <w:t>hetsplanering med insikter från sin granskning av de statliga myndigheterna. Möjligheter för medarbetarna att delta i Riksrevisionens internationella u</w:t>
      </w:r>
      <w:r w:rsidRPr="00BA7C9E">
        <w:t>t</w:t>
      </w:r>
      <w:r w:rsidRPr="00BA7C9E">
        <w:t>vecklingssamarbete är också ett viktigt inslag i kompetensutvecklingen. Övr</w:t>
      </w:r>
      <w:r w:rsidRPr="00BA7C9E">
        <w:t>i</w:t>
      </w:r>
      <w:r w:rsidRPr="00BA7C9E">
        <w:t xml:space="preserve">ga internationella kontakter, bland annat inom ramen för INTOSAI och </w:t>
      </w:r>
      <w:r w:rsidR="000014BC" w:rsidRPr="00BA7C9E">
        <w:br/>
      </w:r>
      <w:r w:rsidRPr="00BA7C9E">
        <w:t>EUROSAI, utnyttjas för omvärldsbevakning och kompetensutveckling utifrån granskningsverksamhetens behov.</w:t>
      </w:r>
    </w:p>
    <w:p w:rsidR="00D75012" w:rsidRPr="00BA7C9E" w:rsidRDefault="00D75012" w:rsidP="00D75012">
      <w:pPr>
        <w:pStyle w:val="Normaltindrag"/>
      </w:pPr>
    </w:p>
    <w:p w:rsidR="00F32CCD" w:rsidRPr="00BA7C9E" w:rsidRDefault="00F32CCD" w:rsidP="004A2A16">
      <w:pPr>
        <w:pStyle w:val="Rubrik3"/>
        <w:spacing w:before="0"/>
        <w:rPr>
          <w:noProof w:val="0"/>
        </w:rPr>
      </w:pPr>
      <w:bookmarkStart w:id="90" w:name="_Toc284579696"/>
      <w:bookmarkStart w:id="91" w:name="_Toc311187645"/>
      <w:bookmarkStart w:id="92" w:name="_Toc315253456"/>
      <w:bookmarkStart w:id="93" w:name="_Toc318101642"/>
      <w:r w:rsidRPr="00BA7C9E">
        <w:rPr>
          <w:noProof w:val="0"/>
        </w:rPr>
        <w:t>Personal</w:t>
      </w:r>
      <w:bookmarkEnd w:id="88"/>
      <w:bookmarkEnd w:id="89"/>
      <w:bookmarkEnd w:id="90"/>
      <w:bookmarkEnd w:id="91"/>
      <w:bookmarkEnd w:id="92"/>
      <w:bookmarkEnd w:id="93"/>
    </w:p>
    <w:p w:rsidR="00F32CCD" w:rsidRPr="00BA7C9E" w:rsidRDefault="00F32CCD" w:rsidP="005E47D4">
      <w:pPr>
        <w:pStyle w:val="R4"/>
      </w:pPr>
      <w:r w:rsidRPr="00BA7C9E">
        <w:t>Anställda och tjänstlediga</w:t>
      </w:r>
    </w:p>
    <w:p w:rsidR="00F32CCD" w:rsidRPr="00BA7C9E" w:rsidRDefault="00F32CCD" w:rsidP="00F32CCD">
      <w:bookmarkStart w:id="94" w:name="_Toc252525843"/>
      <w:r w:rsidRPr="00BA7C9E">
        <w:t xml:space="preserve">Antalet anställda i tjänst per den 31 december har minskat med 9 personer från 2010 till 2011. </w:t>
      </w:r>
    </w:p>
    <w:p w:rsidR="00431669" w:rsidRPr="00BA7C9E" w:rsidRDefault="00F32CCD" w:rsidP="00F32CCD">
      <w:pPr>
        <w:keepNext/>
        <w:spacing w:before="250" w:line="200" w:lineRule="atLeast"/>
        <w:ind w:left="851" w:hanging="851"/>
        <w:jc w:val="left"/>
        <w:rPr>
          <w:caps/>
          <w:spacing w:val="8"/>
          <w:sz w:val="14"/>
        </w:rPr>
      </w:pPr>
      <w:r w:rsidRPr="00BA7C9E">
        <w:rPr>
          <w:caps/>
          <w:spacing w:val="8"/>
          <w:sz w:val="14"/>
        </w:rPr>
        <w:t>TABELL 21 antal an</w:t>
      </w:r>
      <w:r w:rsidR="00431669" w:rsidRPr="00BA7C9E">
        <w:rPr>
          <w:caps/>
          <w:spacing w:val="8"/>
          <w:sz w:val="14"/>
        </w:rPr>
        <w:t>ställda per den 31 december 2009 – 2011</w:t>
      </w:r>
    </w:p>
    <w:tbl>
      <w:tblPr>
        <w:tblW w:w="5000" w:type="pct"/>
        <w:tblCellMar>
          <w:left w:w="70" w:type="dxa"/>
          <w:right w:w="70" w:type="dxa"/>
        </w:tblCellMar>
        <w:tblLook w:val="04A0" w:firstRow="1" w:lastRow="0" w:firstColumn="1" w:lastColumn="0" w:noHBand="0" w:noVBand="1"/>
      </w:tblPr>
      <w:tblGrid>
        <w:gridCol w:w="3454"/>
        <w:gridCol w:w="833"/>
        <w:gridCol w:w="833"/>
        <w:gridCol w:w="833"/>
      </w:tblGrid>
      <w:tr w:rsidR="00F32CCD" w:rsidRPr="00BA7C9E" w:rsidTr="0038233C">
        <w:trPr>
          <w:trHeight w:val="170"/>
        </w:trPr>
        <w:tc>
          <w:tcPr>
            <w:tcW w:w="2899" w:type="pct"/>
            <w:tcBorders>
              <w:top w:val="single" w:sz="4" w:space="0" w:color="auto"/>
              <w:left w:val="nil"/>
              <w:bottom w:val="single" w:sz="4" w:space="0" w:color="auto"/>
              <w:right w:val="nil"/>
            </w:tcBorders>
            <w:shd w:val="clear" w:color="auto" w:fill="F2F2F2"/>
            <w:noWrap/>
            <w:vAlign w:val="bottom"/>
          </w:tcPr>
          <w:p w:rsidR="00F32CCD" w:rsidRPr="00BA7C9E" w:rsidRDefault="00F32CCD" w:rsidP="00F32CCD">
            <w:pPr>
              <w:spacing w:before="0" w:line="240" w:lineRule="auto"/>
              <w:jc w:val="left"/>
              <w:rPr>
                <w:rFonts w:ascii="Calibri" w:hAnsi="Calibri"/>
                <w:color w:val="000000"/>
                <w:sz w:val="16"/>
                <w:szCs w:val="16"/>
              </w:rPr>
            </w:pPr>
            <w:r w:rsidRPr="00BA7C9E">
              <w:rPr>
                <w:rFonts w:ascii="Calibri" w:hAnsi="Calibri"/>
                <w:color w:val="000000"/>
                <w:sz w:val="16"/>
                <w:szCs w:val="16"/>
              </w:rPr>
              <w:t> </w:t>
            </w:r>
          </w:p>
        </w:tc>
        <w:tc>
          <w:tcPr>
            <w:tcW w:w="700" w:type="pct"/>
            <w:tcBorders>
              <w:top w:val="single" w:sz="4" w:space="0" w:color="auto"/>
              <w:left w:val="nil"/>
              <w:bottom w:val="single" w:sz="4" w:space="0" w:color="auto"/>
              <w:right w:val="nil"/>
            </w:tcBorders>
            <w:shd w:val="clear" w:color="auto" w:fill="F2F2F2"/>
            <w:noWrap/>
            <w:vAlign w:val="bottom"/>
          </w:tcPr>
          <w:p w:rsidR="00F32CCD" w:rsidRPr="00BA7C9E" w:rsidRDefault="00F32CCD" w:rsidP="00F32CCD">
            <w:pPr>
              <w:spacing w:before="0" w:line="240" w:lineRule="auto"/>
              <w:jc w:val="right"/>
              <w:rPr>
                <w:rFonts w:ascii="Calibri" w:hAnsi="Calibri"/>
                <w:b/>
                <w:color w:val="000000"/>
                <w:sz w:val="16"/>
                <w:szCs w:val="16"/>
              </w:rPr>
            </w:pPr>
            <w:r w:rsidRPr="00BA7C9E">
              <w:rPr>
                <w:rFonts w:ascii="Calibri" w:hAnsi="Calibri"/>
                <w:b/>
                <w:color w:val="000000"/>
                <w:sz w:val="16"/>
                <w:szCs w:val="16"/>
              </w:rPr>
              <w:t>2011</w:t>
            </w:r>
          </w:p>
        </w:tc>
        <w:tc>
          <w:tcPr>
            <w:tcW w:w="700" w:type="pct"/>
            <w:tcBorders>
              <w:top w:val="single" w:sz="4" w:space="0" w:color="auto"/>
              <w:left w:val="nil"/>
              <w:bottom w:val="single" w:sz="4" w:space="0" w:color="auto"/>
              <w:right w:val="nil"/>
            </w:tcBorders>
            <w:shd w:val="clear" w:color="auto" w:fill="F2F2F2"/>
            <w:noWrap/>
            <w:vAlign w:val="bottom"/>
          </w:tcPr>
          <w:p w:rsidR="00F32CCD" w:rsidRPr="00BA7C9E" w:rsidRDefault="00F32CCD" w:rsidP="00F32CCD">
            <w:pPr>
              <w:spacing w:before="0" w:line="240" w:lineRule="auto"/>
              <w:jc w:val="right"/>
              <w:rPr>
                <w:rFonts w:ascii="Calibri" w:hAnsi="Calibri"/>
                <w:b/>
                <w:color w:val="000000"/>
                <w:sz w:val="16"/>
                <w:szCs w:val="16"/>
              </w:rPr>
            </w:pPr>
            <w:r w:rsidRPr="00BA7C9E">
              <w:rPr>
                <w:rFonts w:ascii="Calibri" w:hAnsi="Calibri"/>
                <w:b/>
                <w:color w:val="000000"/>
                <w:sz w:val="16"/>
                <w:szCs w:val="16"/>
              </w:rPr>
              <w:t>2010</w:t>
            </w:r>
          </w:p>
        </w:tc>
        <w:tc>
          <w:tcPr>
            <w:tcW w:w="700" w:type="pct"/>
            <w:tcBorders>
              <w:top w:val="single" w:sz="4" w:space="0" w:color="auto"/>
              <w:left w:val="nil"/>
              <w:bottom w:val="single" w:sz="4" w:space="0" w:color="auto"/>
              <w:right w:val="nil"/>
            </w:tcBorders>
            <w:shd w:val="clear" w:color="auto" w:fill="F2F2F2"/>
            <w:noWrap/>
            <w:vAlign w:val="bottom"/>
          </w:tcPr>
          <w:p w:rsidR="00F32CCD" w:rsidRPr="00BA7C9E" w:rsidRDefault="00F32CCD" w:rsidP="00F32CCD">
            <w:pPr>
              <w:spacing w:before="0" w:line="240" w:lineRule="auto"/>
              <w:jc w:val="right"/>
              <w:rPr>
                <w:rFonts w:ascii="Calibri" w:hAnsi="Calibri"/>
                <w:b/>
                <w:color w:val="000000"/>
                <w:sz w:val="16"/>
                <w:szCs w:val="16"/>
              </w:rPr>
            </w:pPr>
            <w:r w:rsidRPr="00BA7C9E">
              <w:rPr>
                <w:rFonts w:ascii="Calibri" w:hAnsi="Calibri"/>
                <w:b/>
                <w:color w:val="000000"/>
                <w:sz w:val="16"/>
                <w:szCs w:val="16"/>
              </w:rPr>
              <w:t>2009</w:t>
            </w:r>
          </w:p>
        </w:tc>
      </w:tr>
      <w:tr w:rsidR="00F32CCD" w:rsidRPr="00BA7C9E" w:rsidTr="0038233C">
        <w:trPr>
          <w:trHeight w:val="170"/>
        </w:trPr>
        <w:tc>
          <w:tcPr>
            <w:tcW w:w="2899" w:type="pct"/>
            <w:tcBorders>
              <w:top w:val="nil"/>
              <w:left w:val="nil"/>
              <w:bottom w:val="nil"/>
              <w:right w:val="nil"/>
            </w:tcBorders>
            <w:noWrap/>
            <w:vAlign w:val="bottom"/>
          </w:tcPr>
          <w:p w:rsidR="00F32CCD" w:rsidRPr="00BA7C9E" w:rsidRDefault="00F32CCD" w:rsidP="00F32CCD">
            <w:pPr>
              <w:spacing w:before="0" w:line="240" w:lineRule="auto"/>
              <w:jc w:val="left"/>
              <w:rPr>
                <w:rFonts w:ascii="Calibri" w:hAnsi="Calibri"/>
                <w:color w:val="000000"/>
                <w:sz w:val="16"/>
                <w:szCs w:val="16"/>
              </w:rPr>
            </w:pPr>
            <w:r w:rsidRPr="00BA7C9E">
              <w:rPr>
                <w:rFonts w:ascii="Calibri" w:hAnsi="Calibri"/>
                <w:color w:val="000000"/>
                <w:sz w:val="16"/>
                <w:szCs w:val="16"/>
              </w:rPr>
              <w:t>Anställda totalt</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322</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328</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337</w:t>
            </w:r>
          </w:p>
        </w:tc>
      </w:tr>
      <w:tr w:rsidR="00F32CCD" w:rsidRPr="00BA7C9E" w:rsidTr="0038233C">
        <w:trPr>
          <w:trHeight w:val="170"/>
        </w:trPr>
        <w:tc>
          <w:tcPr>
            <w:tcW w:w="2899" w:type="pct"/>
            <w:tcBorders>
              <w:top w:val="nil"/>
              <w:left w:val="nil"/>
              <w:bottom w:val="nil"/>
              <w:right w:val="nil"/>
            </w:tcBorders>
            <w:noWrap/>
            <w:vAlign w:val="bottom"/>
          </w:tcPr>
          <w:p w:rsidR="00F32CCD" w:rsidRPr="00BA7C9E" w:rsidRDefault="00F32CCD" w:rsidP="0038233C">
            <w:pPr>
              <w:spacing w:before="0" w:line="240" w:lineRule="auto"/>
              <w:ind w:firstLineChars="100" w:firstLine="160"/>
              <w:jc w:val="left"/>
              <w:rPr>
                <w:rFonts w:ascii="Calibri" w:hAnsi="Calibri"/>
                <w:color w:val="000000"/>
                <w:sz w:val="16"/>
                <w:szCs w:val="16"/>
              </w:rPr>
            </w:pPr>
            <w:r w:rsidRPr="00BA7C9E">
              <w:rPr>
                <w:rFonts w:ascii="Calibri" w:hAnsi="Calibri"/>
                <w:color w:val="000000"/>
                <w:sz w:val="16"/>
                <w:szCs w:val="16"/>
              </w:rPr>
              <w:t>varav kvinnor</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188</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189</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193</w:t>
            </w:r>
          </w:p>
        </w:tc>
      </w:tr>
      <w:tr w:rsidR="00F32CCD" w:rsidRPr="00BA7C9E" w:rsidTr="0038233C">
        <w:trPr>
          <w:trHeight w:val="170"/>
        </w:trPr>
        <w:tc>
          <w:tcPr>
            <w:tcW w:w="2899" w:type="pct"/>
            <w:tcBorders>
              <w:top w:val="nil"/>
              <w:left w:val="nil"/>
              <w:bottom w:val="nil"/>
              <w:right w:val="nil"/>
            </w:tcBorders>
            <w:noWrap/>
            <w:vAlign w:val="bottom"/>
          </w:tcPr>
          <w:p w:rsidR="00F32CCD" w:rsidRPr="00BA7C9E" w:rsidRDefault="00F32CCD" w:rsidP="0038233C">
            <w:pPr>
              <w:spacing w:before="0" w:line="240" w:lineRule="auto"/>
              <w:ind w:firstLineChars="100" w:firstLine="160"/>
              <w:jc w:val="left"/>
              <w:rPr>
                <w:rFonts w:ascii="Calibri" w:hAnsi="Calibri"/>
                <w:color w:val="000000"/>
                <w:sz w:val="16"/>
                <w:szCs w:val="16"/>
              </w:rPr>
            </w:pPr>
            <w:r w:rsidRPr="00BA7C9E">
              <w:rPr>
                <w:rFonts w:ascii="Calibri" w:hAnsi="Calibri"/>
                <w:color w:val="000000"/>
                <w:sz w:val="16"/>
                <w:szCs w:val="16"/>
              </w:rPr>
              <w:t>varav män</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134</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139</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144</w:t>
            </w:r>
          </w:p>
        </w:tc>
      </w:tr>
      <w:tr w:rsidR="00F32CCD" w:rsidRPr="00BA7C9E" w:rsidTr="0038233C">
        <w:trPr>
          <w:trHeight w:val="170"/>
        </w:trPr>
        <w:tc>
          <w:tcPr>
            <w:tcW w:w="2899" w:type="pct"/>
            <w:tcBorders>
              <w:top w:val="nil"/>
              <w:left w:val="nil"/>
              <w:bottom w:val="nil"/>
              <w:right w:val="nil"/>
            </w:tcBorders>
            <w:noWrap/>
            <w:vAlign w:val="bottom"/>
          </w:tcPr>
          <w:p w:rsidR="00F32CCD" w:rsidRPr="00BA7C9E" w:rsidRDefault="00F32CCD" w:rsidP="0038233C">
            <w:pPr>
              <w:spacing w:before="0" w:line="240" w:lineRule="auto"/>
              <w:ind w:firstLineChars="100" w:firstLine="160"/>
              <w:jc w:val="left"/>
              <w:rPr>
                <w:rFonts w:ascii="Calibri" w:hAnsi="Calibri"/>
                <w:color w:val="000000"/>
                <w:sz w:val="16"/>
                <w:szCs w:val="16"/>
              </w:rPr>
            </w:pPr>
            <w:r w:rsidRPr="00BA7C9E">
              <w:rPr>
                <w:rFonts w:ascii="Calibri" w:hAnsi="Calibri"/>
                <w:color w:val="000000"/>
                <w:sz w:val="16"/>
                <w:szCs w:val="16"/>
              </w:rPr>
              <w:t>varav tjänstlediga</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18</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15</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25</w:t>
            </w:r>
          </w:p>
        </w:tc>
      </w:tr>
      <w:tr w:rsidR="00F32CCD" w:rsidRPr="00BA7C9E" w:rsidTr="0038233C">
        <w:trPr>
          <w:trHeight w:val="170"/>
        </w:trPr>
        <w:tc>
          <w:tcPr>
            <w:tcW w:w="2899" w:type="pct"/>
            <w:tcBorders>
              <w:top w:val="nil"/>
              <w:left w:val="nil"/>
              <w:bottom w:val="nil"/>
              <w:right w:val="nil"/>
            </w:tcBorders>
            <w:noWrap/>
            <w:vAlign w:val="bottom"/>
          </w:tcPr>
          <w:p w:rsidR="00F32CCD" w:rsidRPr="00BA7C9E" w:rsidRDefault="00F32CCD" w:rsidP="00F32CCD">
            <w:pPr>
              <w:spacing w:before="0" w:line="240" w:lineRule="auto"/>
              <w:jc w:val="left"/>
              <w:rPr>
                <w:rFonts w:ascii="Calibri" w:hAnsi="Calibri"/>
                <w:color w:val="000000"/>
                <w:sz w:val="16"/>
                <w:szCs w:val="16"/>
              </w:rPr>
            </w:pPr>
            <w:r w:rsidRPr="00BA7C9E">
              <w:rPr>
                <w:rFonts w:ascii="Calibri" w:hAnsi="Calibri"/>
                <w:color w:val="000000"/>
                <w:sz w:val="16"/>
                <w:szCs w:val="16"/>
              </w:rPr>
              <w:t>Anställda exkl. tjänstlediga</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304</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313</w:t>
            </w:r>
          </w:p>
        </w:tc>
        <w:tc>
          <w:tcPr>
            <w:tcW w:w="700" w:type="pct"/>
            <w:tcBorders>
              <w:top w:val="nil"/>
              <w:left w:val="nil"/>
              <w:bottom w:val="nil"/>
              <w:right w:val="nil"/>
            </w:tcBorders>
            <w:noWrap/>
            <w:vAlign w:val="bottom"/>
          </w:tcPr>
          <w:p w:rsidR="00F32CCD" w:rsidRPr="00BA7C9E" w:rsidRDefault="00F32CCD" w:rsidP="00F32CCD">
            <w:pPr>
              <w:spacing w:before="0" w:line="240" w:lineRule="auto"/>
              <w:jc w:val="right"/>
              <w:rPr>
                <w:rFonts w:ascii="Calibri" w:hAnsi="Calibri"/>
                <w:b/>
                <w:bCs/>
                <w:color w:val="000000"/>
                <w:sz w:val="16"/>
                <w:szCs w:val="16"/>
              </w:rPr>
            </w:pPr>
            <w:r w:rsidRPr="00BA7C9E">
              <w:rPr>
                <w:rFonts w:ascii="Calibri" w:hAnsi="Calibri"/>
                <w:b/>
                <w:bCs/>
                <w:color w:val="000000"/>
                <w:sz w:val="16"/>
                <w:szCs w:val="16"/>
              </w:rPr>
              <w:t>312</w:t>
            </w:r>
          </w:p>
        </w:tc>
      </w:tr>
      <w:tr w:rsidR="00F32CCD" w:rsidRPr="00BA7C9E" w:rsidTr="0038233C">
        <w:trPr>
          <w:trHeight w:val="170"/>
        </w:trPr>
        <w:tc>
          <w:tcPr>
            <w:tcW w:w="2899" w:type="pct"/>
            <w:tcBorders>
              <w:top w:val="nil"/>
              <w:left w:val="nil"/>
              <w:bottom w:val="single" w:sz="4" w:space="0" w:color="auto"/>
              <w:right w:val="nil"/>
            </w:tcBorders>
            <w:noWrap/>
            <w:vAlign w:val="bottom"/>
          </w:tcPr>
          <w:p w:rsidR="00F32CCD" w:rsidRPr="00BA7C9E" w:rsidRDefault="00F32CCD" w:rsidP="0038233C">
            <w:pPr>
              <w:spacing w:before="0" w:line="240" w:lineRule="auto"/>
              <w:ind w:firstLineChars="100" w:firstLine="160"/>
              <w:jc w:val="left"/>
              <w:rPr>
                <w:rFonts w:ascii="Calibri" w:hAnsi="Calibri"/>
                <w:color w:val="000000"/>
                <w:sz w:val="16"/>
                <w:szCs w:val="16"/>
              </w:rPr>
            </w:pPr>
            <w:r w:rsidRPr="00BA7C9E">
              <w:rPr>
                <w:rFonts w:ascii="Calibri" w:hAnsi="Calibri"/>
                <w:color w:val="000000"/>
                <w:sz w:val="16"/>
                <w:szCs w:val="16"/>
              </w:rPr>
              <w:t>varav visstidsanställda</w:t>
            </w:r>
          </w:p>
        </w:tc>
        <w:tc>
          <w:tcPr>
            <w:tcW w:w="700" w:type="pct"/>
            <w:tcBorders>
              <w:top w:val="nil"/>
              <w:left w:val="nil"/>
              <w:bottom w:val="single" w:sz="4" w:space="0" w:color="auto"/>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4</w:t>
            </w:r>
          </w:p>
        </w:tc>
        <w:tc>
          <w:tcPr>
            <w:tcW w:w="700" w:type="pct"/>
            <w:tcBorders>
              <w:top w:val="nil"/>
              <w:left w:val="nil"/>
              <w:bottom w:val="single" w:sz="4" w:space="0" w:color="auto"/>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8</w:t>
            </w:r>
          </w:p>
        </w:tc>
        <w:tc>
          <w:tcPr>
            <w:tcW w:w="700" w:type="pct"/>
            <w:tcBorders>
              <w:top w:val="nil"/>
              <w:left w:val="nil"/>
              <w:bottom w:val="single" w:sz="4" w:space="0" w:color="auto"/>
              <w:right w:val="nil"/>
            </w:tcBorders>
            <w:noWrap/>
            <w:vAlign w:val="bottom"/>
          </w:tcPr>
          <w:p w:rsidR="00F32CCD" w:rsidRPr="00BA7C9E" w:rsidRDefault="00F32CCD" w:rsidP="00F32CCD">
            <w:pPr>
              <w:spacing w:before="0" w:line="240" w:lineRule="auto"/>
              <w:jc w:val="right"/>
              <w:rPr>
                <w:rFonts w:ascii="Calibri" w:hAnsi="Calibri"/>
                <w:color w:val="000000"/>
                <w:sz w:val="16"/>
                <w:szCs w:val="16"/>
              </w:rPr>
            </w:pPr>
            <w:r w:rsidRPr="00BA7C9E">
              <w:rPr>
                <w:rFonts w:ascii="Calibri" w:hAnsi="Calibri"/>
                <w:color w:val="000000"/>
                <w:sz w:val="16"/>
                <w:szCs w:val="16"/>
              </w:rPr>
              <w:t>13</w:t>
            </w:r>
          </w:p>
        </w:tc>
      </w:tr>
    </w:tbl>
    <w:p w:rsidR="00E5006C" w:rsidRPr="00BA7C9E" w:rsidRDefault="00E5006C" w:rsidP="00F32CCD"/>
    <w:p w:rsidR="00F32CCD" w:rsidRPr="00BA7C9E" w:rsidRDefault="00A4289A" w:rsidP="00F32CCD">
      <w:r w:rsidRPr="00BA7C9E">
        <w:t xml:space="preserve">Riksrevisionen har arbetat med att effektivisera rekryteringsprocessen vilket har underlättat årets rekryteringar. </w:t>
      </w:r>
      <w:r w:rsidR="00F32CCD" w:rsidRPr="00BA7C9E">
        <w:t>Under 2011 har 38 (28) personer slutat eller gått på tjänstledighet, varav 9 var visstidsanställda och 6 (11) personer har gått i pension. Under året har 19 (20) personer börjat. Dessutom har 4 (6) personer återkommit från tjänstledighet. Ytterligare 10 (9) personer har a</w:t>
      </w:r>
      <w:r w:rsidR="00F32CCD" w:rsidRPr="00BA7C9E">
        <w:t>n</w:t>
      </w:r>
      <w:r w:rsidR="00F32CCD" w:rsidRPr="00BA7C9E">
        <w:t>ställts för viss tid.</w:t>
      </w:r>
    </w:p>
    <w:p w:rsidR="00F32CCD" w:rsidRPr="00BA7C9E" w:rsidRDefault="00F32CCD" w:rsidP="00376FB8">
      <w:pPr>
        <w:keepNext/>
        <w:spacing w:before="250" w:line="200" w:lineRule="atLeast"/>
        <w:jc w:val="left"/>
      </w:pPr>
      <w:r w:rsidRPr="00BA7C9E">
        <w:rPr>
          <w:caps/>
          <w:spacing w:val="8"/>
          <w:sz w:val="14"/>
        </w:rPr>
        <w:t>TABELL 22 PERSONALOMSÄTTnING</w:t>
      </w:r>
      <w:r w:rsidR="00B63DFB" w:rsidRPr="00BA7C9E">
        <w:rPr>
          <w:rStyle w:val="Fotnotsreferens"/>
          <w:caps/>
          <w:spacing w:val="8"/>
          <w:sz w:val="14"/>
        </w:rPr>
        <w:footnoteReference w:id="13"/>
      </w:r>
      <w:r w:rsidRPr="00BA7C9E">
        <w:rPr>
          <w:caps/>
          <w:spacing w:val="8"/>
          <w:sz w:val="14"/>
        </w:rPr>
        <w:t xml:space="preserve"> 2009</w:t>
      </w:r>
      <w:r w:rsidR="002C2D9F" w:rsidRPr="00BA7C9E">
        <w:rPr>
          <w:caps/>
          <w:spacing w:val="8"/>
          <w:sz w:val="14"/>
        </w:rPr>
        <w:t xml:space="preserve"> </w:t>
      </w:r>
      <w:r w:rsidRPr="00BA7C9E">
        <w:rPr>
          <w:caps/>
          <w:spacing w:val="8"/>
          <w:sz w:val="14"/>
        </w:rPr>
        <w:t>–</w:t>
      </w:r>
      <w:r w:rsidR="002C2D9F" w:rsidRPr="00BA7C9E">
        <w:rPr>
          <w:caps/>
          <w:spacing w:val="8"/>
          <w:sz w:val="14"/>
        </w:rPr>
        <w:t xml:space="preserve"> </w:t>
      </w:r>
      <w:r w:rsidRPr="00BA7C9E">
        <w:rPr>
          <w:caps/>
          <w:spacing w:val="8"/>
          <w:sz w:val="14"/>
        </w:rPr>
        <w:t>2011 (PROCENT)</w:t>
      </w:r>
      <w:r w:rsidR="00376FB8" w:rsidRPr="00BA7C9E">
        <w:t xml:space="preserve"> </w:t>
      </w:r>
      <w:r w:rsidR="00BA7C9E" w:rsidRPr="00BA7C9E">
        <w:rPr>
          <w:noProof/>
        </w:rPr>
        <w:drawing>
          <wp:inline distT="0" distB="0" distL="0" distR="0">
            <wp:extent cx="3777615" cy="723900"/>
            <wp:effectExtent l="0" t="0" r="0" b="0"/>
            <wp:docPr id="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7615" cy="723900"/>
                    </a:xfrm>
                    <a:prstGeom prst="rect">
                      <a:avLst/>
                    </a:prstGeom>
                    <a:noFill/>
                    <a:ln>
                      <a:noFill/>
                    </a:ln>
                  </pic:spPr>
                </pic:pic>
              </a:graphicData>
            </a:graphic>
          </wp:inline>
        </w:drawing>
      </w:r>
    </w:p>
    <w:p w:rsidR="00874CF9" w:rsidRPr="00BA7C9E" w:rsidRDefault="00874CF9" w:rsidP="00874CF9">
      <w:pPr>
        <w:pStyle w:val="Normaltindrag"/>
      </w:pPr>
    </w:p>
    <w:p w:rsidR="00376FB8" w:rsidRPr="00BA7C9E" w:rsidRDefault="00F32CCD" w:rsidP="00F32CCD">
      <w:pPr>
        <w:keepNext/>
      </w:pPr>
      <w:r w:rsidRPr="00BA7C9E">
        <w:t xml:space="preserve">Personalomsättningen har som helhet ökat sedan 2010 från 5 till 10 procent. Inom den årliga revisionen var personalomsättningen 10 (4) procent medan den inom effektivitetsrevisionen </w:t>
      </w:r>
      <w:r w:rsidR="00B138C4" w:rsidRPr="00BA7C9E">
        <w:t xml:space="preserve">har </w:t>
      </w:r>
      <w:r w:rsidRPr="00BA7C9E">
        <w:t>ökat från 8 till 17 procent.</w:t>
      </w:r>
    </w:p>
    <w:p w:rsidR="00F32CCD" w:rsidRPr="00BA7C9E" w:rsidRDefault="00376FB8" w:rsidP="004A2A16">
      <w:pPr>
        <w:pStyle w:val="R4"/>
        <w:spacing w:before="0"/>
      </w:pPr>
      <w:r w:rsidRPr="00BA7C9E">
        <w:br w:type="page"/>
      </w:r>
      <w:r w:rsidR="00F32CCD" w:rsidRPr="00BA7C9E">
        <w:t>Sjukfrånvaro</w:t>
      </w:r>
    </w:p>
    <w:p w:rsidR="00F32CCD" w:rsidRPr="00BA7C9E" w:rsidRDefault="00F32CCD" w:rsidP="00F32CCD">
      <w:r w:rsidRPr="00BA7C9E">
        <w:t>Den totala sjukfrånvaron har minskat något. För män har sjukfrånvaron min</w:t>
      </w:r>
      <w:r w:rsidRPr="00BA7C9E">
        <w:t>s</w:t>
      </w:r>
      <w:r w:rsidRPr="00BA7C9E">
        <w:t xml:space="preserve">kat från 1,6 </w:t>
      </w:r>
      <w:r w:rsidR="00074FD7" w:rsidRPr="00BA7C9E">
        <w:t xml:space="preserve">procent </w:t>
      </w:r>
      <w:r w:rsidRPr="00BA7C9E">
        <w:t xml:space="preserve">till 1,2 </w:t>
      </w:r>
      <w:r w:rsidR="002C15D7" w:rsidRPr="00BA7C9E">
        <w:t xml:space="preserve">procent </w:t>
      </w:r>
      <w:r w:rsidRPr="00BA7C9E">
        <w:t>medan den är oförändrad för kvinnor.</w:t>
      </w:r>
    </w:p>
    <w:p w:rsidR="00F32CCD" w:rsidRPr="00BA7C9E" w:rsidRDefault="00F32CCD" w:rsidP="00F32CCD">
      <w:pPr>
        <w:keepNext/>
        <w:spacing w:before="250" w:line="200" w:lineRule="atLeast"/>
        <w:ind w:left="851" w:hanging="851"/>
        <w:jc w:val="left"/>
        <w:rPr>
          <w:caps/>
          <w:spacing w:val="8"/>
          <w:sz w:val="14"/>
        </w:rPr>
      </w:pPr>
      <w:r w:rsidRPr="00BA7C9E">
        <w:rPr>
          <w:caps/>
          <w:spacing w:val="8"/>
          <w:sz w:val="14"/>
        </w:rPr>
        <w:t>TABELL 23 SJUKFRÅNVARO 2010</w:t>
      </w:r>
      <w:r w:rsidR="002C2D9F" w:rsidRPr="00BA7C9E">
        <w:rPr>
          <w:caps/>
          <w:spacing w:val="8"/>
          <w:sz w:val="14"/>
        </w:rPr>
        <w:t xml:space="preserve"> </w:t>
      </w:r>
      <w:r w:rsidRPr="00BA7C9E">
        <w:rPr>
          <w:caps/>
          <w:spacing w:val="8"/>
          <w:sz w:val="14"/>
        </w:rPr>
        <w:t>–</w:t>
      </w:r>
      <w:r w:rsidR="002C2D9F" w:rsidRPr="00BA7C9E">
        <w:rPr>
          <w:caps/>
          <w:spacing w:val="8"/>
          <w:sz w:val="14"/>
        </w:rPr>
        <w:t xml:space="preserve"> </w:t>
      </w:r>
      <w:r w:rsidRPr="00BA7C9E">
        <w:rPr>
          <w:caps/>
          <w:spacing w:val="8"/>
          <w:sz w:val="14"/>
        </w:rPr>
        <w:t>2011 (PROCENT)</w:t>
      </w:r>
    </w:p>
    <w:tbl>
      <w:tblPr>
        <w:tblW w:w="5380" w:type="dxa"/>
        <w:tblInd w:w="58" w:type="dxa"/>
        <w:tblCellMar>
          <w:left w:w="70" w:type="dxa"/>
          <w:right w:w="70" w:type="dxa"/>
        </w:tblCellMar>
        <w:tblLook w:val="04A0" w:firstRow="1" w:lastRow="0" w:firstColumn="1" w:lastColumn="0" w:noHBand="0" w:noVBand="1"/>
      </w:tblPr>
      <w:tblGrid>
        <w:gridCol w:w="3460"/>
        <w:gridCol w:w="960"/>
        <w:gridCol w:w="960"/>
      </w:tblGrid>
      <w:tr w:rsidR="00F32CCD" w:rsidRPr="00BA7C9E" w:rsidTr="00F32CCD">
        <w:trPr>
          <w:trHeight w:val="170"/>
        </w:trPr>
        <w:tc>
          <w:tcPr>
            <w:tcW w:w="3460" w:type="dxa"/>
            <w:tcBorders>
              <w:top w:val="single" w:sz="4" w:space="0" w:color="auto"/>
              <w:left w:val="nil"/>
              <w:bottom w:val="single" w:sz="4" w:space="0" w:color="auto"/>
              <w:right w:val="nil"/>
            </w:tcBorders>
            <w:shd w:val="clear" w:color="000000" w:fill="F2F2F2"/>
          </w:tcPr>
          <w:p w:rsidR="00F32CCD" w:rsidRPr="00BA7C9E" w:rsidRDefault="00F32CCD" w:rsidP="00F32CCD">
            <w:pPr>
              <w:keepNext/>
              <w:spacing w:before="0" w:line="240" w:lineRule="auto"/>
              <w:rPr>
                <w:rFonts w:ascii="Calibri" w:hAnsi="Calibri"/>
                <w:color w:val="000000"/>
                <w:sz w:val="16"/>
                <w:szCs w:val="16"/>
              </w:rPr>
            </w:pPr>
            <w:r w:rsidRPr="00BA7C9E">
              <w:rPr>
                <w:rFonts w:ascii="Calibri" w:hAnsi="Calibri"/>
                <w:color w:val="000000"/>
                <w:sz w:val="16"/>
                <w:szCs w:val="16"/>
              </w:rPr>
              <w:t> </w:t>
            </w:r>
          </w:p>
        </w:tc>
        <w:tc>
          <w:tcPr>
            <w:tcW w:w="960" w:type="dxa"/>
            <w:tcBorders>
              <w:top w:val="single" w:sz="4" w:space="0" w:color="auto"/>
              <w:left w:val="nil"/>
              <w:bottom w:val="single" w:sz="4" w:space="0" w:color="auto"/>
              <w:right w:val="nil"/>
            </w:tcBorders>
            <w:shd w:val="clear" w:color="000000" w:fill="F2F2F2"/>
            <w:vAlign w:val="bottom"/>
          </w:tcPr>
          <w:p w:rsidR="00F32CCD" w:rsidRPr="00BA7C9E" w:rsidRDefault="00F32CCD" w:rsidP="00F32CCD">
            <w:pPr>
              <w:keepNext/>
              <w:spacing w:before="0" w:line="240" w:lineRule="auto"/>
              <w:jc w:val="right"/>
              <w:rPr>
                <w:rFonts w:ascii="Calibri" w:hAnsi="Calibri"/>
                <w:b/>
                <w:bCs/>
                <w:sz w:val="16"/>
                <w:szCs w:val="16"/>
              </w:rPr>
            </w:pPr>
            <w:r w:rsidRPr="00BA7C9E">
              <w:rPr>
                <w:rFonts w:ascii="Calibri" w:hAnsi="Calibri"/>
                <w:b/>
                <w:bCs/>
                <w:sz w:val="16"/>
              </w:rPr>
              <w:t>2011</w:t>
            </w:r>
          </w:p>
        </w:tc>
        <w:tc>
          <w:tcPr>
            <w:tcW w:w="960" w:type="dxa"/>
            <w:tcBorders>
              <w:top w:val="single" w:sz="4" w:space="0" w:color="auto"/>
              <w:left w:val="nil"/>
              <w:bottom w:val="single" w:sz="4" w:space="0" w:color="auto"/>
              <w:right w:val="nil"/>
            </w:tcBorders>
            <w:shd w:val="clear" w:color="000000" w:fill="F2F2F2"/>
            <w:noWrap/>
            <w:vAlign w:val="bottom"/>
          </w:tcPr>
          <w:p w:rsidR="00F32CCD" w:rsidRPr="00BA7C9E" w:rsidRDefault="00F32CCD" w:rsidP="00F32CCD">
            <w:pPr>
              <w:keepNext/>
              <w:spacing w:before="0" w:line="240" w:lineRule="auto"/>
              <w:jc w:val="right"/>
              <w:rPr>
                <w:rFonts w:ascii="Calibri" w:hAnsi="Calibri"/>
                <w:b/>
                <w:bCs/>
                <w:sz w:val="16"/>
                <w:szCs w:val="16"/>
              </w:rPr>
            </w:pPr>
            <w:r w:rsidRPr="00BA7C9E">
              <w:rPr>
                <w:rFonts w:ascii="Calibri" w:hAnsi="Calibri"/>
                <w:b/>
                <w:bCs/>
                <w:sz w:val="16"/>
              </w:rPr>
              <w:t>2010</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b/>
                <w:bCs/>
                <w:color w:val="000000"/>
                <w:sz w:val="16"/>
                <w:szCs w:val="16"/>
              </w:rPr>
            </w:pPr>
            <w:r w:rsidRPr="00BA7C9E">
              <w:rPr>
                <w:rFonts w:ascii="Calibri" w:hAnsi="Calibri"/>
                <w:b/>
                <w:bCs/>
                <w:color w:val="000000"/>
                <w:sz w:val="16"/>
              </w:rPr>
              <w:t>Total sjukfrånvaro*</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b/>
                <w:bCs/>
                <w:sz w:val="16"/>
                <w:szCs w:val="16"/>
              </w:rPr>
            </w:pPr>
            <w:r w:rsidRPr="00BA7C9E">
              <w:rPr>
                <w:rFonts w:ascii="Calibri" w:hAnsi="Calibri"/>
                <w:b/>
                <w:bCs/>
                <w:sz w:val="16"/>
              </w:rPr>
              <w:t>1,6</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b/>
                <w:bCs/>
                <w:sz w:val="16"/>
                <w:szCs w:val="16"/>
              </w:rPr>
            </w:pPr>
            <w:r w:rsidRPr="00BA7C9E">
              <w:rPr>
                <w:rFonts w:ascii="Calibri" w:hAnsi="Calibri"/>
                <w:b/>
                <w:bCs/>
                <w:sz w:val="16"/>
              </w:rPr>
              <w:t>1,8</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Varav:</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Kvinnor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1,9</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1,9</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Män</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 xml:space="preserve"> 1,2</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1,6</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Anställda -29 år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0,9</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0,8</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Anställda 30-49 år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1,4</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1,6</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Anställda 50- år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2,3</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2,3</w:t>
            </w: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b/>
                <w:bCs/>
                <w:color w:val="000000"/>
                <w:sz w:val="16"/>
                <w:szCs w:val="16"/>
              </w:rPr>
            </w:pPr>
            <w:r w:rsidRPr="00BA7C9E">
              <w:rPr>
                <w:rFonts w:ascii="Calibri" w:hAnsi="Calibri"/>
                <w:b/>
                <w:bCs/>
                <w:color w:val="000000"/>
                <w:sz w:val="16"/>
              </w:rPr>
              <w:t>Av total sjukfrånvaro avser: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p>
        </w:tc>
      </w:tr>
      <w:tr w:rsidR="00F32CCD" w:rsidRPr="00BA7C9E" w:rsidTr="00F32CCD">
        <w:trPr>
          <w:trHeight w:val="170"/>
        </w:trPr>
        <w:tc>
          <w:tcPr>
            <w:tcW w:w="3460" w:type="dxa"/>
            <w:tcBorders>
              <w:top w:val="nil"/>
              <w:left w:val="nil"/>
              <w:bottom w:val="nil"/>
              <w:right w:val="nil"/>
            </w:tcBorders>
            <w:noWrap/>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Andel långtidssjuka (60 dagar eller mer)</w:t>
            </w:r>
          </w:p>
        </w:tc>
        <w:tc>
          <w:tcPr>
            <w:tcW w:w="960" w:type="dxa"/>
            <w:tcBorders>
              <w:top w:val="nil"/>
              <w:left w:val="nil"/>
              <w:bottom w:val="nil"/>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43,5</w:t>
            </w:r>
          </w:p>
        </w:tc>
        <w:tc>
          <w:tcPr>
            <w:tcW w:w="960" w:type="dxa"/>
            <w:tcBorders>
              <w:top w:val="nil"/>
              <w:left w:val="nil"/>
              <w:bottom w:val="nil"/>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44,1</w:t>
            </w:r>
          </w:p>
        </w:tc>
      </w:tr>
      <w:tr w:rsidR="00F32CCD" w:rsidRPr="00BA7C9E" w:rsidTr="00F32CCD">
        <w:trPr>
          <w:trHeight w:val="170"/>
        </w:trPr>
        <w:tc>
          <w:tcPr>
            <w:tcW w:w="3460" w:type="dxa"/>
            <w:tcBorders>
              <w:top w:val="nil"/>
              <w:left w:val="nil"/>
              <w:bottom w:val="single" w:sz="4" w:space="0" w:color="auto"/>
              <w:right w:val="nil"/>
            </w:tcBorders>
            <w:vAlign w:val="bottom"/>
          </w:tcPr>
          <w:p w:rsidR="00F32CCD" w:rsidRPr="00BA7C9E" w:rsidRDefault="00F32CCD" w:rsidP="00F32CCD">
            <w:pPr>
              <w:keepNext/>
              <w:spacing w:before="0" w:line="240" w:lineRule="auto"/>
              <w:jc w:val="left"/>
              <w:rPr>
                <w:rFonts w:ascii="Calibri" w:hAnsi="Calibri"/>
                <w:color w:val="000000"/>
                <w:sz w:val="16"/>
                <w:szCs w:val="16"/>
              </w:rPr>
            </w:pPr>
            <w:r w:rsidRPr="00BA7C9E">
              <w:rPr>
                <w:rFonts w:ascii="Calibri" w:hAnsi="Calibri"/>
                <w:color w:val="000000"/>
                <w:sz w:val="16"/>
              </w:rPr>
              <w:t>Andel långtidssjuka av total ordinarie arbetstid**</w:t>
            </w:r>
          </w:p>
        </w:tc>
        <w:tc>
          <w:tcPr>
            <w:tcW w:w="960" w:type="dxa"/>
            <w:tcBorders>
              <w:top w:val="nil"/>
              <w:left w:val="nil"/>
              <w:bottom w:val="single" w:sz="4" w:space="0" w:color="auto"/>
              <w:right w:val="nil"/>
            </w:tcBorders>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0,7</w:t>
            </w:r>
          </w:p>
        </w:tc>
        <w:tc>
          <w:tcPr>
            <w:tcW w:w="960" w:type="dxa"/>
            <w:tcBorders>
              <w:top w:val="nil"/>
              <w:left w:val="nil"/>
              <w:bottom w:val="single" w:sz="4" w:space="0" w:color="auto"/>
              <w:right w:val="nil"/>
            </w:tcBorders>
            <w:noWrap/>
            <w:vAlign w:val="bottom"/>
          </w:tcPr>
          <w:p w:rsidR="00F32CCD" w:rsidRPr="00BA7C9E" w:rsidRDefault="00F32CCD" w:rsidP="00F32CCD">
            <w:pPr>
              <w:keepNext/>
              <w:spacing w:before="0" w:line="240" w:lineRule="auto"/>
              <w:jc w:val="right"/>
              <w:rPr>
                <w:rFonts w:ascii="Calibri" w:hAnsi="Calibri"/>
                <w:sz w:val="16"/>
                <w:szCs w:val="16"/>
              </w:rPr>
            </w:pPr>
            <w:r w:rsidRPr="00BA7C9E">
              <w:rPr>
                <w:rFonts w:ascii="Calibri" w:hAnsi="Calibri"/>
                <w:sz w:val="16"/>
              </w:rPr>
              <w:t>0,7</w:t>
            </w:r>
          </w:p>
        </w:tc>
      </w:tr>
    </w:tbl>
    <w:p w:rsidR="00F32CCD" w:rsidRPr="00BA7C9E" w:rsidRDefault="00F32CCD" w:rsidP="00F32CCD">
      <w:pPr>
        <w:keepNext/>
        <w:spacing w:before="0" w:line="160" w:lineRule="atLeast"/>
        <w:rPr>
          <w:sz w:val="16"/>
          <w:szCs w:val="24"/>
        </w:rPr>
      </w:pPr>
      <w:r w:rsidRPr="00BA7C9E">
        <w:rPr>
          <w:sz w:val="16"/>
          <w:szCs w:val="24"/>
        </w:rPr>
        <w:t>* I förhållande till total ordinarie arbetstid.</w:t>
      </w:r>
    </w:p>
    <w:p w:rsidR="00F32CCD" w:rsidRPr="00BA7C9E" w:rsidRDefault="00F32CCD" w:rsidP="00F32CCD">
      <w:pPr>
        <w:keepNext/>
        <w:spacing w:before="0" w:line="160" w:lineRule="atLeast"/>
        <w:rPr>
          <w:sz w:val="16"/>
          <w:szCs w:val="24"/>
        </w:rPr>
      </w:pPr>
      <w:r w:rsidRPr="00BA7C9E">
        <w:rPr>
          <w:sz w:val="16"/>
          <w:szCs w:val="24"/>
        </w:rPr>
        <w:t xml:space="preserve"> ** Total sjukfrånvaro i procent multiplicerad med andelen långtidssjuka (60 dagar eller mer) i procent.</w:t>
      </w:r>
    </w:p>
    <w:p w:rsidR="00F32CCD" w:rsidRPr="00BA7C9E" w:rsidRDefault="00F32CCD" w:rsidP="005E47D4">
      <w:pPr>
        <w:pStyle w:val="R4"/>
      </w:pPr>
      <w:r w:rsidRPr="00BA7C9E">
        <w:t>Arbetsmiljö och åtgärder för att förebygga ohälsa</w:t>
      </w:r>
    </w:p>
    <w:p w:rsidR="00F32CCD" w:rsidRPr="00BA7C9E" w:rsidRDefault="00AC4973" w:rsidP="00F32CCD">
      <w:r w:rsidRPr="00BA7C9E">
        <w:t>Genomförandet av</w:t>
      </w:r>
      <w:r w:rsidR="00F32CCD" w:rsidRPr="00BA7C9E">
        <w:t xml:space="preserve"> beslutade åtgärder, såsom kunskapsöverföring och leda</w:t>
      </w:r>
      <w:r w:rsidR="00F32CCD" w:rsidRPr="00BA7C9E">
        <w:t>r</w:t>
      </w:r>
      <w:r w:rsidR="00F32CCD" w:rsidRPr="00BA7C9E">
        <w:t xml:space="preserve">utveckling, utifrån uppföljningen av medarbetarenkäten 2010 har fortsatt. </w:t>
      </w:r>
      <w:r w:rsidRPr="00BA7C9E">
        <w:t>Åtgärderna i</w:t>
      </w:r>
      <w:r w:rsidR="00F32CCD" w:rsidRPr="00BA7C9E">
        <w:t>ngår i verksamhetsplanen för 2011 och i den löpande verksa</w:t>
      </w:r>
      <w:r w:rsidR="00F32CCD" w:rsidRPr="00BA7C9E">
        <w:t>m</w:t>
      </w:r>
      <w:r w:rsidR="00F32CCD" w:rsidRPr="00BA7C9E">
        <w:t xml:space="preserve">hetsutvecklingen. Syftet är att </w:t>
      </w:r>
      <w:r w:rsidRPr="00BA7C9E">
        <w:t>vidareutveckla</w:t>
      </w:r>
      <w:r w:rsidR="00F32CCD" w:rsidRPr="00BA7C9E">
        <w:t xml:space="preserve"> </w:t>
      </w:r>
      <w:r w:rsidRPr="00BA7C9E">
        <w:t xml:space="preserve">Riksrevisionen </w:t>
      </w:r>
      <w:r w:rsidR="00F32CCD" w:rsidRPr="00BA7C9E">
        <w:t xml:space="preserve">som en attraktiv arbetsplats och arbetsgivare. </w:t>
      </w:r>
    </w:p>
    <w:p w:rsidR="00F32CCD" w:rsidRPr="00BA7C9E" w:rsidRDefault="00F32CCD" w:rsidP="00F32CCD">
      <w:pPr>
        <w:spacing w:before="0"/>
        <w:ind w:firstLine="227"/>
      </w:pPr>
      <w:r w:rsidRPr="00BA7C9E">
        <w:t>Inom ramen för ledarutvecklingsprogrammet har cheferna genomgått en arbetsmiljöutbildning under året och en förtydligad arbetsfördelning för a</w:t>
      </w:r>
      <w:r w:rsidRPr="00BA7C9E">
        <w:t>r</w:t>
      </w:r>
      <w:r w:rsidRPr="00BA7C9E">
        <w:t>betsmiljöarbetet har utarbetats.</w:t>
      </w:r>
    </w:p>
    <w:p w:rsidR="008D1423" w:rsidRPr="00BA7C9E" w:rsidRDefault="00F32CCD" w:rsidP="005E47D4">
      <w:pPr>
        <w:spacing w:before="0"/>
        <w:ind w:firstLine="227"/>
        <w:jc w:val="left"/>
      </w:pPr>
      <w:r w:rsidRPr="00BA7C9E">
        <w:t>Riksrevisionen erbjuder sina anställda åtgärder i syfte att förebygga ohälsa</w:t>
      </w:r>
      <w:r w:rsidR="008D1423" w:rsidRPr="00BA7C9E">
        <w:t xml:space="preserve"> bland annat genom att subventionera</w:t>
      </w:r>
      <w:r w:rsidRPr="00BA7C9E">
        <w:t xml:space="preserve"> olika friskvårdsaktiviteter</w:t>
      </w:r>
      <w:r w:rsidR="008D1423" w:rsidRPr="00BA7C9E">
        <w:t>.</w:t>
      </w:r>
    </w:p>
    <w:p w:rsidR="00F32CCD" w:rsidRPr="00BA7C9E" w:rsidRDefault="008D1423" w:rsidP="004A2A16">
      <w:pPr>
        <w:pStyle w:val="Rubrik2"/>
        <w:spacing w:before="0"/>
      </w:pPr>
      <w:r w:rsidRPr="00BA7C9E">
        <w:br w:type="page"/>
      </w:r>
      <w:bookmarkStart w:id="95" w:name="_Toc311187646"/>
      <w:bookmarkStart w:id="96" w:name="_Toc311187647"/>
      <w:bookmarkStart w:id="97" w:name="_Toc315253457"/>
      <w:bookmarkStart w:id="98" w:name="_Toc318101643"/>
      <w:r w:rsidR="00F32CCD" w:rsidRPr="00BA7C9E">
        <w:t>Intern styrning och kontroll</w:t>
      </w:r>
      <w:bookmarkEnd w:id="95"/>
      <w:bookmarkEnd w:id="96"/>
      <w:bookmarkEnd w:id="97"/>
      <w:bookmarkEnd w:id="98"/>
    </w:p>
    <w:p w:rsidR="00F32CCD" w:rsidRPr="00BA7C9E" w:rsidRDefault="00F32CCD" w:rsidP="00F32CCD">
      <w:r w:rsidRPr="00BA7C9E">
        <w:t>Från den 1 januari 2011 har ändringar gjorts i de regelverk som avser Riksr</w:t>
      </w:r>
      <w:r w:rsidRPr="00BA7C9E">
        <w:t>e</w:t>
      </w:r>
      <w:r w:rsidRPr="00BA7C9E">
        <w:t xml:space="preserve">visionens ledning och interna styrning och kontroll. </w:t>
      </w:r>
    </w:p>
    <w:p w:rsidR="00F32CCD" w:rsidRPr="00BA7C9E" w:rsidRDefault="00F32CCD" w:rsidP="00F32CCD">
      <w:pPr>
        <w:spacing w:before="0"/>
        <w:ind w:firstLine="227"/>
      </w:pPr>
      <w:r w:rsidRPr="00BA7C9E">
        <w:t>Riksrevisorn med administrativt ansvar ska från och med i år i årsredovi</w:t>
      </w:r>
      <w:r w:rsidRPr="00BA7C9E">
        <w:t>s</w:t>
      </w:r>
      <w:r w:rsidRPr="00BA7C9E">
        <w:t>ningen lämna en bedömning av om den interna styrningen och kontrollen vid myndigheten är betryggande. Myndighetens ledning ska säkerställa att det finns en intern styrning och kontroll som fungerar på ett betryggande sätt. Med intern styrning och kontroll avses den process som syftar till att myndi</w:t>
      </w:r>
      <w:r w:rsidRPr="00BA7C9E">
        <w:t>g</w:t>
      </w:r>
      <w:r w:rsidRPr="00BA7C9E">
        <w:t>heten med rimlig säkerhet fullgör sitt verksamhetsansvar. I denna process ska ingå momenten riskanalys, kontrollåtgärder, uppföljning och dokument</w:t>
      </w:r>
      <w:r w:rsidRPr="00BA7C9E">
        <w:t>a</w:t>
      </w:r>
      <w:r w:rsidRPr="00BA7C9E">
        <w:t>tion.</w:t>
      </w:r>
      <w:r w:rsidRPr="00BA7C9E">
        <w:rPr>
          <w:vertAlign w:val="superscript"/>
        </w:rPr>
        <w:footnoteReference w:id="14"/>
      </w:r>
      <w:r w:rsidRPr="00BA7C9E">
        <w:t xml:space="preserve"> </w:t>
      </w:r>
    </w:p>
    <w:p w:rsidR="00F32CCD" w:rsidRPr="00BA7C9E" w:rsidRDefault="00F32CCD" w:rsidP="00F32CCD">
      <w:pPr>
        <w:spacing w:before="0"/>
        <w:ind w:firstLine="227"/>
      </w:pPr>
      <w:r w:rsidRPr="00BA7C9E">
        <w:t>Riksrevisionen leds av tre riksrevisorer som väljs av riksdagen.</w:t>
      </w:r>
      <w:r w:rsidRPr="00BA7C9E">
        <w:rPr>
          <w:vertAlign w:val="superscript"/>
        </w:rPr>
        <w:footnoteReference w:id="15"/>
      </w:r>
      <w:r w:rsidRPr="00BA7C9E">
        <w:t xml:space="preserve"> En av riksrevisorerna är riksrevisor med administrativt ansvar och ansvarar för den administrativa ledningen av myndigheten. Denna riksrevisor ansvarar inför riksdagen för verksamheten och ska se till att den bedrivs effektivt och enligt gällande rätt, att den redovisas på ett tillförlitligt och rättvisande sätt samt att Riksrevisionen hushållar väl med statens medel. Riksrevisorn med adminis</w:t>
      </w:r>
      <w:r w:rsidRPr="00BA7C9E">
        <w:t>t</w:t>
      </w:r>
      <w:r w:rsidRPr="00BA7C9E">
        <w:t>rativt ansvar beslutar om årsredovisningen för Riksrevisionen och lämnar ett intygande om myndighetens interna styrning och kontroll.</w:t>
      </w:r>
      <w:r w:rsidRPr="00BA7C9E">
        <w:rPr>
          <w:vertAlign w:val="superscript"/>
        </w:rPr>
        <w:footnoteReference w:id="16"/>
      </w:r>
      <w:r w:rsidRPr="00BA7C9E">
        <w:t xml:space="preserve"> </w:t>
      </w:r>
    </w:p>
    <w:p w:rsidR="00F32CCD" w:rsidRPr="00BA7C9E" w:rsidRDefault="00F32CCD" w:rsidP="00F32CCD">
      <w:pPr>
        <w:spacing w:before="0"/>
        <w:ind w:firstLine="227"/>
      </w:pPr>
      <w:r w:rsidRPr="00BA7C9E">
        <w:t>Riksrevisorn med administrativt ansvar redovisar här nedan underlag till och sitt ställningstagande avseende intern styrning och kontroll 2011.</w:t>
      </w:r>
    </w:p>
    <w:p w:rsidR="00F32CCD" w:rsidRPr="00BA7C9E" w:rsidRDefault="00F32CCD" w:rsidP="005E47D4">
      <w:pPr>
        <w:pStyle w:val="Rubrik3"/>
        <w:rPr>
          <w:noProof w:val="0"/>
        </w:rPr>
      </w:pPr>
      <w:bookmarkStart w:id="99" w:name="_Toc311187648"/>
      <w:bookmarkStart w:id="100" w:name="_Toc315253458"/>
      <w:bookmarkStart w:id="101" w:name="_Toc318101644"/>
      <w:r w:rsidRPr="00BA7C9E">
        <w:rPr>
          <w:noProof w:val="0"/>
        </w:rPr>
        <w:t>Riksrevisionens process för intern styrning och kontroll</w:t>
      </w:r>
      <w:bookmarkEnd w:id="99"/>
      <w:bookmarkEnd w:id="100"/>
      <w:bookmarkEnd w:id="101"/>
    </w:p>
    <w:p w:rsidR="00F32CCD" w:rsidRPr="00BA7C9E" w:rsidRDefault="00F32CCD" w:rsidP="00F32CCD">
      <w:r w:rsidRPr="00BA7C9E">
        <w:t>Förordningen (2007:603) om intern styrning och kontroll trädde i kraft 2008. Samma år fattade riksrevisorerna beslut om att Riksrevisionen i sin verksa</w:t>
      </w:r>
      <w:r w:rsidRPr="00BA7C9E">
        <w:t>m</w:t>
      </w:r>
      <w:r w:rsidRPr="00BA7C9E">
        <w:t>het ska tillämpa bestämmelserna motsvarande förordningen. Sedan dess pågår ett arbete med att utveckla Riksrevisionens process för intern styrning och kontroll. Arbetet inleddes 2009 med att utveckla mål för verksamheten och att successivt utveckla formerna för att arbeta med riskanalys, kontrollåtgärder, uppföljning och dokumentation.</w:t>
      </w:r>
    </w:p>
    <w:p w:rsidR="00F32CCD" w:rsidRPr="00BA7C9E" w:rsidRDefault="00F32CCD" w:rsidP="00F32CCD">
      <w:pPr>
        <w:spacing w:before="0"/>
        <w:ind w:firstLine="227"/>
      </w:pPr>
      <w:r w:rsidRPr="00BA7C9E">
        <w:t>Från 2010 och fram till intygandet i årsredovisningen för 2011 har riskan</w:t>
      </w:r>
      <w:r w:rsidRPr="00BA7C9E">
        <w:t>a</w:t>
      </w:r>
      <w:r w:rsidRPr="00BA7C9E">
        <w:t xml:space="preserve">lys, löpande intern planering och uppföljning med utgångspunkt bland annat i riskanalysen, beslut om bedömningskriterier och ledningens riskacceptans utvecklats och implementerats. </w:t>
      </w:r>
      <w:bookmarkStart w:id="102" w:name="_Toc311187649"/>
    </w:p>
    <w:p w:rsidR="00F32CCD" w:rsidRPr="00BA7C9E" w:rsidRDefault="00F32CCD" w:rsidP="00F32CCD">
      <w:pPr>
        <w:spacing w:before="0"/>
        <w:ind w:firstLine="227"/>
      </w:pPr>
      <w:r w:rsidRPr="00BA7C9E">
        <w:t>I år har arbetet bland annat omfattat översyn och uppdatering av dokume</w:t>
      </w:r>
      <w:r w:rsidRPr="00BA7C9E">
        <w:t>n</w:t>
      </w:r>
      <w:r w:rsidRPr="00BA7C9E">
        <w:t>terade risker genom en anpassning till de i oktober 2010 reviderade bedö</w:t>
      </w:r>
      <w:r w:rsidRPr="00BA7C9E">
        <w:t>m</w:t>
      </w:r>
      <w:r w:rsidRPr="00BA7C9E">
        <w:t>ningskriterierna och ensning av bedömningarna mellan olika risker. Därtill har förteckningen uppdaterats med nyidentifierade risker, sammanslagning av likartade risker och borttagning av risker. Genomgången omfattade även en översyn av de åtgärder som vidtagits och som återstår att genomföra och nya förslag till åtgärder. Incidentrapporteringen, de interna reglerna och beskri</w:t>
      </w:r>
      <w:r w:rsidRPr="00BA7C9E">
        <w:t>v</w:t>
      </w:r>
      <w:r w:rsidRPr="00BA7C9E">
        <w:t>ningen av kontrollmiljön har utvecklats, men visst arbete kvarstår innan det är klart. Aktiviteter för kommunikation med medarbetarna om arbetet med en process för intern styrning och kontroll återstår att utveckla och genomföra.</w:t>
      </w:r>
    </w:p>
    <w:bookmarkEnd w:id="102"/>
    <w:p w:rsidR="00F32CCD" w:rsidRPr="00BA7C9E" w:rsidRDefault="00F32CCD" w:rsidP="00F32CCD">
      <w:pPr>
        <w:spacing w:before="0"/>
        <w:ind w:firstLine="227"/>
      </w:pPr>
      <w:r w:rsidRPr="00BA7C9E">
        <w:t>Processen för intern styrning och kontroll är en integrerad del av planering, genomförande och uppföljning av verksamheten. Merparten av de identifier</w:t>
      </w:r>
      <w:r w:rsidRPr="00BA7C9E">
        <w:t>a</w:t>
      </w:r>
      <w:r w:rsidRPr="00BA7C9E">
        <w:t xml:space="preserve">de riskerna ligger inom en risknivå som ledningen bedömt som acceptabel. Riskanalysen visar också på områden där det finns utrymme för förbättringar, bland annat inom informationssäkerhetsområdet. Detta har tagits om hand dels löpande under året, dels i verksamhetsplaneringen inför 2012.  </w:t>
      </w:r>
    </w:p>
    <w:p w:rsidR="00F32CCD" w:rsidRPr="00BA7C9E" w:rsidRDefault="00F32CCD" w:rsidP="005E47D4">
      <w:pPr>
        <w:pStyle w:val="Rubrik3"/>
        <w:rPr>
          <w:noProof w:val="0"/>
        </w:rPr>
      </w:pPr>
      <w:bookmarkStart w:id="103" w:name="_Toc315253459"/>
      <w:bookmarkStart w:id="104" w:name="_Toc311187650"/>
      <w:bookmarkStart w:id="105" w:name="_Toc318101645"/>
      <w:r w:rsidRPr="00BA7C9E">
        <w:rPr>
          <w:noProof w:val="0"/>
        </w:rPr>
        <w:t>Ställningstagande av riksrevisorn med administrativt ansvar</w:t>
      </w:r>
      <w:bookmarkEnd w:id="103"/>
      <w:bookmarkEnd w:id="105"/>
    </w:p>
    <w:bookmarkEnd w:id="104"/>
    <w:p w:rsidR="00F32CCD" w:rsidRPr="00BA7C9E" w:rsidRDefault="00F32CCD" w:rsidP="00F32CCD">
      <w:r w:rsidRPr="00BA7C9E">
        <w:t>Riksrevisionen har utvecklat och arbetar med en process för intern styrning och kontroll. I processen hålls riskbedömningarna aktuella genom regelbu</w:t>
      </w:r>
      <w:r w:rsidRPr="00BA7C9E">
        <w:t>n</w:t>
      </w:r>
      <w:r w:rsidRPr="00BA7C9E">
        <w:t>den uppdatering. Utifrån riskanalysen planeras och genomförs åtgärder. Pr</w:t>
      </w:r>
      <w:r w:rsidRPr="00BA7C9E">
        <w:t>o</w:t>
      </w:r>
      <w:r w:rsidRPr="00BA7C9E">
        <w:t>cessen omfattar även att hantera och åtgärda incidenter som inträffar (inc</w:t>
      </w:r>
      <w:r w:rsidRPr="00BA7C9E">
        <w:t>i</w:t>
      </w:r>
      <w:r w:rsidRPr="00BA7C9E">
        <w:t xml:space="preserve">dentrapportering). De identifierade förbättringsområdena är inte så väsentliga att de påverkar bedömningen av och innehållet i årsredovisningen. Baserat på denna process för intern styrning och kontroll, självutvärdering, hanteringen av identifierade risker, underställda chefers intygande samt internrevisionens och externrevisionens granskningar bedömer jag att den interna styrningen och kontrollen vid Riksrevisionen är betryggande. </w:t>
      </w:r>
    </w:p>
    <w:p w:rsidR="00284AED" w:rsidRPr="00BA7C9E" w:rsidRDefault="00284AED" w:rsidP="00F32CCD">
      <w:pPr>
        <w:spacing w:before="0"/>
      </w:pPr>
    </w:p>
    <w:p w:rsidR="00284AED" w:rsidRPr="00BA7C9E" w:rsidRDefault="00284AED" w:rsidP="00284AED">
      <w:pPr>
        <w:pStyle w:val="Normaltindrag"/>
        <w:sectPr w:rsidR="00284AED" w:rsidRPr="00BA7C9E" w:rsidSect="00F32CCD">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F32CCD" w:rsidRPr="00BA7C9E" w:rsidRDefault="00F32CCD" w:rsidP="006811EA">
      <w:pPr>
        <w:pStyle w:val="Rubrik1"/>
        <w:rPr>
          <w:noProof w:val="0"/>
        </w:rPr>
      </w:pPr>
      <w:bookmarkStart w:id="106" w:name="_Toc311187651"/>
      <w:bookmarkStart w:id="107" w:name="_Toc315253460"/>
      <w:bookmarkStart w:id="108" w:name="_Toc318101646"/>
      <w:r w:rsidRPr="00BA7C9E">
        <w:rPr>
          <w:noProof w:val="0"/>
        </w:rPr>
        <w:t>Sammanställning över väsentliga uppgifter</w:t>
      </w:r>
      <w:bookmarkEnd w:id="94"/>
      <w:bookmarkEnd w:id="106"/>
      <w:bookmarkEnd w:id="107"/>
      <w:bookmarkEnd w:id="108"/>
    </w:p>
    <w:tbl>
      <w:tblPr>
        <w:tblW w:w="6110" w:type="dxa"/>
        <w:tblInd w:w="70" w:type="dxa"/>
        <w:tblLayout w:type="fixed"/>
        <w:tblCellMar>
          <w:left w:w="70" w:type="dxa"/>
          <w:right w:w="70" w:type="dxa"/>
        </w:tblCellMar>
        <w:tblLook w:val="0000" w:firstRow="0" w:lastRow="0" w:firstColumn="0" w:lastColumn="0" w:noHBand="0" w:noVBand="0"/>
      </w:tblPr>
      <w:tblGrid>
        <w:gridCol w:w="2410"/>
        <w:gridCol w:w="740"/>
        <w:gridCol w:w="740"/>
        <w:gridCol w:w="740"/>
        <w:gridCol w:w="740"/>
        <w:gridCol w:w="740"/>
      </w:tblGrid>
      <w:tr w:rsidR="00F32CCD" w:rsidRPr="00BA7C9E" w:rsidTr="00F32CCD">
        <w:tc>
          <w:tcPr>
            <w:tcW w:w="2410" w:type="dxa"/>
            <w:tcBorders>
              <w:top w:val="single" w:sz="4" w:space="0" w:color="auto"/>
              <w:bottom w:val="single" w:sz="4" w:space="0" w:color="auto"/>
            </w:tcBorders>
            <w:vAlign w:val="bottom"/>
          </w:tcPr>
          <w:p w:rsidR="00F32CCD" w:rsidRPr="00BA7C9E" w:rsidRDefault="00F32CCD" w:rsidP="00F32CCD">
            <w:pPr>
              <w:spacing w:before="0" w:line="200" w:lineRule="exact"/>
              <w:ind w:left="-1134" w:firstLine="1159"/>
              <w:jc w:val="left"/>
              <w:rPr>
                <w:b/>
                <w:sz w:val="16"/>
                <w:szCs w:val="16"/>
              </w:rPr>
            </w:pPr>
            <w:bookmarkStart w:id="109" w:name="_Toc311187652"/>
            <w:bookmarkStart w:id="110" w:name="_Toc315253461"/>
            <w:r w:rsidRPr="00BA7C9E">
              <w:rPr>
                <w:b/>
                <w:sz w:val="16"/>
                <w:szCs w:val="16"/>
              </w:rPr>
              <w:t>(tkr)</w:t>
            </w:r>
          </w:p>
        </w:tc>
        <w:tc>
          <w:tcPr>
            <w:tcW w:w="740" w:type="dxa"/>
            <w:tcBorders>
              <w:top w:val="single" w:sz="4" w:space="0" w:color="auto"/>
              <w:bottom w:val="single" w:sz="4" w:space="0" w:color="auto"/>
            </w:tcBorders>
          </w:tcPr>
          <w:p w:rsidR="00F32CCD" w:rsidRPr="00BA7C9E" w:rsidRDefault="00F32CCD" w:rsidP="00F32CCD">
            <w:pPr>
              <w:spacing w:before="0" w:line="200" w:lineRule="exact"/>
              <w:jc w:val="right"/>
              <w:rPr>
                <w:b/>
                <w:sz w:val="16"/>
                <w:szCs w:val="16"/>
              </w:rPr>
            </w:pPr>
            <w:r w:rsidRPr="00BA7C9E">
              <w:rPr>
                <w:b/>
                <w:sz w:val="16"/>
                <w:szCs w:val="16"/>
              </w:rPr>
              <w:t>2011</w:t>
            </w:r>
          </w:p>
        </w:tc>
        <w:tc>
          <w:tcPr>
            <w:tcW w:w="740" w:type="dxa"/>
            <w:tcBorders>
              <w:top w:val="single" w:sz="4" w:space="0" w:color="auto"/>
              <w:bottom w:val="single" w:sz="4" w:space="0" w:color="auto"/>
            </w:tcBorders>
          </w:tcPr>
          <w:p w:rsidR="00F32CCD" w:rsidRPr="00BA7C9E" w:rsidRDefault="00F32CCD" w:rsidP="00F32CCD">
            <w:pPr>
              <w:spacing w:before="0" w:line="200" w:lineRule="exact"/>
              <w:jc w:val="right"/>
              <w:rPr>
                <w:b/>
                <w:sz w:val="16"/>
                <w:szCs w:val="16"/>
              </w:rPr>
            </w:pPr>
            <w:r w:rsidRPr="00BA7C9E">
              <w:rPr>
                <w:b/>
                <w:sz w:val="16"/>
                <w:szCs w:val="16"/>
              </w:rPr>
              <w:t>2010</w:t>
            </w:r>
          </w:p>
        </w:tc>
        <w:tc>
          <w:tcPr>
            <w:tcW w:w="740" w:type="dxa"/>
            <w:tcBorders>
              <w:top w:val="single" w:sz="4" w:space="0" w:color="auto"/>
              <w:bottom w:val="single" w:sz="4" w:space="0" w:color="auto"/>
            </w:tcBorders>
          </w:tcPr>
          <w:p w:rsidR="00F32CCD" w:rsidRPr="00BA7C9E" w:rsidRDefault="00F32CCD" w:rsidP="00F32CCD">
            <w:pPr>
              <w:spacing w:before="0" w:line="200" w:lineRule="exact"/>
              <w:jc w:val="right"/>
              <w:rPr>
                <w:b/>
                <w:sz w:val="16"/>
                <w:szCs w:val="16"/>
              </w:rPr>
            </w:pPr>
            <w:r w:rsidRPr="00BA7C9E">
              <w:rPr>
                <w:b/>
                <w:sz w:val="16"/>
                <w:szCs w:val="16"/>
              </w:rPr>
              <w:t>2009</w:t>
            </w:r>
          </w:p>
        </w:tc>
        <w:tc>
          <w:tcPr>
            <w:tcW w:w="740" w:type="dxa"/>
            <w:tcBorders>
              <w:top w:val="single" w:sz="4" w:space="0" w:color="auto"/>
              <w:bottom w:val="single" w:sz="4" w:space="0" w:color="auto"/>
            </w:tcBorders>
            <w:vAlign w:val="bottom"/>
          </w:tcPr>
          <w:p w:rsidR="00F32CCD" w:rsidRPr="00BA7C9E" w:rsidRDefault="00F32CCD" w:rsidP="00F32CCD">
            <w:pPr>
              <w:spacing w:before="0" w:line="200" w:lineRule="exact"/>
              <w:jc w:val="right"/>
              <w:rPr>
                <w:b/>
                <w:sz w:val="16"/>
                <w:szCs w:val="16"/>
              </w:rPr>
            </w:pPr>
            <w:r w:rsidRPr="00BA7C9E">
              <w:rPr>
                <w:b/>
                <w:sz w:val="16"/>
                <w:szCs w:val="16"/>
              </w:rPr>
              <w:t>2008</w:t>
            </w:r>
          </w:p>
        </w:tc>
        <w:tc>
          <w:tcPr>
            <w:tcW w:w="740" w:type="dxa"/>
            <w:tcBorders>
              <w:top w:val="single" w:sz="4" w:space="0" w:color="auto"/>
              <w:bottom w:val="single" w:sz="4" w:space="0" w:color="auto"/>
            </w:tcBorders>
            <w:vAlign w:val="bottom"/>
          </w:tcPr>
          <w:p w:rsidR="00F32CCD" w:rsidRPr="00BA7C9E" w:rsidRDefault="00F32CCD" w:rsidP="00F32CCD">
            <w:pPr>
              <w:spacing w:before="0" w:line="200" w:lineRule="exact"/>
              <w:jc w:val="right"/>
              <w:rPr>
                <w:b/>
                <w:sz w:val="16"/>
                <w:szCs w:val="16"/>
              </w:rPr>
            </w:pPr>
            <w:r w:rsidRPr="00BA7C9E">
              <w:rPr>
                <w:b/>
                <w:sz w:val="16"/>
                <w:szCs w:val="16"/>
              </w:rPr>
              <w:t>2007</w:t>
            </w:r>
          </w:p>
        </w:tc>
      </w:tr>
      <w:tr w:rsidR="00F32CCD" w:rsidRPr="00BA7C9E" w:rsidTr="00F32CCD">
        <w:trPr>
          <w:trHeight w:val="284"/>
        </w:trPr>
        <w:tc>
          <w:tcPr>
            <w:tcW w:w="2410" w:type="dxa"/>
            <w:tcBorders>
              <w:top w:val="single" w:sz="4" w:space="0" w:color="auto"/>
            </w:tcBorders>
            <w:vAlign w:val="bottom"/>
          </w:tcPr>
          <w:p w:rsidR="00F32CCD" w:rsidRPr="00BA7C9E" w:rsidRDefault="00F32CCD" w:rsidP="00F32CCD">
            <w:pPr>
              <w:spacing w:before="0" w:line="240" w:lineRule="auto"/>
              <w:jc w:val="left"/>
              <w:rPr>
                <w:b/>
                <w:sz w:val="16"/>
                <w:szCs w:val="16"/>
              </w:rPr>
            </w:pPr>
            <w:r w:rsidRPr="00BA7C9E">
              <w:rPr>
                <w:b/>
                <w:sz w:val="16"/>
                <w:szCs w:val="16"/>
              </w:rPr>
              <w:t>Låneram i Riksgäldskontoret</w:t>
            </w:r>
          </w:p>
        </w:tc>
        <w:tc>
          <w:tcPr>
            <w:tcW w:w="740" w:type="dxa"/>
            <w:tcBorders>
              <w:top w:val="single" w:sz="4" w:space="0" w:color="auto"/>
            </w:tcBorders>
            <w:vAlign w:val="bottom"/>
          </w:tcPr>
          <w:p w:rsidR="00F32CCD" w:rsidRPr="00BA7C9E" w:rsidRDefault="00F32CCD" w:rsidP="00F32CCD">
            <w:pPr>
              <w:spacing w:before="0" w:line="240" w:lineRule="auto"/>
              <w:jc w:val="right"/>
              <w:rPr>
                <w:sz w:val="16"/>
                <w:szCs w:val="16"/>
              </w:rPr>
            </w:pPr>
          </w:p>
        </w:tc>
        <w:tc>
          <w:tcPr>
            <w:tcW w:w="740" w:type="dxa"/>
            <w:tcBorders>
              <w:top w:val="single" w:sz="4" w:space="0" w:color="auto"/>
            </w:tcBorders>
            <w:vAlign w:val="bottom"/>
          </w:tcPr>
          <w:p w:rsidR="00F32CCD" w:rsidRPr="00BA7C9E" w:rsidRDefault="00F32CCD" w:rsidP="00F32CCD">
            <w:pPr>
              <w:spacing w:before="0" w:line="240" w:lineRule="auto"/>
              <w:jc w:val="right"/>
              <w:rPr>
                <w:sz w:val="16"/>
                <w:szCs w:val="16"/>
              </w:rPr>
            </w:pPr>
          </w:p>
        </w:tc>
        <w:tc>
          <w:tcPr>
            <w:tcW w:w="740" w:type="dxa"/>
            <w:tcBorders>
              <w:top w:val="single" w:sz="4" w:space="0" w:color="auto"/>
            </w:tcBorders>
            <w:vAlign w:val="bottom"/>
          </w:tcPr>
          <w:p w:rsidR="00F32CCD" w:rsidRPr="00BA7C9E" w:rsidRDefault="00F32CCD" w:rsidP="00F32CCD">
            <w:pPr>
              <w:spacing w:before="0" w:line="240" w:lineRule="auto"/>
              <w:jc w:val="right"/>
              <w:rPr>
                <w:sz w:val="16"/>
                <w:szCs w:val="16"/>
              </w:rPr>
            </w:pPr>
          </w:p>
        </w:tc>
        <w:tc>
          <w:tcPr>
            <w:tcW w:w="740" w:type="dxa"/>
            <w:tcBorders>
              <w:top w:val="single" w:sz="4" w:space="0" w:color="auto"/>
            </w:tcBorders>
            <w:vAlign w:val="bottom"/>
          </w:tcPr>
          <w:p w:rsidR="00F32CCD" w:rsidRPr="00BA7C9E" w:rsidRDefault="00F32CCD" w:rsidP="00F32CCD">
            <w:pPr>
              <w:spacing w:before="0" w:line="240" w:lineRule="auto"/>
              <w:jc w:val="right"/>
              <w:rPr>
                <w:sz w:val="16"/>
                <w:szCs w:val="16"/>
              </w:rPr>
            </w:pPr>
          </w:p>
        </w:tc>
        <w:tc>
          <w:tcPr>
            <w:tcW w:w="740" w:type="dxa"/>
            <w:tcBorders>
              <w:top w:val="single" w:sz="4" w:space="0" w:color="auto"/>
            </w:tcBorders>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Beviljad</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17 000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30 000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30 000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30 000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40 000</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Utnyttjad</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6 955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7 819</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6 490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7 512</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12 048</w:t>
            </w:r>
          </w:p>
        </w:tc>
      </w:tr>
      <w:tr w:rsidR="00F32CCD" w:rsidRPr="00BA7C9E" w:rsidTr="00F32CCD">
        <w:trPr>
          <w:trHeight w:val="382"/>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Kontokredit hos Riksgäldsko</w:t>
            </w:r>
            <w:r w:rsidRPr="00BA7C9E">
              <w:rPr>
                <w:b/>
                <w:sz w:val="16"/>
                <w:szCs w:val="16"/>
              </w:rPr>
              <w:t>n</w:t>
            </w:r>
            <w:r w:rsidRPr="00BA7C9E">
              <w:rPr>
                <w:b/>
                <w:sz w:val="16"/>
                <w:szCs w:val="16"/>
              </w:rPr>
              <w:t>toret</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 xml:space="preserve">Beviljad </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33 903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33 580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32 745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32 483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32 284</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 xml:space="preserve">Maximalt utnyttjad </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1 170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0</w:t>
            </w:r>
          </w:p>
        </w:tc>
      </w:tr>
      <w:tr w:rsidR="00F32CCD" w:rsidRPr="00BA7C9E" w:rsidTr="00F32CCD">
        <w:trPr>
          <w:trHeight w:val="284"/>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Räntekonto Riksgäldskontoret</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Ränteintäkter</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788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174</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233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605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1 081</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Räntekostnader</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softHyphen/>
              <w:t>–</w:t>
            </w: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Avgiftsintäkter</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i/>
                <w:sz w:val="16"/>
                <w:szCs w:val="16"/>
              </w:rPr>
            </w:pPr>
            <w:r w:rsidRPr="00BA7C9E">
              <w:rPr>
                <w:i/>
                <w:sz w:val="16"/>
                <w:szCs w:val="16"/>
              </w:rPr>
              <w:t>Avgiftsintäkter som disponeras</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84"/>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 xml:space="preserve">Beräknat belopp enligt </w:t>
            </w:r>
          </w:p>
          <w:p w:rsidR="00F32CCD" w:rsidRPr="00BA7C9E" w:rsidRDefault="00F32CCD" w:rsidP="00F32CCD">
            <w:pPr>
              <w:spacing w:before="0" w:line="240" w:lineRule="auto"/>
              <w:jc w:val="left"/>
              <w:rPr>
                <w:sz w:val="16"/>
                <w:szCs w:val="16"/>
              </w:rPr>
            </w:pPr>
            <w:r w:rsidRPr="00BA7C9E">
              <w:rPr>
                <w:sz w:val="16"/>
                <w:szCs w:val="16"/>
              </w:rPr>
              <w:t>anslags</w:t>
            </w:r>
            <w:r w:rsidRPr="00BA7C9E">
              <w:rPr>
                <w:sz w:val="16"/>
                <w:szCs w:val="16"/>
              </w:rPr>
              <w:softHyphen/>
              <w:t xml:space="preserve">direktiv*                                                                       </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500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Avgiftsintäkter**</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573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869</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815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430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2 519</w:t>
            </w: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i/>
                <w:sz w:val="16"/>
                <w:szCs w:val="16"/>
              </w:rPr>
            </w:pPr>
            <w:r w:rsidRPr="00BA7C9E">
              <w:rPr>
                <w:i/>
                <w:sz w:val="16"/>
                <w:szCs w:val="16"/>
              </w:rPr>
              <w:t>Avgiftsintäkter som ej disponeras</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Avgiftsintäkter***</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120 168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120 692</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119 673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135 458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132 215</w:t>
            </w:r>
          </w:p>
        </w:tc>
      </w:tr>
      <w:tr w:rsidR="00F32CCD" w:rsidRPr="00BA7C9E" w:rsidTr="00F32CCD">
        <w:trPr>
          <w:trHeight w:val="284"/>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Anslagskredit</w:t>
            </w: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 xml:space="preserve">Beviljad </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10 171</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10 074</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9 824</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9 745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9 676</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Utnyttjad</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w:t>
            </w:r>
          </w:p>
        </w:tc>
      </w:tr>
      <w:tr w:rsidR="00F32CCD" w:rsidRPr="00BA7C9E" w:rsidTr="00F32CCD">
        <w:trPr>
          <w:trHeight w:val="284"/>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Anslag</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i/>
                <w:sz w:val="16"/>
                <w:szCs w:val="16"/>
              </w:rPr>
            </w:pPr>
            <w:r w:rsidRPr="00BA7C9E">
              <w:rPr>
                <w:i/>
                <w:sz w:val="16"/>
                <w:szCs w:val="16"/>
              </w:rPr>
              <w:t>Ramanslag</w:t>
            </w:r>
          </w:p>
        </w:tc>
        <w:tc>
          <w:tcPr>
            <w:tcW w:w="740" w:type="dxa"/>
            <w:vAlign w:val="bottom"/>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Anslagssparande</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15 410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6 260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8 032</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14 606</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11 378</w:t>
            </w:r>
          </w:p>
        </w:tc>
      </w:tr>
      <w:tr w:rsidR="00F32CCD" w:rsidRPr="00BA7C9E" w:rsidTr="00F32CCD">
        <w:trPr>
          <w:trHeight w:val="281"/>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Bemyndiganden</w:t>
            </w: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tcPr>
          <w:p w:rsidR="00F32CCD" w:rsidRPr="00BA7C9E" w:rsidRDefault="00F32CCD" w:rsidP="00F32CCD">
            <w:pPr>
              <w:jc w:val="right"/>
              <w:rPr>
                <w:sz w:val="16"/>
                <w:szCs w:val="16"/>
              </w:rPr>
            </w:pPr>
          </w:p>
        </w:tc>
        <w:tc>
          <w:tcPr>
            <w:tcW w:w="740" w:type="dxa"/>
            <w:vAlign w:val="bottom"/>
          </w:tcPr>
          <w:p w:rsidR="00F32CCD" w:rsidRPr="00BA7C9E" w:rsidRDefault="00F32CCD" w:rsidP="00F32CCD">
            <w:pPr>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Tilldelade bemyndiganden</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28 000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26 000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30 000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28 000</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68 000</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Utestående åtaganden</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13 757</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23 097</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16 486</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23 552</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29 261</w:t>
            </w: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Personal</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lef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Antalet årsarbetskrafter (st.)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279</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287</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267</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274</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287</w:t>
            </w: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sz w:val="16"/>
                <w:szCs w:val="16"/>
              </w:rPr>
            </w:pPr>
            <w:r w:rsidRPr="00BA7C9E">
              <w:rPr>
                <w:sz w:val="16"/>
                <w:szCs w:val="16"/>
              </w:rPr>
              <w:t>Medelantalet anställda (st.)</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305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313</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295</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299</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316</w:t>
            </w: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Driftskostnad per årsarbetskraft</w:t>
            </w:r>
          </w:p>
        </w:tc>
        <w:tc>
          <w:tcPr>
            <w:tcW w:w="740" w:type="dxa"/>
            <w:vAlign w:val="bottom"/>
          </w:tcPr>
          <w:p w:rsidR="00F32CCD" w:rsidRPr="00BA7C9E" w:rsidRDefault="00F32CCD" w:rsidP="00F32CCD">
            <w:pPr>
              <w:spacing w:before="0" w:line="240" w:lineRule="auto"/>
              <w:jc w:val="right"/>
              <w:rPr>
                <w:b/>
                <w:sz w:val="16"/>
                <w:szCs w:val="16"/>
              </w:rPr>
            </w:pPr>
            <w:r w:rsidRPr="00BA7C9E">
              <w:rPr>
                <w:b/>
                <w:sz w:val="16"/>
                <w:szCs w:val="16"/>
              </w:rPr>
              <w:t>1 138</w:t>
            </w:r>
          </w:p>
        </w:tc>
        <w:tc>
          <w:tcPr>
            <w:tcW w:w="740" w:type="dxa"/>
            <w:vAlign w:val="bottom"/>
          </w:tcPr>
          <w:p w:rsidR="00F32CCD" w:rsidRPr="00BA7C9E" w:rsidRDefault="00F32CCD" w:rsidP="00F32CCD">
            <w:pPr>
              <w:spacing w:before="0" w:line="240" w:lineRule="auto"/>
              <w:jc w:val="right"/>
              <w:rPr>
                <w:b/>
                <w:sz w:val="16"/>
                <w:szCs w:val="16"/>
              </w:rPr>
            </w:pPr>
            <w:r w:rsidRPr="00BA7C9E">
              <w:rPr>
                <w:b/>
                <w:sz w:val="16"/>
                <w:szCs w:val="16"/>
              </w:rPr>
              <w:t>1 143</w:t>
            </w:r>
          </w:p>
        </w:tc>
        <w:tc>
          <w:tcPr>
            <w:tcW w:w="740" w:type="dxa"/>
            <w:vAlign w:val="bottom"/>
          </w:tcPr>
          <w:p w:rsidR="00F32CCD" w:rsidRPr="00BA7C9E" w:rsidRDefault="00F32CCD" w:rsidP="00F32CCD">
            <w:pPr>
              <w:spacing w:before="0" w:line="240" w:lineRule="auto"/>
              <w:jc w:val="right"/>
              <w:rPr>
                <w:b/>
                <w:sz w:val="16"/>
                <w:szCs w:val="16"/>
              </w:rPr>
            </w:pPr>
            <w:r w:rsidRPr="00BA7C9E">
              <w:rPr>
                <w:b/>
                <w:sz w:val="16"/>
                <w:szCs w:val="16"/>
              </w:rPr>
              <w:t>1 173</w:t>
            </w:r>
          </w:p>
        </w:tc>
        <w:tc>
          <w:tcPr>
            <w:tcW w:w="740" w:type="dxa"/>
            <w:vAlign w:val="bottom"/>
          </w:tcPr>
          <w:p w:rsidR="00F32CCD" w:rsidRPr="00BA7C9E" w:rsidRDefault="00F32CCD" w:rsidP="00F32CCD">
            <w:pPr>
              <w:spacing w:before="0" w:line="240" w:lineRule="auto"/>
              <w:jc w:val="right"/>
              <w:rPr>
                <w:b/>
                <w:sz w:val="16"/>
                <w:szCs w:val="16"/>
              </w:rPr>
            </w:pPr>
            <w:r w:rsidRPr="00BA7C9E">
              <w:rPr>
                <w:b/>
                <w:sz w:val="16"/>
                <w:szCs w:val="16"/>
              </w:rPr>
              <w:t>1 087</w:t>
            </w:r>
          </w:p>
        </w:tc>
        <w:tc>
          <w:tcPr>
            <w:tcW w:w="740" w:type="dxa"/>
            <w:vAlign w:val="bottom"/>
          </w:tcPr>
          <w:p w:rsidR="00F32CCD" w:rsidRPr="00BA7C9E" w:rsidRDefault="00F32CCD" w:rsidP="00F32CCD">
            <w:pPr>
              <w:spacing w:before="0" w:line="240" w:lineRule="auto"/>
              <w:jc w:val="right"/>
              <w:rPr>
                <w:b/>
                <w:sz w:val="16"/>
                <w:szCs w:val="16"/>
              </w:rPr>
            </w:pPr>
            <w:r w:rsidRPr="00BA7C9E">
              <w:rPr>
                <w:b/>
                <w:sz w:val="16"/>
                <w:szCs w:val="16"/>
              </w:rPr>
              <w:t>1 127</w:t>
            </w:r>
          </w:p>
        </w:tc>
      </w:tr>
      <w:tr w:rsidR="00F32CCD" w:rsidRPr="00BA7C9E" w:rsidTr="00F32CCD">
        <w:trPr>
          <w:trHeight w:val="255"/>
        </w:trPr>
        <w:tc>
          <w:tcPr>
            <w:tcW w:w="2410" w:type="dxa"/>
            <w:vAlign w:val="bottom"/>
          </w:tcPr>
          <w:p w:rsidR="00F32CCD" w:rsidRPr="00BA7C9E" w:rsidRDefault="00F32CCD" w:rsidP="00F32CCD">
            <w:pPr>
              <w:spacing w:before="0" w:line="240" w:lineRule="auto"/>
              <w:jc w:val="left"/>
              <w:rPr>
                <w:b/>
                <w:sz w:val="16"/>
                <w:szCs w:val="16"/>
              </w:rPr>
            </w:pPr>
            <w:r w:rsidRPr="00BA7C9E">
              <w:rPr>
                <w:b/>
                <w:sz w:val="16"/>
                <w:szCs w:val="16"/>
              </w:rPr>
              <w:t>Kapitalförändring</w:t>
            </w: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c>
          <w:tcPr>
            <w:tcW w:w="740" w:type="dxa"/>
            <w:vAlign w:val="bottom"/>
          </w:tcPr>
          <w:p w:rsidR="00F32CCD" w:rsidRPr="00BA7C9E" w:rsidRDefault="00F32CCD" w:rsidP="00F32CCD">
            <w:pPr>
              <w:spacing w:before="0" w:line="240" w:lineRule="auto"/>
              <w:jc w:val="right"/>
              <w:rPr>
                <w:sz w:val="16"/>
                <w:szCs w:val="16"/>
              </w:rPr>
            </w:pPr>
          </w:p>
        </w:tc>
      </w:tr>
      <w:tr w:rsidR="00F32CCD" w:rsidRPr="00BA7C9E" w:rsidTr="00F32CCD">
        <w:trPr>
          <w:trHeight w:val="227"/>
        </w:trPr>
        <w:tc>
          <w:tcPr>
            <w:tcW w:w="2410" w:type="dxa"/>
            <w:vAlign w:val="bottom"/>
          </w:tcPr>
          <w:p w:rsidR="00F32CCD" w:rsidRPr="00BA7C9E" w:rsidRDefault="00F32CCD" w:rsidP="00F32CCD">
            <w:pPr>
              <w:spacing w:before="0" w:line="240" w:lineRule="auto"/>
              <w:jc w:val="left"/>
              <w:rPr>
                <w:b/>
                <w:sz w:val="16"/>
                <w:szCs w:val="16"/>
              </w:rPr>
            </w:pPr>
            <w:r w:rsidRPr="00BA7C9E">
              <w:rPr>
                <w:sz w:val="16"/>
                <w:szCs w:val="16"/>
              </w:rPr>
              <w:t xml:space="preserve">Årets kapitalförändring </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7 368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–1 298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1 378</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17 957</w:t>
            </w:r>
          </w:p>
        </w:tc>
        <w:tc>
          <w:tcPr>
            <w:tcW w:w="740" w:type="dxa"/>
            <w:vAlign w:val="bottom"/>
          </w:tcPr>
          <w:p w:rsidR="00F32CCD" w:rsidRPr="00BA7C9E" w:rsidRDefault="00F32CCD" w:rsidP="00F32CCD">
            <w:pPr>
              <w:spacing w:before="0" w:line="240" w:lineRule="auto"/>
              <w:jc w:val="right"/>
              <w:rPr>
                <w:sz w:val="16"/>
                <w:szCs w:val="16"/>
              </w:rPr>
            </w:pPr>
            <w:r w:rsidRPr="00BA7C9E">
              <w:rPr>
                <w:sz w:val="16"/>
                <w:szCs w:val="16"/>
              </w:rPr>
              <w:t>–12 305</w:t>
            </w:r>
          </w:p>
        </w:tc>
      </w:tr>
      <w:tr w:rsidR="00F32CCD" w:rsidRPr="00BA7C9E" w:rsidTr="00F32CCD">
        <w:trPr>
          <w:trHeight w:val="227"/>
        </w:trPr>
        <w:tc>
          <w:tcPr>
            <w:tcW w:w="2410" w:type="dxa"/>
            <w:tcBorders>
              <w:bottom w:val="single" w:sz="4" w:space="0" w:color="auto"/>
            </w:tcBorders>
            <w:vAlign w:val="bottom"/>
          </w:tcPr>
          <w:p w:rsidR="00F32CCD" w:rsidRPr="00BA7C9E" w:rsidRDefault="00F32CCD" w:rsidP="00F32CCD">
            <w:pPr>
              <w:spacing w:before="0" w:line="240" w:lineRule="auto"/>
              <w:jc w:val="left"/>
              <w:rPr>
                <w:b/>
                <w:sz w:val="16"/>
                <w:szCs w:val="16"/>
              </w:rPr>
            </w:pPr>
            <w:r w:rsidRPr="00BA7C9E">
              <w:rPr>
                <w:sz w:val="16"/>
                <w:szCs w:val="16"/>
              </w:rPr>
              <w:t>Balanserad kapitalförändring</w:t>
            </w:r>
          </w:p>
        </w:tc>
        <w:tc>
          <w:tcPr>
            <w:tcW w:w="740" w:type="dxa"/>
            <w:tcBorders>
              <w:bottom w:val="single" w:sz="4" w:space="0" w:color="auto"/>
            </w:tcBorders>
            <w:vAlign w:val="bottom"/>
          </w:tcPr>
          <w:p w:rsidR="00F32CCD" w:rsidRPr="00BA7C9E" w:rsidRDefault="00F32CCD" w:rsidP="00F32CCD">
            <w:pPr>
              <w:spacing w:before="0" w:line="240" w:lineRule="auto"/>
              <w:jc w:val="right"/>
              <w:rPr>
                <w:sz w:val="16"/>
                <w:szCs w:val="16"/>
              </w:rPr>
            </w:pPr>
            <w:r w:rsidRPr="00BA7C9E">
              <w:rPr>
                <w:sz w:val="16"/>
                <w:szCs w:val="16"/>
              </w:rPr>
              <w:t>4 065</w:t>
            </w:r>
          </w:p>
        </w:tc>
        <w:tc>
          <w:tcPr>
            <w:tcW w:w="740" w:type="dxa"/>
            <w:tcBorders>
              <w:bottom w:val="single" w:sz="4" w:space="0" w:color="auto"/>
            </w:tcBorders>
            <w:vAlign w:val="bottom"/>
          </w:tcPr>
          <w:p w:rsidR="00F32CCD" w:rsidRPr="00BA7C9E" w:rsidRDefault="00F32CCD" w:rsidP="00F32CCD">
            <w:pPr>
              <w:spacing w:before="0" w:line="240" w:lineRule="auto"/>
              <w:jc w:val="right"/>
              <w:rPr>
                <w:sz w:val="16"/>
                <w:szCs w:val="16"/>
              </w:rPr>
            </w:pPr>
            <w:r w:rsidRPr="00BA7C9E">
              <w:rPr>
                <w:sz w:val="16"/>
                <w:szCs w:val="16"/>
              </w:rPr>
              <w:t>5 363</w:t>
            </w:r>
          </w:p>
        </w:tc>
        <w:tc>
          <w:tcPr>
            <w:tcW w:w="740" w:type="dxa"/>
            <w:tcBorders>
              <w:bottom w:val="single" w:sz="4" w:space="0" w:color="auto"/>
            </w:tcBorders>
            <w:vAlign w:val="bottom"/>
          </w:tcPr>
          <w:p w:rsidR="00F32CCD" w:rsidRPr="00BA7C9E" w:rsidRDefault="00F32CCD" w:rsidP="00F32CCD">
            <w:pPr>
              <w:spacing w:before="0" w:line="240" w:lineRule="auto"/>
              <w:jc w:val="right"/>
              <w:rPr>
                <w:sz w:val="16"/>
                <w:szCs w:val="16"/>
              </w:rPr>
            </w:pPr>
            <w:r w:rsidRPr="00BA7C9E">
              <w:rPr>
                <w:sz w:val="16"/>
                <w:szCs w:val="16"/>
              </w:rPr>
              <w:t>3 985</w:t>
            </w:r>
          </w:p>
        </w:tc>
        <w:tc>
          <w:tcPr>
            <w:tcW w:w="740" w:type="dxa"/>
            <w:tcBorders>
              <w:bottom w:val="single" w:sz="4" w:space="0" w:color="auto"/>
            </w:tcBorders>
            <w:vAlign w:val="bottom"/>
          </w:tcPr>
          <w:p w:rsidR="00F32CCD" w:rsidRPr="00BA7C9E" w:rsidRDefault="00F32CCD" w:rsidP="00F32CCD">
            <w:pPr>
              <w:spacing w:before="0" w:line="240" w:lineRule="auto"/>
              <w:jc w:val="right"/>
              <w:rPr>
                <w:sz w:val="16"/>
                <w:szCs w:val="16"/>
              </w:rPr>
            </w:pPr>
            <w:r w:rsidRPr="00BA7C9E">
              <w:rPr>
                <w:sz w:val="16"/>
                <w:szCs w:val="16"/>
              </w:rPr>
              <w:t>–39 131</w:t>
            </w:r>
          </w:p>
        </w:tc>
        <w:tc>
          <w:tcPr>
            <w:tcW w:w="740" w:type="dxa"/>
            <w:tcBorders>
              <w:bottom w:val="single" w:sz="4" w:space="0" w:color="auto"/>
            </w:tcBorders>
            <w:vAlign w:val="bottom"/>
          </w:tcPr>
          <w:p w:rsidR="00F32CCD" w:rsidRPr="00BA7C9E" w:rsidRDefault="00F32CCD" w:rsidP="00F32CCD">
            <w:pPr>
              <w:spacing w:before="0" w:line="240" w:lineRule="auto"/>
              <w:jc w:val="right"/>
              <w:rPr>
                <w:sz w:val="16"/>
                <w:szCs w:val="16"/>
              </w:rPr>
            </w:pPr>
            <w:r w:rsidRPr="00BA7C9E">
              <w:rPr>
                <w:sz w:val="16"/>
                <w:szCs w:val="16"/>
              </w:rPr>
              <w:t>–26 826</w:t>
            </w:r>
          </w:p>
        </w:tc>
      </w:tr>
    </w:tbl>
    <w:p w:rsidR="00F32CCD" w:rsidRPr="00BA7C9E" w:rsidRDefault="00F32CCD" w:rsidP="00F32CCD">
      <w:pPr>
        <w:spacing w:line="240" w:lineRule="auto"/>
        <w:rPr>
          <w:sz w:val="16"/>
        </w:rPr>
      </w:pPr>
      <w:r w:rsidRPr="00BA7C9E">
        <w:rPr>
          <w:sz w:val="16"/>
        </w:rPr>
        <w:t xml:space="preserve">* Avser beräknade avgiftsintäkter för uppdragsverksamheten. </w:t>
      </w:r>
    </w:p>
    <w:p w:rsidR="00F32CCD" w:rsidRPr="00BA7C9E" w:rsidRDefault="00F32CCD" w:rsidP="00B3223D">
      <w:pPr>
        <w:spacing w:before="0" w:line="240" w:lineRule="auto"/>
        <w:rPr>
          <w:sz w:val="16"/>
        </w:rPr>
      </w:pPr>
      <w:r w:rsidRPr="00BA7C9E">
        <w:rPr>
          <w:sz w:val="16"/>
        </w:rPr>
        <w:t>** Avgiftsintäkterna för uppdragsverksamheten 2011 uppgick till 59 tkr.</w:t>
      </w:r>
    </w:p>
    <w:p w:rsidR="00F32CCD" w:rsidRPr="00BA7C9E" w:rsidRDefault="00F32CCD" w:rsidP="00B3223D">
      <w:pPr>
        <w:spacing w:before="0" w:line="240" w:lineRule="auto"/>
        <w:rPr>
          <w:sz w:val="16"/>
        </w:rPr>
      </w:pPr>
      <w:r w:rsidRPr="00BA7C9E">
        <w:rPr>
          <w:sz w:val="16"/>
        </w:rPr>
        <w:t xml:space="preserve">*** I föregående års årsredovisning redovisades inkomster i stället för intäkter för 2010. Beloppet har korrigerats i denna årsredovisning. </w:t>
      </w:r>
    </w:p>
    <w:p w:rsidR="00F32CCD" w:rsidRPr="00BA7C9E" w:rsidRDefault="00F32CCD" w:rsidP="00F32CCD">
      <w:pPr>
        <w:spacing w:line="240" w:lineRule="auto"/>
        <w:rPr>
          <w:sz w:val="16"/>
        </w:rPr>
      </w:pPr>
    </w:p>
    <w:p w:rsidR="00284AED" w:rsidRPr="00BA7C9E" w:rsidRDefault="00284AED" w:rsidP="00284AED">
      <w:pPr>
        <w:pStyle w:val="Normaltindrag"/>
      </w:pPr>
    </w:p>
    <w:p w:rsidR="00284AED" w:rsidRPr="00BA7C9E" w:rsidRDefault="00284AED" w:rsidP="00284AED">
      <w:pPr>
        <w:pStyle w:val="Normaltindrag"/>
        <w:sectPr w:rsidR="00284AED" w:rsidRPr="00BA7C9E" w:rsidSect="00F32CCD">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rsidR="00F32CCD" w:rsidRPr="00BA7C9E" w:rsidRDefault="00F32CCD" w:rsidP="00050460">
      <w:pPr>
        <w:pStyle w:val="Rubrik1"/>
        <w:spacing w:after="0"/>
        <w:rPr>
          <w:noProof w:val="0"/>
        </w:rPr>
      </w:pPr>
      <w:bookmarkStart w:id="111" w:name="_Toc318101647"/>
      <w:r w:rsidRPr="00BA7C9E">
        <w:rPr>
          <w:noProof w:val="0"/>
        </w:rPr>
        <w:t>Finansiell redovisning</w:t>
      </w:r>
      <w:bookmarkEnd w:id="109"/>
      <w:bookmarkEnd w:id="110"/>
      <w:bookmarkEnd w:id="111"/>
    </w:p>
    <w:tbl>
      <w:tblPr>
        <w:tblpPr w:leftFromText="142" w:rightFromText="142" w:vertAnchor="text" w:horzAnchor="margin" w:tblpY="440"/>
        <w:tblW w:w="6521" w:type="dxa"/>
        <w:tblLayout w:type="fixed"/>
        <w:tblLook w:val="0000" w:firstRow="0" w:lastRow="0" w:firstColumn="0" w:lastColumn="0" w:noHBand="0" w:noVBand="0"/>
      </w:tblPr>
      <w:tblGrid>
        <w:gridCol w:w="3149"/>
        <w:gridCol w:w="548"/>
        <w:gridCol w:w="280"/>
        <w:gridCol w:w="1154"/>
        <w:gridCol w:w="236"/>
        <w:gridCol w:w="1154"/>
      </w:tblGrid>
      <w:tr w:rsidR="00E43D1F" w:rsidRPr="00BA7C9E" w:rsidTr="00E43D1F">
        <w:trPr>
          <w:trHeight w:val="755"/>
        </w:trPr>
        <w:tc>
          <w:tcPr>
            <w:tcW w:w="6521" w:type="dxa"/>
            <w:gridSpan w:val="6"/>
          </w:tcPr>
          <w:p w:rsidR="00E43D1F" w:rsidRPr="00BA7C9E" w:rsidRDefault="00E43D1F" w:rsidP="00E43D1F">
            <w:pPr>
              <w:pStyle w:val="Rubrik2"/>
              <w:spacing w:before="160"/>
              <w:rPr>
                <w:b/>
                <w:sz w:val="16"/>
                <w:szCs w:val="16"/>
                <w:lang w:eastAsia="en-US"/>
              </w:rPr>
            </w:pPr>
            <w:bookmarkStart w:id="112" w:name="_Toc254267609"/>
            <w:bookmarkStart w:id="113" w:name="_Toc285705859"/>
            <w:bookmarkStart w:id="114" w:name="_Toc318101648"/>
            <w:r w:rsidRPr="00BA7C9E">
              <w:rPr>
                <w:lang w:eastAsia="en-US"/>
              </w:rPr>
              <w:t>Resultaträkning</w:t>
            </w:r>
            <w:bookmarkEnd w:id="112"/>
            <w:bookmarkEnd w:id="113"/>
            <w:bookmarkEnd w:id="114"/>
          </w:p>
        </w:tc>
      </w:tr>
      <w:tr w:rsidR="00F32CCD" w:rsidRPr="00BA7C9E" w:rsidTr="00E43D1F">
        <w:trPr>
          <w:trHeight w:val="300"/>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 xml:space="preserve"> (tkr)</w:t>
            </w:r>
          </w:p>
        </w:tc>
        <w:tc>
          <w:tcPr>
            <w:tcW w:w="548" w:type="dxa"/>
            <w:vAlign w:val="bottom"/>
          </w:tcPr>
          <w:p w:rsidR="00F32CCD" w:rsidRPr="00BA7C9E" w:rsidRDefault="00F32CCD" w:rsidP="00F32CCD">
            <w:pPr>
              <w:spacing w:before="0" w:line="240" w:lineRule="auto"/>
              <w:jc w:val="center"/>
              <w:rPr>
                <w:b/>
                <w:sz w:val="16"/>
                <w:szCs w:val="16"/>
                <w:lang w:eastAsia="en-US"/>
              </w:rPr>
            </w:pPr>
            <w:r w:rsidRPr="00BA7C9E">
              <w:rPr>
                <w:b/>
                <w:sz w:val="16"/>
                <w:szCs w:val="16"/>
                <w:lang w:eastAsia="en-US"/>
              </w:rPr>
              <w:t>Not</w:t>
            </w:r>
          </w:p>
        </w:tc>
        <w:tc>
          <w:tcPr>
            <w:tcW w:w="280" w:type="dxa"/>
            <w:vAlign w:val="bottom"/>
          </w:tcPr>
          <w:p w:rsidR="00F32CCD" w:rsidRPr="00BA7C9E" w:rsidRDefault="00F32CCD" w:rsidP="00F32CCD">
            <w:pPr>
              <w:spacing w:before="0" w:line="240" w:lineRule="auto"/>
              <w:jc w:val="lef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2011</w:t>
            </w:r>
          </w:p>
        </w:tc>
        <w:tc>
          <w:tcPr>
            <w:tcW w:w="236"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2010</w:t>
            </w:r>
          </w:p>
        </w:tc>
      </w:tr>
      <w:tr w:rsidR="00F32CCD" w:rsidRPr="00BA7C9E" w:rsidTr="00E43D1F">
        <w:trPr>
          <w:trHeight w:val="537"/>
        </w:trPr>
        <w:tc>
          <w:tcPr>
            <w:tcW w:w="3149" w:type="dxa"/>
            <w:vAlign w:val="bottom"/>
          </w:tcPr>
          <w:p w:rsidR="00F32CCD" w:rsidRPr="00BA7C9E" w:rsidRDefault="00F32CCD" w:rsidP="00F32CCD">
            <w:pPr>
              <w:spacing w:before="0" w:line="240" w:lineRule="auto"/>
              <w:jc w:val="left"/>
              <w:rPr>
                <w:sz w:val="16"/>
                <w:szCs w:val="16"/>
                <w:lang w:eastAsia="en-US"/>
              </w:rPr>
            </w:pPr>
            <w:r w:rsidRPr="00BA7C9E">
              <w:rPr>
                <w:b/>
                <w:sz w:val="16"/>
                <w:szCs w:val="16"/>
                <w:lang w:eastAsia="en-US"/>
              </w:rPr>
              <w:t>Verksamhetens intäkter</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center"/>
          </w:tcPr>
          <w:p w:rsidR="00F32CCD" w:rsidRPr="00BA7C9E" w:rsidRDefault="00F32CCD" w:rsidP="00F32CCD">
            <w:pPr>
              <w:spacing w:before="0"/>
              <w:jc w:val="right"/>
              <w:rPr>
                <w:sz w:val="16"/>
                <w:szCs w:val="16"/>
              </w:rPr>
            </w:pPr>
          </w:p>
          <w:p w:rsidR="00F32CCD" w:rsidRPr="00BA7C9E" w:rsidRDefault="00F32CCD" w:rsidP="00F32CCD">
            <w:pPr>
              <w:spacing w:before="0"/>
              <w:jc w:val="right"/>
              <w:rPr>
                <w:sz w:val="16"/>
                <w:szCs w:val="16"/>
              </w:rPr>
            </w:pPr>
          </w:p>
        </w:tc>
        <w:tc>
          <w:tcPr>
            <w:tcW w:w="236" w:type="dxa"/>
          </w:tcPr>
          <w:p w:rsidR="00F32CCD" w:rsidRPr="00BA7C9E" w:rsidRDefault="00F32CCD" w:rsidP="00F32CCD">
            <w:pPr>
              <w:spacing w:before="0" w:line="240" w:lineRule="auto"/>
              <w:jc w:val="right"/>
              <w:rPr>
                <w:sz w:val="16"/>
                <w:szCs w:val="16"/>
              </w:rPr>
            </w:pPr>
          </w:p>
        </w:tc>
        <w:tc>
          <w:tcPr>
            <w:tcW w:w="1154" w:type="dxa"/>
            <w:vAlign w:val="center"/>
          </w:tcPr>
          <w:p w:rsidR="00F32CCD" w:rsidRPr="00BA7C9E" w:rsidRDefault="00F32CCD" w:rsidP="00F32CCD">
            <w:pPr>
              <w:spacing w:before="0"/>
              <w:jc w:val="right"/>
              <w:rPr>
                <w:sz w:val="16"/>
                <w:szCs w:val="16"/>
              </w:rPr>
            </w:pPr>
          </w:p>
          <w:p w:rsidR="00F32CCD" w:rsidRPr="00BA7C9E" w:rsidRDefault="00F32CCD" w:rsidP="00F32CCD">
            <w:pPr>
              <w:spacing w:before="0"/>
              <w:jc w:val="right"/>
              <w:rPr>
                <w:sz w:val="16"/>
                <w:szCs w:val="16"/>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Intäkter av anslag</w:t>
            </w:r>
          </w:p>
        </w:tc>
        <w:tc>
          <w:tcPr>
            <w:tcW w:w="548" w:type="dxa"/>
            <w:vAlign w:val="bottom"/>
          </w:tcPr>
          <w:p w:rsidR="00F32CCD" w:rsidRPr="00BA7C9E" w:rsidRDefault="00F32CCD" w:rsidP="00786C21">
            <w:pPr>
              <w:spacing w:before="0" w:line="240" w:lineRule="auto"/>
              <w:jc w:val="left"/>
              <w:rPr>
                <w:sz w:val="16"/>
                <w:szCs w:val="16"/>
                <w:lang w:eastAsia="en-US"/>
              </w:rPr>
            </w:pPr>
          </w:p>
        </w:tc>
        <w:tc>
          <w:tcPr>
            <w:tcW w:w="280" w:type="dxa"/>
            <w:vAlign w:val="bottom"/>
          </w:tcPr>
          <w:p w:rsidR="00F32CCD" w:rsidRPr="00BA7C9E" w:rsidRDefault="00F32CCD" w:rsidP="00786C21">
            <w:pPr>
              <w:spacing w:before="0" w:line="240" w:lineRule="auto"/>
              <w:jc w:val="left"/>
              <w:rPr>
                <w:sz w:val="16"/>
                <w:szCs w:val="16"/>
                <w:lang w:eastAsia="en-US"/>
              </w:rPr>
            </w:pPr>
          </w:p>
        </w:tc>
        <w:tc>
          <w:tcPr>
            <w:tcW w:w="1154" w:type="dxa"/>
            <w:vAlign w:val="center"/>
          </w:tcPr>
          <w:p w:rsidR="00F32CCD" w:rsidRPr="00BA7C9E" w:rsidRDefault="00F32CCD" w:rsidP="00786C21">
            <w:pPr>
              <w:spacing w:before="0" w:line="240" w:lineRule="auto"/>
              <w:jc w:val="left"/>
              <w:rPr>
                <w:sz w:val="16"/>
                <w:szCs w:val="16"/>
                <w:lang w:eastAsia="en-US"/>
              </w:rPr>
            </w:pPr>
          </w:p>
          <w:p w:rsidR="00F32CCD" w:rsidRPr="00BA7C9E" w:rsidRDefault="00F32CCD" w:rsidP="00786C21">
            <w:pPr>
              <w:spacing w:before="0" w:line="240" w:lineRule="auto"/>
              <w:jc w:val="right"/>
              <w:rPr>
                <w:sz w:val="16"/>
                <w:szCs w:val="16"/>
                <w:lang w:eastAsia="en-US"/>
              </w:rPr>
            </w:pPr>
            <w:r w:rsidRPr="00BA7C9E">
              <w:rPr>
                <w:sz w:val="16"/>
                <w:szCs w:val="16"/>
                <w:lang w:eastAsia="en-US"/>
              </w:rPr>
              <w:t>321 006</w:t>
            </w:r>
          </w:p>
        </w:tc>
        <w:tc>
          <w:tcPr>
            <w:tcW w:w="236" w:type="dxa"/>
          </w:tcPr>
          <w:p w:rsidR="00F32CCD" w:rsidRPr="00BA7C9E" w:rsidRDefault="00F32CCD" w:rsidP="00786C21">
            <w:pPr>
              <w:spacing w:before="0" w:line="240" w:lineRule="auto"/>
              <w:jc w:val="left"/>
              <w:rPr>
                <w:sz w:val="16"/>
                <w:szCs w:val="16"/>
                <w:lang w:eastAsia="en-US"/>
              </w:rPr>
            </w:pPr>
          </w:p>
        </w:tc>
        <w:tc>
          <w:tcPr>
            <w:tcW w:w="1154" w:type="dxa"/>
            <w:vAlign w:val="center"/>
          </w:tcPr>
          <w:p w:rsidR="00F32CCD" w:rsidRPr="00BA7C9E" w:rsidRDefault="00F32CCD" w:rsidP="00786C21">
            <w:pPr>
              <w:spacing w:before="0" w:line="240" w:lineRule="auto"/>
              <w:jc w:val="left"/>
              <w:rPr>
                <w:sz w:val="16"/>
                <w:szCs w:val="16"/>
                <w:lang w:eastAsia="en-US"/>
              </w:rPr>
            </w:pPr>
          </w:p>
          <w:p w:rsidR="00F32CCD" w:rsidRPr="00BA7C9E" w:rsidRDefault="00F32CCD" w:rsidP="00786C21">
            <w:pPr>
              <w:spacing w:before="0" w:line="240" w:lineRule="auto"/>
              <w:jc w:val="right"/>
              <w:rPr>
                <w:sz w:val="16"/>
                <w:szCs w:val="16"/>
                <w:lang w:eastAsia="en-US"/>
              </w:rPr>
            </w:pPr>
            <w:r w:rsidRPr="00BA7C9E">
              <w:rPr>
                <w:sz w:val="16"/>
                <w:szCs w:val="16"/>
                <w:lang w:eastAsia="en-US"/>
              </w:rPr>
              <w:t>329 527</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Intäkter av avgifter och andra ersättningar</w:t>
            </w:r>
          </w:p>
        </w:tc>
        <w:tc>
          <w:tcPr>
            <w:tcW w:w="548" w:type="dxa"/>
            <w:vAlign w:val="bottom"/>
          </w:tcPr>
          <w:p w:rsidR="00F32CCD" w:rsidRPr="00BA7C9E" w:rsidRDefault="00F32CCD" w:rsidP="00F32CCD">
            <w:pPr>
              <w:spacing w:before="0" w:line="240" w:lineRule="auto"/>
              <w:jc w:val="center"/>
              <w:rPr>
                <w:b/>
                <w:sz w:val="16"/>
                <w:szCs w:val="16"/>
                <w:lang w:eastAsia="en-US"/>
              </w:rPr>
            </w:pPr>
            <w:r w:rsidRPr="00BA7C9E">
              <w:rPr>
                <w:b/>
                <w:sz w:val="16"/>
                <w:szCs w:val="16"/>
                <w:lang w:eastAsia="en-US"/>
              </w:rPr>
              <w:t>1</w:t>
            </w: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573</w:t>
            </w:r>
          </w:p>
        </w:tc>
        <w:tc>
          <w:tcPr>
            <w:tcW w:w="236"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869</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 xml:space="preserve">Intäkter av bidrag   </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center"/>
          </w:tcPr>
          <w:p w:rsidR="00F32CCD" w:rsidRPr="00BA7C9E" w:rsidRDefault="00F32CCD" w:rsidP="00F32CCD">
            <w:pPr>
              <w:spacing w:before="0"/>
              <w:ind w:firstLine="227"/>
              <w:jc w:val="right"/>
              <w:rPr>
                <w:sz w:val="16"/>
                <w:szCs w:val="16"/>
                <w:lang w:eastAsia="en-US"/>
              </w:rPr>
            </w:pPr>
            <w:r w:rsidRPr="00BA7C9E">
              <w:rPr>
                <w:sz w:val="16"/>
                <w:szCs w:val="16"/>
                <w:lang w:eastAsia="en-US"/>
              </w:rPr>
              <w:t>619</w:t>
            </w:r>
          </w:p>
        </w:tc>
        <w:tc>
          <w:tcPr>
            <w:tcW w:w="236" w:type="dxa"/>
          </w:tcPr>
          <w:p w:rsidR="00F32CCD" w:rsidRPr="00BA7C9E" w:rsidRDefault="00F32CCD" w:rsidP="00F32CCD">
            <w:pPr>
              <w:spacing w:before="0"/>
              <w:ind w:firstLine="227"/>
              <w:jc w:val="right"/>
              <w:rPr>
                <w:sz w:val="16"/>
                <w:szCs w:val="16"/>
                <w:lang w:eastAsia="en-US"/>
              </w:rPr>
            </w:pPr>
          </w:p>
        </w:tc>
        <w:tc>
          <w:tcPr>
            <w:tcW w:w="1154" w:type="dxa"/>
            <w:vAlign w:val="center"/>
          </w:tcPr>
          <w:p w:rsidR="00F32CCD" w:rsidRPr="00BA7C9E" w:rsidRDefault="00F32CCD" w:rsidP="00F32CCD">
            <w:pPr>
              <w:spacing w:before="0"/>
              <w:ind w:firstLine="227"/>
              <w:jc w:val="right"/>
              <w:rPr>
                <w:sz w:val="16"/>
                <w:szCs w:val="16"/>
                <w:lang w:eastAsia="en-US"/>
              </w:rPr>
            </w:pPr>
            <w:r w:rsidRPr="00BA7C9E">
              <w:rPr>
                <w:sz w:val="16"/>
                <w:szCs w:val="16"/>
                <w:lang w:eastAsia="en-US"/>
              </w:rPr>
              <w:t>778</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Finansiella intäkter</w:t>
            </w:r>
          </w:p>
        </w:tc>
        <w:tc>
          <w:tcPr>
            <w:tcW w:w="548" w:type="dxa"/>
            <w:vAlign w:val="bottom"/>
          </w:tcPr>
          <w:p w:rsidR="00F32CCD" w:rsidRPr="00BA7C9E" w:rsidRDefault="00F32CCD" w:rsidP="00F32CCD">
            <w:pPr>
              <w:spacing w:before="0" w:line="240" w:lineRule="auto"/>
              <w:jc w:val="center"/>
              <w:rPr>
                <w:b/>
                <w:sz w:val="16"/>
                <w:szCs w:val="16"/>
                <w:lang w:eastAsia="en-US"/>
              </w:rPr>
            </w:pPr>
            <w:r w:rsidRPr="00BA7C9E">
              <w:rPr>
                <w:b/>
                <w:sz w:val="16"/>
                <w:szCs w:val="16"/>
                <w:lang w:eastAsia="en-US"/>
              </w:rPr>
              <w:t>2</w:t>
            </w: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896</w:t>
            </w: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366</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jc w:val="right"/>
              <w:rPr>
                <w:b/>
                <w:color w:val="000000"/>
                <w:sz w:val="16"/>
                <w:szCs w:val="16"/>
              </w:rPr>
            </w:pPr>
            <w:r w:rsidRPr="00BA7C9E">
              <w:rPr>
                <w:b/>
                <w:color w:val="000000"/>
                <w:sz w:val="16"/>
                <w:szCs w:val="16"/>
              </w:rPr>
              <w:t>323 093</w:t>
            </w:r>
          </w:p>
        </w:tc>
        <w:tc>
          <w:tcPr>
            <w:tcW w:w="236" w:type="dxa"/>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jc w:val="right"/>
              <w:rPr>
                <w:b/>
                <w:color w:val="000000"/>
                <w:sz w:val="16"/>
                <w:szCs w:val="16"/>
              </w:rPr>
            </w:pPr>
            <w:r w:rsidRPr="00BA7C9E">
              <w:rPr>
                <w:b/>
                <w:color w:val="000000"/>
                <w:sz w:val="16"/>
                <w:szCs w:val="16"/>
              </w:rPr>
              <w:t>331 540</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Verksamhetens kostnader</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300"/>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Kostnader för personal</w:t>
            </w:r>
          </w:p>
        </w:tc>
        <w:tc>
          <w:tcPr>
            <w:tcW w:w="548" w:type="dxa"/>
            <w:vAlign w:val="bottom"/>
          </w:tcPr>
          <w:p w:rsidR="00F32CCD" w:rsidRPr="00BA7C9E" w:rsidRDefault="00F32CCD" w:rsidP="00F32CCD">
            <w:pPr>
              <w:spacing w:before="0" w:line="240" w:lineRule="auto"/>
              <w:jc w:val="center"/>
              <w:rPr>
                <w:b/>
                <w:sz w:val="16"/>
                <w:szCs w:val="16"/>
                <w:lang w:eastAsia="en-US"/>
              </w:rPr>
            </w:pPr>
            <w:r w:rsidRPr="00BA7C9E">
              <w:rPr>
                <w:b/>
                <w:sz w:val="16"/>
                <w:szCs w:val="16"/>
                <w:lang w:eastAsia="en-US"/>
              </w:rPr>
              <w:t>3</w:t>
            </w: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ind w:firstLine="227"/>
              <w:jc w:val="right"/>
              <w:rPr>
                <w:sz w:val="16"/>
                <w:szCs w:val="16"/>
              </w:rPr>
            </w:pPr>
            <w:r w:rsidRPr="00BA7C9E">
              <w:rPr>
                <w:b/>
                <w:color w:val="000000"/>
                <w:sz w:val="16"/>
                <w:szCs w:val="16"/>
              </w:rPr>
              <w:t>–</w:t>
            </w:r>
            <w:r w:rsidRPr="00BA7C9E">
              <w:rPr>
                <w:sz w:val="16"/>
                <w:szCs w:val="16"/>
              </w:rPr>
              <w:t>239 868</w:t>
            </w:r>
          </w:p>
        </w:tc>
        <w:tc>
          <w:tcPr>
            <w:tcW w:w="236" w:type="dxa"/>
          </w:tcPr>
          <w:p w:rsidR="00F32CCD" w:rsidRPr="00BA7C9E" w:rsidRDefault="00F32CCD" w:rsidP="00F32CCD">
            <w:pPr>
              <w:spacing w:before="0"/>
              <w:ind w:firstLine="227"/>
              <w:jc w:val="right"/>
              <w:rPr>
                <w:color w:val="FF0000"/>
                <w:sz w:val="16"/>
                <w:szCs w:val="16"/>
              </w:rPr>
            </w:pPr>
          </w:p>
        </w:tc>
        <w:tc>
          <w:tcPr>
            <w:tcW w:w="1154" w:type="dxa"/>
            <w:vAlign w:val="bottom"/>
          </w:tcPr>
          <w:p w:rsidR="00F32CCD" w:rsidRPr="00BA7C9E" w:rsidRDefault="00F32CCD" w:rsidP="00F32CCD">
            <w:pPr>
              <w:spacing w:before="0"/>
              <w:ind w:firstLine="227"/>
              <w:jc w:val="right"/>
              <w:rPr>
                <w:sz w:val="16"/>
                <w:szCs w:val="16"/>
              </w:rPr>
            </w:pPr>
            <w:r w:rsidRPr="00BA7C9E">
              <w:rPr>
                <w:sz w:val="16"/>
                <w:szCs w:val="16"/>
              </w:rPr>
              <w:t>–244 487</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 xml:space="preserve">Kostnader för lokaler </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rPr>
            </w:pPr>
            <w:r w:rsidRPr="00BA7C9E">
              <w:rPr>
                <w:b/>
                <w:color w:val="000000"/>
                <w:sz w:val="16"/>
                <w:szCs w:val="16"/>
              </w:rPr>
              <w:t>–</w:t>
            </w:r>
            <w:r w:rsidRPr="00BA7C9E">
              <w:rPr>
                <w:sz w:val="16"/>
                <w:szCs w:val="16"/>
              </w:rPr>
              <w:t>27 422</w:t>
            </w:r>
          </w:p>
        </w:tc>
        <w:tc>
          <w:tcPr>
            <w:tcW w:w="236" w:type="dxa"/>
          </w:tcPr>
          <w:p w:rsidR="00F32CCD" w:rsidRPr="00BA7C9E" w:rsidRDefault="00F32CCD" w:rsidP="00F32CCD">
            <w:pPr>
              <w:spacing w:before="0" w:line="240" w:lineRule="auto"/>
              <w:jc w:val="right"/>
              <w:rPr>
                <w:color w:val="FF0000"/>
                <w:sz w:val="16"/>
                <w:szCs w:val="16"/>
              </w:rPr>
            </w:pPr>
          </w:p>
        </w:tc>
        <w:tc>
          <w:tcPr>
            <w:tcW w:w="1154" w:type="dxa"/>
            <w:vAlign w:val="bottom"/>
          </w:tcPr>
          <w:p w:rsidR="00F32CCD" w:rsidRPr="00BA7C9E" w:rsidRDefault="00F32CCD" w:rsidP="00F32CCD">
            <w:pPr>
              <w:spacing w:before="0" w:line="240" w:lineRule="auto"/>
              <w:jc w:val="right"/>
              <w:rPr>
                <w:sz w:val="16"/>
                <w:szCs w:val="16"/>
              </w:rPr>
            </w:pPr>
            <w:r w:rsidRPr="00BA7C9E">
              <w:rPr>
                <w:sz w:val="16"/>
                <w:szCs w:val="16"/>
              </w:rPr>
              <w:t>–27 781</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Övriga driftskostnader</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rPr>
            </w:pPr>
            <w:r w:rsidRPr="00BA7C9E">
              <w:rPr>
                <w:b/>
                <w:color w:val="000000"/>
                <w:sz w:val="16"/>
                <w:szCs w:val="16"/>
              </w:rPr>
              <w:t>–</w:t>
            </w:r>
            <w:r w:rsidRPr="00BA7C9E">
              <w:rPr>
                <w:sz w:val="16"/>
                <w:szCs w:val="16"/>
              </w:rPr>
              <w:t>50 586</w:t>
            </w:r>
          </w:p>
        </w:tc>
        <w:tc>
          <w:tcPr>
            <w:tcW w:w="236" w:type="dxa"/>
          </w:tcPr>
          <w:p w:rsidR="00F32CCD" w:rsidRPr="00BA7C9E" w:rsidRDefault="00F32CCD" w:rsidP="00F32CCD">
            <w:pPr>
              <w:spacing w:before="0" w:line="240" w:lineRule="auto"/>
              <w:jc w:val="right"/>
              <w:rPr>
                <w:color w:val="FF0000"/>
                <w:sz w:val="16"/>
                <w:szCs w:val="16"/>
              </w:rPr>
            </w:pPr>
          </w:p>
        </w:tc>
        <w:tc>
          <w:tcPr>
            <w:tcW w:w="1154" w:type="dxa"/>
            <w:vAlign w:val="bottom"/>
          </w:tcPr>
          <w:p w:rsidR="00F32CCD" w:rsidRPr="00BA7C9E" w:rsidRDefault="00F32CCD" w:rsidP="00F32CCD">
            <w:pPr>
              <w:spacing w:before="0" w:line="240" w:lineRule="auto"/>
              <w:jc w:val="right"/>
              <w:rPr>
                <w:sz w:val="16"/>
                <w:szCs w:val="16"/>
              </w:rPr>
            </w:pPr>
            <w:r w:rsidRPr="00BA7C9E">
              <w:rPr>
                <w:sz w:val="16"/>
                <w:szCs w:val="16"/>
              </w:rPr>
              <w:t>–56 206</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Finansiella kostnader</w:t>
            </w:r>
          </w:p>
        </w:tc>
        <w:tc>
          <w:tcPr>
            <w:tcW w:w="548" w:type="dxa"/>
            <w:vAlign w:val="bottom"/>
          </w:tcPr>
          <w:p w:rsidR="00F32CCD" w:rsidRPr="00BA7C9E" w:rsidRDefault="00F32CCD" w:rsidP="00F32CCD">
            <w:pPr>
              <w:spacing w:before="0" w:line="240" w:lineRule="auto"/>
              <w:jc w:val="center"/>
              <w:rPr>
                <w:b/>
                <w:sz w:val="16"/>
                <w:szCs w:val="16"/>
                <w:lang w:eastAsia="en-US"/>
              </w:rPr>
            </w:pPr>
            <w:r w:rsidRPr="00BA7C9E">
              <w:rPr>
                <w:b/>
                <w:sz w:val="16"/>
                <w:szCs w:val="16"/>
                <w:lang w:eastAsia="en-US"/>
              </w:rPr>
              <w:t>4</w:t>
            </w: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rPr>
            </w:pPr>
            <w:r w:rsidRPr="00BA7C9E">
              <w:rPr>
                <w:b/>
                <w:color w:val="000000"/>
                <w:sz w:val="16"/>
                <w:szCs w:val="16"/>
              </w:rPr>
              <w:t>–</w:t>
            </w:r>
            <w:r w:rsidRPr="00BA7C9E">
              <w:rPr>
                <w:sz w:val="16"/>
                <w:szCs w:val="16"/>
              </w:rPr>
              <w:t>280</w:t>
            </w:r>
          </w:p>
        </w:tc>
        <w:tc>
          <w:tcPr>
            <w:tcW w:w="236" w:type="dxa"/>
          </w:tcPr>
          <w:p w:rsidR="00F32CCD" w:rsidRPr="00BA7C9E" w:rsidRDefault="00F32CCD" w:rsidP="00F32CCD">
            <w:pPr>
              <w:spacing w:before="0" w:line="240" w:lineRule="auto"/>
              <w:jc w:val="right"/>
              <w:rPr>
                <w:sz w:val="16"/>
                <w:szCs w:val="16"/>
              </w:rPr>
            </w:pPr>
          </w:p>
        </w:tc>
        <w:tc>
          <w:tcPr>
            <w:tcW w:w="1154" w:type="dxa"/>
            <w:vAlign w:val="bottom"/>
          </w:tcPr>
          <w:p w:rsidR="00F32CCD" w:rsidRPr="00BA7C9E" w:rsidRDefault="00F32CCD" w:rsidP="00F32CCD">
            <w:pPr>
              <w:spacing w:before="0" w:line="240" w:lineRule="auto"/>
              <w:jc w:val="right"/>
              <w:rPr>
                <w:sz w:val="16"/>
                <w:szCs w:val="16"/>
              </w:rPr>
            </w:pPr>
            <w:r w:rsidRPr="00BA7C9E">
              <w:rPr>
                <w:sz w:val="16"/>
                <w:szCs w:val="16"/>
              </w:rPr>
              <w:t>–400</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Avskrivningar och nedskrivningar</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rPr>
            </w:pPr>
            <w:r w:rsidRPr="00BA7C9E">
              <w:rPr>
                <w:b/>
                <w:color w:val="000000"/>
                <w:sz w:val="16"/>
                <w:szCs w:val="16"/>
              </w:rPr>
              <w:t>–</w:t>
            </w:r>
            <w:r w:rsidRPr="00BA7C9E">
              <w:rPr>
                <w:sz w:val="16"/>
                <w:szCs w:val="16"/>
              </w:rPr>
              <w:t>5 045</w:t>
            </w:r>
          </w:p>
        </w:tc>
        <w:tc>
          <w:tcPr>
            <w:tcW w:w="236" w:type="dxa"/>
          </w:tcPr>
          <w:p w:rsidR="00F32CCD" w:rsidRPr="00BA7C9E" w:rsidRDefault="00F32CCD" w:rsidP="00F32CCD">
            <w:pPr>
              <w:spacing w:before="0" w:line="240" w:lineRule="auto"/>
              <w:jc w:val="right"/>
              <w:rPr>
                <w:sz w:val="16"/>
                <w:szCs w:val="16"/>
              </w:rPr>
            </w:pPr>
          </w:p>
        </w:tc>
        <w:tc>
          <w:tcPr>
            <w:tcW w:w="1154" w:type="dxa"/>
            <w:vAlign w:val="bottom"/>
          </w:tcPr>
          <w:p w:rsidR="00F32CCD" w:rsidRPr="00BA7C9E" w:rsidRDefault="00F32CCD" w:rsidP="00F32CCD">
            <w:pPr>
              <w:spacing w:before="0" w:line="240" w:lineRule="auto"/>
              <w:jc w:val="right"/>
              <w:rPr>
                <w:sz w:val="16"/>
                <w:szCs w:val="16"/>
              </w:rPr>
            </w:pPr>
            <w:r w:rsidRPr="00BA7C9E">
              <w:rPr>
                <w:sz w:val="16"/>
                <w:szCs w:val="16"/>
              </w:rPr>
              <w:t>–2 671</w:t>
            </w:r>
          </w:p>
        </w:tc>
      </w:tr>
      <w:tr w:rsidR="00F32CCD" w:rsidRPr="00BA7C9E" w:rsidTr="00E43D1F">
        <w:trPr>
          <w:trHeight w:val="257"/>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jc w:val="right"/>
              <w:rPr>
                <w:b/>
                <w:color w:val="000000"/>
                <w:sz w:val="16"/>
                <w:szCs w:val="16"/>
              </w:rPr>
            </w:pPr>
            <w:r w:rsidRPr="00BA7C9E">
              <w:rPr>
                <w:b/>
                <w:color w:val="000000"/>
                <w:sz w:val="16"/>
                <w:szCs w:val="16"/>
              </w:rPr>
              <w:t>–323 201</w:t>
            </w:r>
          </w:p>
        </w:tc>
        <w:tc>
          <w:tcPr>
            <w:tcW w:w="236" w:type="dxa"/>
          </w:tcPr>
          <w:p w:rsidR="00F32CCD" w:rsidRPr="00BA7C9E" w:rsidRDefault="00F32CCD" w:rsidP="00F32CCD">
            <w:pPr>
              <w:spacing w:before="0" w:line="240" w:lineRule="auto"/>
              <w:jc w:val="right"/>
              <w:rPr>
                <w:b/>
                <w:sz w:val="16"/>
                <w:szCs w:val="16"/>
              </w:rPr>
            </w:pPr>
          </w:p>
        </w:tc>
        <w:tc>
          <w:tcPr>
            <w:tcW w:w="1154" w:type="dxa"/>
            <w:vAlign w:val="bottom"/>
          </w:tcPr>
          <w:p w:rsidR="00F32CCD" w:rsidRPr="00BA7C9E" w:rsidRDefault="00F32CCD" w:rsidP="00F32CCD">
            <w:pPr>
              <w:jc w:val="right"/>
              <w:rPr>
                <w:b/>
                <w:color w:val="000000"/>
                <w:sz w:val="16"/>
                <w:szCs w:val="16"/>
              </w:rPr>
            </w:pPr>
            <w:r w:rsidRPr="00BA7C9E">
              <w:rPr>
                <w:b/>
                <w:color w:val="000000"/>
                <w:sz w:val="16"/>
                <w:szCs w:val="16"/>
              </w:rPr>
              <w:t>–331 545</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rPr>
            </w:pPr>
          </w:p>
        </w:tc>
        <w:tc>
          <w:tcPr>
            <w:tcW w:w="236" w:type="dxa"/>
          </w:tcPr>
          <w:p w:rsidR="00F32CCD" w:rsidRPr="00BA7C9E" w:rsidRDefault="00F32CCD" w:rsidP="00F32CCD">
            <w:pPr>
              <w:spacing w:before="0" w:line="240" w:lineRule="auto"/>
              <w:jc w:val="right"/>
              <w:rPr>
                <w:sz w:val="16"/>
                <w:szCs w:val="16"/>
              </w:rPr>
            </w:pPr>
          </w:p>
        </w:tc>
        <w:tc>
          <w:tcPr>
            <w:tcW w:w="1154" w:type="dxa"/>
            <w:vAlign w:val="bottom"/>
          </w:tcPr>
          <w:p w:rsidR="00F32CCD" w:rsidRPr="00BA7C9E" w:rsidRDefault="00F32CCD" w:rsidP="00F32CCD">
            <w:pPr>
              <w:spacing w:before="0" w:line="240" w:lineRule="auto"/>
              <w:jc w:val="right"/>
              <w:rPr>
                <w:sz w:val="16"/>
                <w:szCs w:val="16"/>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Verksamhetsutfall</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–108</w:t>
            </w:r>
          </w:p>
        </w:tc>
        <w:tc>
          <w:tcPr>
            <w:tcW w:w="236" w:type="dxa"/>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w:t>
            </w:r>
            <w:r w:rsidRPr="00BA7C9E">
              <w:rPr>
                <w:b/>
                <w:sz w:val="16"/>
                <w:szCs w:val="16"/>
                <w:lang w:eastAsia="en-US"/>
              </w:rPr>
              <w:t>5</w:t>
            </w:r>
          </w:p>
        </w:tc>
      </w:tr>
      <w:tr w:rsidR="00F32CCD" w:rsidRPr="00BA7C9E" w:rsidTr="00E43D1F">
        <w:trPr>
          <w:trHeight w:val="300"/>
        </w:trPr>
        <w:tc>
          <w:tcPr>
            <w:tcW w:w="3149" w:type="dxa"/>
            <w:vAlign w:val="bottom"/>
          </w:tcPr>
          <w:p w:rsidR="00F32CCD" w:rsidRPr="00BA7C9E" w:rsidRDefault="00F32CCD" w:rsidP="00F32CCD">
            <w:pPr>
              <w:spacing w:before="0" w:line="240" w:lineRule="auto"/>
              <w:jc w:val="left"/>
              <w:rPr>
                <w:sz w:val="16"/>
                <w:szCs w:val="16"/>
                <w:lang w:eastAsia="en-US"/>
              </w:rPr>
            </w:pP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Uppbördsverksamhet</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Intäkter av avgifter m.m. samt andra intäkter som inte disponeras av myndigheten</w:t>
            </w:r>
          </w:p>
        </w:tc>
        <w:tc>
          <w:tcPr>
            <w:tcW w:w="548"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5</w:t>
            </w: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ind w:firstLine="227"/>
              <w:jc w:val="right"/>
              <w:rPr>
                <w:sz w:val="16"/>
                <w:szCs w:val="16"/>
              </w:rPr>
            </w:pPr>
            <w:r w:rsidRPr="00BA7C9E">
              <w:rPr>
                <w:sz w:val="16"/>
                <w:szCs w:val="16"/>
              </w:rPr>
              <w:t>120 168</w:t>
            </w:r>
          </w:p>
        </w:tc>
        <w:tc>
          <w:tcPr>
            <w:tcW w:w="236" w:type="dxa"/>
          </w:tcPr>
          <w:p w:rsidR="00F32CCD" w:rsidRPr="00BA7C9E" w:rsidRDefault="00F32CCD" w:rsidP="00F32CCD">
            <w:pPr>
              <w:spacing w:before="0"/>
              <w:ind w:firstLine="227"/>
              <w:jc w:val="right"/>
              <w:rPr>
                <w:sz w:val="16"/>
                <w:szCs w:val="16"/>
              </w:rPr>
            </w:pPr>
          </w:p>
        </w:tc>
        <w:tc>
          <w:tcPr>
            <w:tcW w:w="1154" w:type="dxa"/>
            <w:vAlign w:val="bottom"/>
          </w:tcPr>
          <w:p w:rsidR="00F32CCD" w:rsidRPr="00BA7C9E" w:rsidRDefault="00F32CCD" w:rsidP="00F32CCD">
            <w:pPr>
              <w:spacing w:before="0"/>
              <w:ind w:firstLine="227"/>
              <w:jc w:val="right"/>
              <w:rPr>
                <w:sz w:val="16"/>
                <w:szCs w:val="16"/>
              </w:rPr>
            </w:pPr>
            <w:r w:rsidRPr="00BA7C9E">
              <w:rPr>
                <w:sz w:val="16"/>
                <w:szCs w:val="16"/>
              </w:rPr>
              <w:t>120 692</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bookmarkStart w:id="115" w:name="OLE_LINK4"/>
            <w:bookmarkStart w:id="116" w:name="OLE_LINK5"/>
            <w:r w:rsidRPr="00BA7C9E">
              <w:rPr>
                <w:sz w:val="16"/>
                <w:szCs w:val="16"/>
                <w:lang w:eastAsia="en-US"/>
              </w:rPr>
              <w:t>Medel som tillförts statens budget från uppbördsverksamhet</w:t>
            </w:r>
            <w:bookmarkEnd w:id="115"/>
            <w:bookmarkEnd w:id="116"/>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ind w:firstLine="227"/>
              <w:jc w:val="right"/>
              <w:rPr>
                <w:sz w:val="16"/>
                <w:szCs w:val="16"/>
              </w:rPr>
            </w:pPr>
            <w:r w:rsidRPr="00BA7C9E">
              <w:rPr>
                <w:b/>
                <w:color w:val="000000"/>
                <w:sz w:val="16"/>
                <w:szCs w:val="16"/>
              </w:rPr>
              <w:t>–</w:t>
            </w:r>
            <w:r w:rsidRPr="00BA7C9E">
              <w:rPr>
                <w:sz w:val="16"/>
                <w:szCs w:val="16"/>
              </w:rPr>
              <w:t>112 692</w:t>
            </w:r>
          </w:p>
        </w:tc>
        <w:tc>
          <w:tcPr>
            <w:tcW w:w="236" w:type="dxa"/>
          </w:tcPr>
          <w:p w:rsidR="00F32CCD" w:rsidRPr="00BA7C9E" w:rsidRDefault="00F32CCD" w:rsidP="00F32CCD">
            <w:pPr>
              <w:spacing w:before="0"/>
              <w:ind w:firstLine="227"/>
              <w:jc w:val="right"/>
              <w:rPr>
                <w:sz w:val="16"/>
                <w:szCs w:val="16"/>
              </w:rPr>
            </w:pPr>
          </w:p>
        </w:tc>
        <w:tc>
          <w:tcPr>
            <w:tcW w:w="1154" w:type="dxa"/>
            <w:vAlign w:val="bottom"/>
          </w:tcPr>
          <w:p w:rsidR="00F32CCD" w:rsidRPr="00BA7C9E" w:rsidRDefault="00F32CCD" w:rsidP="00F32CCD">
            <w:pPr>
              <w:spacing w:before="0"/>
              <w:ind w:firstLine="227"/>
              <w:jc w:val="right"/>
              <w:rPr>
                <w:sz w:val="16"/>
                <w:szCs w:val="16"/>
              </w:rPr>
            </w:pPr>
            <w:r w:rsidRPr="00BA7C9E">
              <w:rPr>
                <w:b/>
                <w:color w:val="000000"/>
                <w:sz w:val="16"/>
                <w:szCs w:val="16"/>
              </w:rPr>
              <w:t>–</w:t>
            </w:r>
            <w:r w:rsidRPr="00BA7C9E">
              <w:rPr>
                <w:sz w:val="16"/>
                <w:szCs w:val="16"/>
              </w:rPr>
              <w:t>121 984</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Saldo</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7 476</w:t>
            </w:r>
          </w:p>
        </w:tc>
        <w:tc>
          <w:tcPr>
            <w:tcW w:w="236" w:type="dxa"/>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w:t>
            </w:r>
            <w:r w:rsidRPr="00BA7C9E">
              <w:rPr>
                <w:b/>
                <w:sz w:val="16"/>
                <w:szCs w:val="16"/>
                <w:lang w:eastAsia="en-US"/>
              </w:rPr>
              <w:t>1 293</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b/>
                <w:sz w:val="16"/>
                <w:szCs w:val="16"/>
                <w:lang w:eastAsia="en-US"/>
              </w:rPr>
              <w:t>Transfereringar</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Medel som erhållits från statens budget för finansiering av bidrag</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3 928</w:t>
            </w: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3 165</w:t>
            </w: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Lämnade bidrag</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–3 928</w:t>
            </w: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r w:rsidRPr="00BA7C9E">
              <w:rPr>
                <w:sz w:val="16"/>
                <w:szCs w:val="16"/>
                <w:lang w:eastAsia="en-US"/>
              </w:rPr>
              <w:t>–3 165</w:t>
            </w:r>
          </w:p>
        </w:tc>
      </w:tr>
      <w:tr w:rsidR="00F32CCD" w:rsidRPr="00BA7C9E" w:rsidTr="00E43D1F">
        <w:trPr>
          <w:trHeight w:val="300"/>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Saldo</w:t>
            </w: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ind w:firstLine="227"/>
              <w:jc w:val="right"/>
              <w:rPr>
                <w:b/>
                <w:sz w:val="16"/>
                <w:szCs w:val="16"/>
              </w:rPr>
            </w:pPr>
            <w:r w:rsidRPr="00BA7C9E">
              <w:rPr>
                <w:b/>
                <w:sz w:val="16"/>
                <w:szCs w:val="16"/>
              </w:rPr>
              <w:t>0</w:t>
            </w:r>
          </w:p>
        </w:tc>
        <w:tc>
          <w:tcPr>
            <w:tcW w:w="236" w:type="dxa"/>
          </w:tcPr>
          <w:p w:rsidR="00F32CCD" w:rsidRPr="00BA7C9E" w:rsidRDefault="00F32CCD" w:rsidP="00F32CCD">
            <w:pPr>
              <w:spacing w:before="0"/>
              <w:ind w:firstLine="227"/>
              <w:jc w:val="right"/>
              <w:rPr>
                <w:sz w:val="16"/>
                <w:szCs w:val="16"/>
              </w:rPr>
            </w:pPr>
          </w:p>
        </w:tc>
        <w:tc>
          <w:tcPr>
            <w:tcW w:w="1154" w:type="dxa"/>
            <w:vAlign w:val="bottom"/>
          </w:tcPr>
          <w:p w:rsidR="00F32CCD" w:rsidRPr="00BA7C9E" w:rsidRDefault="00F32CCD" w:rsidP="00F32CCD">
            <w:pPr>
              <w:spacing w:before="0"/>
              <w:ind w:firstLine="227"/>
              <w:jc w:val="right"/>
              <w:rPr>
                <w:b/>
                <w:sz w:val="16"/>
                <w:szCs w:val="16"/>
              </w:rPr>
            </w:pPr>
            <w:r w:rsidRPr="00BA7C9E">
              <w:rPr>
                <w:b/>
                <w:sz w:val="16"/>
                <w:szCs w:val="16"/>
              </w:rPr>
              <w:t>0</w:t>
            </w:r>
          </w:p>
        </w:tc>
      </w:tr>
      <w:tr w:rsidR="00F32CCD" w:rsidRPr="00BA7C9E" w:rsidTr="00E43D1F">
        <w:trPr>
          <w:trHeight w:val="365"/>
        </w:trPr>
        <w:tc>
          <w:tcPr>
            <w:tcW w:w="3149" w:type="dxa"/>
            <w:vAlign w:val="bottom"/>
          </w:tcPr>
          <w:p w:rsidR="00F32CCD" w:rsidRPr="00BA7C9E" w:rsidRDefault="00F32CCD" w:rsidP="00F32CCD">
            <w:pPr>
              <w:spacing w:before="0" w:line="240" w:lineRule="auto"/>
              <w:jc w:val="left"/>
              <w:rPr>
                <w:sz w:val="16"/>
                <w:szCs w:val="16"/>
                <w:lang w:eastAsia="en-US"/>
              </w:rPr>
            </w:pPr>
          </w:p>
        </w:tc>
        <w:tc>
          <w:tcPr>
            <w:tcW w:w="548" w:type="dxa"/>
            <w:vAlign w:val="bottom"/>
          </w:tcPr>
          <w:p w:rsidR="00F32CCD" w:rsidRPr="00BA7C9E" w:rsidRDefault="00F32CCD" w:rsidP="00F32CCD">
            <w:pPr>
              <w:spacing w:before="0" w:line="240" w:lineRule="auto"/>
              <w:jc w:val="center"/>
              <w:rPr>
                <w:b/>
                <w:sz w:val="16"/>
                <w:szCs w:val="16"/>
                <w:lang w:eastAsia="en-US"/>
              </w:rPr>
            </w:pPr>
          </w:p>
        </w:tc>
        <w:tc>
          <w:tcPr>
            <w:tcW w:w="280" w:type="dxa"/>
            <w:vAlign w:val="bottom"/>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c>
          <w:tcPr>
            <w:tcW w:w="236" w:type="dxa"/>
          </w:tcPr>
          <w:p w:rsidR="00F32CCD" w:rsidRPr="00BA7C9E" w:rsidRDefault="00F32CCD" w:rsidP="00F32CCD">
            <w:pPr>
              <w:spacing w:before="0" w:line="240" w:lineRule="auto"/>
              <w:jc w:val="right"/>
              <w:rPr>
                <w:sz w:val="16"/>
                <w:szCs w:val="16"/>
                <w:lang w:eastAsia="en-US"/>
              </w:rPr>
            </w:pPr>
          </w:p>
        </w:tc>
        <w:tc>
          <w:tcPr>
            <w:tcW w:w="1154"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E43D1F">
        <w:trPr>
          <w:trHeight w:val="255"/>
        </w:trPr>
        <w:tc>
          <w:tcPr>
            <w:tcW w:w="3149"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Årets kapitalförändring</w:t>
            </w:r>
          </w:p>
        </w:tc>
        <w:tc>
          <w:tcPr>
            <w:tcW w:w="548"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6</w:t>
            </w:r>
          </w:p>
        </w:tc>
        <w:tc>
          <w:tcPr>
            <w:tcW w:w="280" w:type="dxa"/>
            <w:vAlign w:val="bottom"/>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7 368</w:t>
            </w:r>
          </w:p>
        </w:tc>
        <w:tc>
          <w:tcPr>
            <w:tcW w:w="236" w:type="dxa"/>
          </w:tcPr>
          <w:p w:rsidR="00F32CCD" w:rsidRPr="00BA7C9E" w:rsidRDefault="00F32CCD" w:rsidP="00F32CCD">
            <w:pPr>
              <w:spacing w:before="0" w:line="240" w:lineRule="auto"/>
              <w:jc w:val="right"/>
              <w:rPr>
                <w:b/>
                <w:sz w:val="16"/>
                <w:szCs w:val="16"/>
                <w:lang w:eastAsia="en-US"/>
              </w:rPr>
            </w:pPr>
          </w:p>
        </w:tc>
        <w:tc>
          <w:tcPr>
            <w:tcW w:w="1154" w:type="dxa"/>
            <w:vAlign w:val="bottom"/>
          </w:tcPr>
          <w:p w:rsidR="00F32CCD" w:rsidRPr="00BA7C9E" w:rsidRDefault="00F32CCD" w:rsidP="00F32CCD">
            <w:pPr>
              <w:spacing w:before="0" w:line="240" w:lineRule="auto"/>
              <w:jc w:val="right"/>
              <w:rPr>
                <w:b/>
                <w:sz w:val="16"/>
                <w:szCs w:val="16"/>
                <w:lang w:eastAsia="en-US"/>
              </w:rPr>
            </w:pPr>
            <w:r w:rsidRPr="00BA7C9E">
              <w:rPr>
                <w:b/>
                <w:color w:val="000000"/>
                <w:sz w:val="16"/>
                <w:szCs w:val="16"/>
              </w:rPr>
              <w:t>–</w:t>
            </w:r>
            <w:r w:rsidRPr="00BA7C9E">
              <w:rPr>
                <w:b/>
                <w:sz w:val="16"/>
                <w:szCs w:val="16"/>
                <w:lang w:eastAsia="en-US"/>
              </w:rPr>
              <w:t>1 298</w:t>
            </w:r>
          </w:p>
        </w:tc>
      </w:tr>
    </w:tbl>
    <w:tbl>
      <w:tblPr>
        <w:tblW w:w="6117" w:type="dxa"/>
        <w:tblInd w:w="108" w:type="dxa"/>
        <w:tblLayout w:type="fixed"/>
        <w:tblLook w:val="0000" w:firstRow="0" w:lastRow="0" w:firstColumn="0" w:lastColumn="0" w:noHBand="0" w:noVBand="0"/>
      </w:tblPr>
      <w:tblGrid>
        <w:gridCol w:w="3175"/>
        <w:gridCol w:w="493"/>
        <w:gridCol w:w="236"/>
        <w:gridCol w:w="872"/>
        <w:gridCol w:w="469"/>
        <w:gridCol w:w="872"/>
      </w:tblGrid>
      <w:tr w:rsidR="00050460" w:rsidRPr="00BA7C9E" w:rsidTr="00050460">
        <w:trPr>
          <w:gridAfter w:val="1"/>
          <w:wAfter w:w="872" w:type="dxa"/>
          <w:trHeight w:val="300"/>
        </w:trPr>
        <w:tc>
          <w:tcPr>
            <w:tcW w:w="3175" w:type="dxa"/>
            <w:vAlign w:val="bottom"/>
          </w:tcPr>
          <w:p w:rsidR="00050460" w:rsidRPr="00BA7C9E" w:rsidRDefault="00050460" w:rsidP="005E47D4">
            <w:pPr>
              <w:pStyle w:val="Rubrik2"/>
            </w:pPr>
          </w:p>
        </w:tc>
        <w:tc>
          <w:tcPr>
            <w:tcW w:w="493" w:type="dxa"/>
            <w:vAlign w:val="bottom"/>
          </w:tcPr>
          <w:p w:rsidR="00050460" w:rsidRPr="00BA7C9E" w:rsidRDefault="00050460" w:rsidP="00F32CCD">
            <w:pPr>
              <w:spacing w:before="0" w:line="240" w:lineRule="auto"/>
              <w:jc w:val="center"/>
              <w:rPr>
                <w:b/>
                <w:spacing w:val="-2"/>
                <w:sz w:val="16"/>
                <w:szCs w:val="16"/>
                <w:lang w:eastAsia="en-US"/>
              </w:rPr>
            </w:pPr>
          </w:p>
        </w:tc>
        <w:tc>
          <w:tcPr>
            <w:tcW w:w="236" w:type="dxa"/>
          </w:tcPr>
          <w:p w:rsidR="00050460" w:rsidRPr="00BA7C9E" w:rsidRDefault="00050460" w:rsidP="00F32CCD">
            <w:pPr>
              <w:spacing w:before="0" w:line="240" w:lineRule="auto"/>
              <w:jc w:val="right"/>
              <w:rPr>
                <w:b/>
                <w:sz w:val="16"/>
                <w:szCs w:val="16"/>
                <w:lang w:eastAsia="en-US"/>
              </w:rPr>
            </w:pPr>
          </w:p>
        </w:tc>
        <w:tc>
          <w:tcPr>
            <w:tcW w:w="872" w:type="dxa"/>
            <w:vAlign w:val="bottom"/>
          </w:tcPr>
          <w:p w:rsidR="00050460" w:rsidRPr="00BA7C9E" w:rsidRDefault="00050460" w:rsidP="00F32CCD">
            <w:pPr>
              <w:spacing w:before="0" w:line="240" w:lineRule="auto"/>
              <w:ind w:left="-113" w:right="-57"/>
              <w:jc w:val="right"/>
              <w:rPr>
                <w:b/>
                <w:spacing w:val="-4"/>
                <w:sz w:val="16"/>
                <w:szCs w:val="16"/>
                <w:lang w:eastAsia="en-US"/>
              </w:rPr>
            </w:pPr>
          </w:p>
        </w:tc>
        <w:tc>
          <w:tcPr>
            <w:tcW w:w="469" w:type="dxa"/>
          </w:tcPr>
          <w:p w:rsidR="00050460" w:rsidRPr="00BA7C9E" w:rsidRDefault="00050460" w:rsidP="00F32CCD">
            <w:pPr>
              <w:spacing w:before="0" w:line="240" w:lineRule="auto"/>
              <w:ind w:left="-190" w:firstLine="190"/>
              <w:jc w:val="right"/>
              <w:rPr>
                <w:b/>
                <w:sz w:val="16"/>
                <w:szCs w:val="16"/>
                <w:lang w:eastAsia="en-US"/>
              </w:rPr>
            </w:pPr>
          </w:p>
        </w:tc>
      </w:tr>
      <w:tr w:rsidR="00F32CCD" w:rsidRPr="00BA7C9E" w:rsidTr="00050460">
        <w:trPr>
          <w:gridAfter w:val="1"/>
          <w:wAfter w:w="872" w:type="dxa"/>
          <w:trHeight w:val="300"/>
        </w:trPr>
        <w:tc>
          <w:tcPr>
            <w:tcW w:w="3175" w:type="dxa"/>
            <w:vAlign w:val="bottom"/>
          </w:tcPr>
          <w:p w:rsidR="00F32CCD" w:rsidRPr="00BA7C9E" w:rsidRDefault="00F32CCD" w:rsidP="00050460">
            <w:pPr>
              <w:pStyle w:val="Rubrik2"/>
              <w:spacing w:before="120"/>
            </w:pPr>
            <w:bookmarkStart w:id="117" w:name="_Toc285705860"/>
            <w:bookmarkStart w:id="118" w:name="_Toc254267611"/>
            <w:bookmarkStart w:id="119" w:name="_Toc311187653"/>
            <w:bookmarkStart w:id="120" w:name="_Toc315253462"/>
            <w:bookmarkStart w:id="121" w:name="_Toc318101649"/>
            <w:r w:rsidRPr="00BA7C9E">
              <w:t>Balansräkning</w:t>
            </w:r>
            <w:bookmarkEnd w:id="117"/>
            <w:bookmarkEnd w:id="121"/>
          </w:p>
          <w:p w:rsidR="00F32CCD" w:rsidRPr="00BA7C9E" w:rsidRDefault="00F32CCD" w:rsidP="00F32CCD">
            <w:pPr>
              <w:spacing w:before="0" w:line="240" w:lineRule="auto"/>
              <w:jc w:val="left"/>
              <w:rPr>
                <w:b/>
                <w:sz w:val="16"/>
                <w:szCs w:val="16"/>
                <w:lang w:eastAsia="en-US"/>
              </w:rPr>
            </w:pPr>
          </w:p>
        </w:tc>
        <w:tc>
          <w:tcPr>
            <w:tcW w:w="493" w:type="dxa"/>
            <w:vAlign w:val="bottom"/>
          </w:tcPr>
          <w:p w:rsidR="00F32CCD" w:rsidRPr="00BA7C9E" w:rsidRDefault="00F32CCD" w:rsidP="00F32CCD">
            <w:pPr>
              <w:spacing w:before="0" w:line="240" w:lineRule="auto"/>
              <w:jc w:val="center"/>
              <w:rPr>
                <w:b/>
                <w:spacing w:val="-2"/>
                <w:sz w:val="16"/>
                <w:szCs w:val="16"/>
                <w:lang w:eastAsia="en-US"/>
              </w:rPr>
            </w:pPr>
          </w:p>
        </w:tc>
        <w:tc>
          <w:tcPr>
            <w:tcW w:w="236" w:type="dxa"/>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ind w:left="-113" w:right="-57"/>
              <w:jc w:val="right"/>
              <w:rPr>
                <w:b/>
                <w:spacing w:val="-4"/>
                <w:sz w:val="16"/>
                <w:szCs w:val="16"/>
                <w:lang w:eastAsia="en-US"/>
              </w:rPr>
            </w:pPr>
          </w:p>
        </w:tc>
        <w:tc>
          <w:tcPr>
            <w:tcW w:w="469" w:type="dxa"/>
          </w:tcPr>
          <w:p w:rsidR="00F32CCD" w:rsidRPr="00BA7C9E" w:rsidRDefault="00F32CCD" w:rsidP="00F32CCD">
            <w:pPr>
              <w:spacing w:before="0" w:line="240" w:lineRule="auto"/>
              <w:ind w:left="-190" w:firstLine="190"/>
              <w:jc w:val="right"/>
              <w:rPr>
                <w:b/>
                <w:sz w:val="16"/>
                <w:szCs w:val="16"/>
                <w:lang w:eastAsia="en-US"/>
              </w:rPr>
            </w:pPr>
          </w:p>
        </w:tc>
      </w:tr>
      <w:tr w:rsidR="00F32CCD" w:rsidRPr="00BA7C9E" w:rsidTr="00050460">
        <w:trPr>
          <w:trHeight w:val="300"/>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(tkr)</w:t>
            </w:r>
          </w:p>
        </w:tc>
        <w:tc>
          <w:tcPr>
            <w:tcW w:w="493" w:type="dxa"/>
            <w:vAlign w:val="bottom"/>
          </w:tcPr>
          <w:p w:rsidR="00F32CCD" w:rsidRPr="00BA7C9E" w:rsidRDefault="00F32CCD" w:rsidP="00F32CCD">
            <w:pPr>
              <w:spacing w:before="0" w:line="240" w:lineRule="auto"/>
              <w:jc w:val="center"/>
              <w:rPr>
                <w:b/>
                <w:spacing w:val="-2"/>
                <w:sz w:val="16"/>
                <w:szCs w:val="16"/>
                <w:lang w:eastAsia="en-US"/>
              </w:rPr>
            </w:pPr>
            <w:r w:rsidRPr="00BA7C9E">
              <w:rPr>
                <w:b/>
                <w:spacing w:val="-2"/>
                <w:sz w:val="16"/>
                <w:szCs w:val="16"/>
                <w:lang w:eastAsia="en-US"/>
              </w:rPr>
              <w:t>Not</w:t>
            </w:r>
          </w:p>
        </w:tc>
        <w:tc>
          <w:tcPr>
            <w:tcW w:w="236" w:type="dxa"/>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ind w:left="-113" w:right="-57"/>
              <w:jc w:val="right"/>
              <w:rPr>
                <w:b/>
                <w:spacing w:val="-4"/>
                <w:sz w:val="16"/>
                <w:szCs w:val="16"/>
                <w:lang w:eastAsia="en-US"/>
              </w:rPr>
            </w:pPr>
            <w:r w:rsidRPr="00BA7C9E">
              <w:rPr>
                <w:b/>
                <w:spacing w:val="-4"/>
                <w:sz w:val="16"/>
                <w:szCs w:val="16"/>
                <w:lang w:eastAsia="en-US"/>
              </w:rPr>
              <w:t>2011-12-31</w:t>
            </w:r>
          </w:p>
        </w:tc>
        <w:tc>
          <w:tcPr>
            <w:tcW w:w="469" w:type="dxa"/>
          </w:tcPr>
          <w:p w:rsidR="00F32CCD" w:rsidRPr="00BA7C9E" w:rsidRDefault="00F32CCD" w:rsidP="00F32CCD">
            <w:pPr>
              <w:spacing w:before="0" w:line="240" w:lineRule="auto"/>
              <w:ind w:left="-190" w:firstLine="190"/>
              <w:jc w:val="right"/>
              <w:rPr>
                <w:b/>
                <w:sz w:val="16"/>
                <w:szCs w:val="16"/>
                <w:lang w:eastAsia="en-US"/>
              </w:rPr>
            </w:pPr>
          </w:p>
        </w:tc>
        <w:tc>
          <w:tcPr>
            <w:tcW w:w="872" w:type="dxa"/>
            <w:vAlign w:val="bottom"/>
          </w:tcPr>
          <w:p w:rsidR="00F32CCD" w:rsidRPr="00BA7C9E" w:rsidRDefault="00F32CCD" w:rsidP="00F32CCD">
            <w:pPr>
              <w:spacing w:before="0" w:line="240" w:lineRule="auto"/>
              <w:ind w:left="-113" w:right="-57"/>
              <w:jc w:val="right"/>
              <w:rPr>
                <w:b/>
                <w:spacing w:val="-4"/>
                <w:sz w:val="16"/>
                <w:szCs w:val="16"/>
                <w:lang w:eastAsia="en-US"/>
              </w:rPr>
            </w:pPr>
            <w:r w:rsidRPr="00BA7C9E">
              <w:rPr>
                <w:b/>
                <w:spacing w:val="-4"/>
                <w:sz w:val="16"/>
                <w:szCs w:val="16"/>
                <w:lang w:eastAsia="en-US"/>
              </w:rPr>
              <w:t>2010-12-31</w:t>
            </w:r>
          </w:p>
        </w:tc>
      </w:tr>
      <w:tr w:rsidR="00786C21" w:rsidRPr="00BA7C9E" w:rsidTr="00050460">
        <w:trPr>
          <w:trHeight w:val="300"/>
        </w:trPr>
        <w:tc>
          <w:tcPr>
            <w:tcW w:w="3175" w:type="dxa"/>
            <w:vAlign w:val="bottom"/>
          </w:tcPr>
          <w:p w:rsidR="00786C21" w:rsidRPr="00BA7C9E" w:rsidRDefault="00786C21" w:rsidP="00F32CCD">
            <w:pPr>
              <w:spacing w:before="0" w:line="240" w:lineRule="auto"/>
              <w:jc w:val="left"/>
              <w:rPr>
                <w:b/>
                <w:sz w:val="16"/>
                <w:szCs w:val="16"/>
                <w:lang w:eastAsia="en-US"/>
              </w:rPr>
            </w:pPr>
          </w:p>
        </w:tc>
        <w:tc>
          <w:tcPr>
            <w:tcW w:w="493" w:type="dxa"/>
            <w:vAlign w:val="bottom"/>
          </w:tcPr>
          <w:p w:rsidR="00786C21" w:rsidRPr="00BA7C9E" w:rsidRDefault="00786C21" w:rsidP="00F32CCD">
            <w:pPr>
              <w:spacing w:before="0" w:line="240" w:lineRule="auto"/>
              <w:jc w:val="center"/>
              <w:rPr>
                <w:b/>
                <w:sz w:val="16"/>
                <w:szCs w:val="16"/>
                <w:lang w:eastAsia="en-US"/>
              </w:rPr>
            </w:pPr>
          </w:p>
        </w:tc>
        <w:tc>
          <w:tcPr>
            <w:tcW w:w="236" w:type="dxa"/>
            <w:vAlign w:val="bottom"/>
          </w:tcPr>
          <w:p w:rsidR="00786C21" w:rsidRPr="00BA7C9E" w:rsidRDefault="00786C21" w:rsidP="00F32CCD">
            <w:pPr>
              <w:spacing w:before="0" w:line="240" w:lineRule="auto"/>
              <w:jc w:val="left"/>
              <w:rPr>
                <w:sz w:val="16"/>
                <w:szCs w:val="16"/>
                <w:lang w:eastAsia="en-US"/>
              </w:rPr>
            </w:pPr>
          </w:p>
        </w:tc>
        <w:tc>
          <w:tcPr>
            <w:tcW w:w="872" w:type="dxa"/>
            <w:vAlign w:val="bottom"/>
          </w:tcPr>
          <w:p w:rsidR="00786C21" w:rsidRPr="00BA7C9E" w:rsidRDefault="00786C21" w:rsidP="00F32CCD">
            <w:pPr>
              <w:spacing w:before="0" w:line="240" w:lineRule="auto"/>
              <w:jc w:val="left"/>
              <w:rPr>
                <w:sz w:val="16"/>
                <w:szCs w:val="16"/>
                <w:lang w:eastAsia="en-US"/>
              </w:rPr>
            </w:pPr>
          </w:p>
        </w:tc>
        <w:tc>
          <w:tcPr>
            <w:tcW w:w="469" w:type="dxa"/>
            <w:vAlign w:val="bottom"/>
          </w:tcPr>
          <w:p w:rsidR="00786C21" w:rsidRPr="00BA7C9E" w:rsidRDefault="00786C21" w:rsidP="00F32CCD">
            <w:pPr>
              <w:spacing w:before="0" w:line="240" w:lineRule="auto"/>
              <w:jc w:val="left"/>
              <w:rPr>
                <w:sz w:val="16"/>
                <w:szCs w:val="16"/>
                <w:lang w:eastAsia="en-US"/>
              </w:rPr>
            </w:pPr>
          </w:p>
        </w:tc>
        <w:tc>
          <w:tcPr>
            <w:tcW w:w="872" w:type="dxa"/>
            <w:vAlign w:val="bottom"/>
          </w:tcPr>
          <w:p w:rsidR="00786C21" w:rsidRPr="00BA7C9E" w:rsidRDefault="00786C21" w:rsidP="00F32CCD">
            <w:pPr>
              <w:spacing w:before="0" w:line="240" w:lineRule="auto"/>
              <w:jc w:val="left"/>
              <w:rPr>
                <w:sz w:val="16"/>
                <w:szCs w:val="16"/>
                <w:lang w:eastAsia="en-US"/>
              </w:rPr>
            </w:pPr>
          </w:p>
        </w:tc>
      </w:tr>
      <w:tr w:rsidR="00F32CCD" w:rsidRPr="00BA7C9E" w:rsidTr="00050460">
        <w:trPr>
          <w:trHeight w:val="300"/>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TILLGÅNGAR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left"/>
              <w:rPr>
                <w:sz w:val="16"/>
                <w:szCs w:val="16"/>
                <w:lang w:eastAsia="en-US"/>
              </w:rPr>
            </w:pPr>
          </w:p>
        </w:tc>
        <w:tc>
          <w:tcPr>
            <w:tcW w:w="872" w:type="dxa"/>
            <w:vAlign w:val="bottom"/>
          </w:tcPr>
          <w:p w:rsidR="00F32CCD" w:rsidRPr="00BA7C9E" w:rsidRDefault="00F32CCD" w:rsidP="00F32CCD">
            <w:pPr>
              <w:spacing w:before="0" w:line="240" w:lineRule="auto"/>
              <w:jc w:val="left"/>
              <w:rPr>
                <w:sz w:val="16"/>
                <w:szCs w:val="16"/>
                <w:lang w:eastAsia="en-US"/>
              </w:rPr>
            </w:pPr>
          </w:p>
        </w:tc>
        <w:tc>
          <w:tcPr>
            <w:tcW w:w="469" w:type="dxa"/>
            <w:vAlign w:val="bottom"/>
          </w:tcPr>
          <w:p w:rsidR="00F32CCD" w:rsidRPr="00BA7C9E" w:rsidRDefault="00F32CCD" w:rsidP="00F32CCD">
            <w:pPr>
              <w:spacing w:before="0" w:line="240" w:lineRule="auto"/>
              <w:jc w:val="left"/>
              <w:rPr>
                <w:sz w:val="16"/>
                <w:szCs w:val="16"/>
                <w:lang w:eastAsia="en-US"/>
              </w:rPr>
            </w:pPr>
          </w:p>
        </w:tc>
        <w:tc>
          <w:tcPr>
            <w:tcW w:w="872" w:type="dxa"/>
            <w:vAlign w:val="bottom"/>
          </w:tcPr>
          <w:p w:rsidR="00F32CCD" w:rsidRPr="00BA7C9E" w:rsidRDefault="00F32CCD" w:rsidP="00F32CCD">
            <w:pPr>
              <w:spacing w:before="0" w:line="240" w:lineRule="auto"/>
              <w:jc w:val="lef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Immateriella anläggningstillgångar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left"/>
              <w:rPr>
                <w:sz w:val="16"/>
                <w:szCs w:val="16"/>
                <w:lang w:eastAsia="en-US"/>
              </w:rPr>
            </w:pPr>
          </w:p>
        </w:tc>
        <w:tc>
          <w:tcPr>
            <w:tcW w:w="872" w:type="dxa"/>
            <w:vAlign w:val="bottom"/>
          </w:tcPr>
          <w:p w:rsidR="00F32CCD" w:rsidRPr="00BA7C9E" w:rsidRDefault="00F32CCD" w:rsidP="00F32CCD">
            <w:pPr>
              <w:spacing w:before="0" w:line="240" w:lineRule="auto"/>
              <w:jc w:val="left"/>
              <w:rPr>
                <w:sz w:val="16"/>
                <w:szCs w:val="16"/>
                <w:lang w:eastAsia="en-US"/>
              </w:rPr>
            </w:pPr>
          </w:p>
        </w:tc>
        <w:tc>
          <w:tcPr>
            <w:tcW w:w="469" w:type="dxa"/>
            <w:vAlign w:val="bottom"/>
          </w:tcPr>
          <w:p w:rsidR="00F32CCD" w:rsidRPr="00BA7C9E" w:rsidRDefault="00F32CCD" w:rsidP="00F32CCD">
            <w:pPr>
              <w:spacing w:before="0" w:line="240" w:lineRule="auto"/>
              <w:jc w:val="left"/>
              <w:rPr>
                <w:sz w:val="16"/>
                <w:szCs w:val="16"/>
                <w:lang w:eastAsia="en-US"/>
              </w:rPr>
            </w:pPr>
          </w:p>
        </w:tc>
        <w:tc>
          <w:tcPr>
            <w:tcW w:w="872" w:type="dxa"/>
            <w:vAlign w:val="bottom"/>
          </w:tcPr>
          <w:p w:rsidR="00F32CCD" w:rsidRPr="00BA7C9E" w:rsidRDefault="00F32CCD" w:rsidP="00F32CCD">
            <w:pPr>
              <w:spacing w:before="0" w:line="240" w:lineRule="auto"/>
              <w:jc w:val="lef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 xml:space="preserve">Balanserade utgifter för utveckling </w:t>
            </w:r>
          </w:p>
        </w:tc>
        <w:tc>
          <w:tcPr>
            <w:tcW w:w="493"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7</w:t>
            </w: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0</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2 935</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Rättigheter och andra immateriella anläg</w:t>
            </w:r>
            <w:r w:rsidRPr="00BA7C9E">
              <w:rPr>
                <w:sz w:val="16"/>
                <w:szCs w:val="16"/>
                <w:lang w:eastAsia="en-US"/>
              </w:rPr>
              <w:t>g</w:t>
            </w:r>
            <w:r w:rsidRPr="00BA7C9E">
              <w:rPr>
                <w:sz w:val="16"/>
                <w:szCs w:val="16"/>
                <w:lang w:eastAsia="en-US"/>
              </w:rPr>
              <w:t>ningstillgångar</w:t>
            </w:r>
          </w:p>
        </w:tc>
        <w:tc>
          <w:tcPr>
            <w:tcW w:w="493"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8</w:t>
            </w: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180</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286</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180</w:t>
            </w:r>
          </w:p>
        </w:tc>
        <w:tc>
          <w:tcPr>
            <w:tcW w:w="469"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3 221</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Materiella anläggningstillgångar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Förbättringsutgifter på annans fastighet</w:t>
            </w:r>
          </w:p>
        </w:tc>
        <w:tc>
          <w:tcPr>
            <w:tcW w:w="493"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9</w:t>
            </w: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449</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642</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Maskiner, inventarier, installationer m.m.</w:t>
            </w:r>
          </w:p>
        </w:tc>
        <w:tc>
          <w:tcPr>
            <w:tcW w:w="493"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10</w:t>
            </w: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4 163</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4 374</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4 612</w:t>
            </w:r>
          </w:p>
        </w:tc>
        <w:tc>
          <w:tcPr>
            <w:tcW w:w="469"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5 015</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center"/>
          </w:tcPr>
          <w:p w:rsidR="00F32CCD" w:rsidRPr="00BA7C9E" w:rsidRDefault="00F32CCD" w:rsidP="00F32CCD">
            <w:pPr>
              <w:spacing w:before="0" w:line="240" w:lineRule="auto"/>
              <w:jc w:val="right"/>
              <w:rPr>
                <w:sz w:val="16"/>
                <w:szCs w:val="16"/>
                <w:lang w:eastAsia="en-US"/>
              </w:rPr>
            </w:pPr>
          </w:p>
        </w:tc>
        <w:tc>
          <w:tcPr>
            <w:tcW w:w="872" w:type="dxa"/>
            <w:vAlign w:val="center"/>
          </w:tcPr>
          <w:p w:rsidR="00F32CCD" w:rsidRPr="00BA7C9E" w:rsidRDefault="00F32CCD" w:rsidP="00F32CCD">
            <w:pPr>
              <w:spacing w:before="0" w:line="240" w:lineRule="auto"/>
              <w:jc w:val="right"/>
              <w:rPr>
                <w:sz w:val="16"/>
                <w:szCs w:val="16"/>
                <w:lang w:eastAsia="en-US"/>
              </w:rPr>
            </w:pPr>
          </w:p>
        </w:tc>
        <w:tc>
          <w:tcPr>
            <w:tcW w:w="469" w:type="dxa"/>
            <w:vAlign w:val="center"/>
          </w:tcPr>
          <w:p w:rsidR="00F32CCD" w:rsidRPr="00BA7C9E" w:rsidRDefault="00F32CCD" w:rsidP="00F32CCD">
            <w:pPr>
              <w:spacing w:before="0" w:line="240" w:lineRule="auto"/>
              <w:jc w:val="right"/>
              <w:rPr>
                <w:sz w:val="16"/>
                <w:szCs w:val="16"/>
                <w:lang w:eastAsia="en-US"/>
              </w:rPr>
            </w:pPr>
          </w:p>
        </w:tc>
        <w:tc>
          <w:tcPr>
            <w:tcW w:w="872" w:type="dxa"/>
            <w:vAlign w:val="center"/>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Fordringar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Kundfordringar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46</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3</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Fordringar hos andra myndigheter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17 205</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25 238</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Övriga fordringar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345</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681</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spacing w:before="0" w:line="240" w:lineRule="auto"/>
              <w:jc w:val="right"/>
              <w:rPr>
                <w:b/>
                <w:sz w:val="16"/>
                <w:szCs w:val="16"/>
              </w:rPr>
            </w:pPr>
            <w:r w:rsidRPr="00BA7C9E">
              <w:rPr>
                <w:b/>
                <w:sz w:val="16"/>
                <w:szCs w:val="16"/>
              </w:rPr>
              <w:t>17 596</w:t>
            </w:r>
          </w:p>
        </w:tc>
        <w:tc>
          <w:tcPr>
            <w:tcW w:w="469"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spacing w:before="0" w:line="240" w:lineRule="auto"/>
              <w:jc w:val="right"/>
              <w:rPr>
                <w:b/>
                <w:sz w:val="16"/>
                <w:szCs w:val="16"/>
              </w:rPr>
            </w:pPr>
            <w:r w:rsidRPr="00BA7C9E">
              <w:rPr>
                <w:b/>
                <w:sz w:val="16"/>
                <w:szCs w:val="16"/>
              </w:rPr>
              <w:t>25 923</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Periodavgränsningsposter</w:t>
            </w:r>
          </w:p>
        </w:tc>
        <w:tc>
          <w:tcPr>
            <w:tcW w:w="493" w:type="dxa"/>
            <w:vAlign w:val="bottom"/>
          </w:tcPr>
          <w:p w:rsidR="00F32CCD" w:rsidRPr="00BA7C9E" w:rsidRDefault="00F32CCD" w:rsidP="00BA326B">
            <w:pPr>
              <w:spacing w:before="0" w:line="240" w:lineRule="auto"/>
              <w:jc w:val="center"/>
              <w:rPr>
                <w:b/>
                <w:sz w:val="16"/>
                <w:szCs w:val="16"/>
                <w:lang w:eastAsia="en-US"/>
              </w:rPr>
            </w:pPr>
            <w:r w:rsidRPr="00BA7C9E">
              <w:rPr>
                <w:b/>
                <w:sz w:val="16"/>
                <w:szCs w:val="16"/>
                <w:lang w:eastAsia="en-US"/>
              </w:rPr>
              <w:t>1</w:t>
            </w:r>
            <w:r w:rsidR="00BA326B" w:rsidRPr="00BA7C9E">
              <w:rPr>
                <w:b/>
                <w:sz w:val="16"/>
                <w:szCs w:val="16"/>
                <w:lang w:eastAsia="en-US"/>
              </w:rPr>
              <w:t>1</w:t>
            </w: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Förutbetalda kostnader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6 343</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6 571</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Övriga upplupna intäkter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10 748</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3 272</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jc w:val="right"/>
              <w:rPr>
                <w:b/>
                <w:color w:val="000000"/>
                <w:sz w:val="16"/>
                <w:szCs w:val="16"/>
              </w:rPr>
            </w:pPr>
            <w:r w:rsidRPr="00BA7C9E">
              <w:rPr>
                <w:b/>
                <w:color w:val="000000"/>
                <w:sz w:val="16"/>
                <w:szCs w:val="16"/>
              </w:rPr>
              <w:t>17 091</w:t>
            </w:r>
          </w:p>
        </w:tc>
        <w:tc>
          <w:tcPr>
            <w:tcW w:w="469"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jc w:val="right"/>
              <w:rPr>
                <w:b/>
                <w:color w:val="000000"/>
                <w:sz w:val="16"/>
                <w:szCs w:val="16"/>
              </w:rPr>
            </w:pPr>
            <w:r w:rsidRPr="00BA7C9E">
              <w:rPr>
                <w:b/>
                <w:color w:val="000000"/>
                <w:sz w:val="16"/>
                <w:szCs w:val="16"/>
              </w:rPr>
              <w:t>9 843</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Avräkning med statsverket</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Avräkning med statsverket</w:t>
            </w:r>
          </w:p>
        </w:tc>
        <w:tc>
          <w:tcPr>
            <w:tcW w:w="493" w:type="dxa"/>
            <w:vAlign w:val="bottom"/>
          </w:tcPr>
          <w:p w:rsidR="00F32CCD" w:rsidRPr="00BA7C9E" w:rsidRDefault="00BA326B" w:rsidP="00F32CCD">
            <w:pPr>
              <w:spacing w:before="0" w:line="240" w:lineRule="auto"/>
              <w:jc w:val="center"/>
              <w:rPr>
                <w:b/>
                <w:sz w:val="16"/>
                <w:szCs w:val="16"/>
                <w:lang w:eastAsia="en-US"/>
              </w:rPr>
            </w:pPr>
            <w:r w:rsidRPr="00BA7C9E">
              <w:rPr>
                <w:b/>
                <w:sz w:val="16"/>
                <w:szCs w:val="16"/>
                <w:lang w:eastAsia="en-US"/>
              </w:rPr>
              <w:t>12</w:t>
            </w: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–18 100</w:t>
            </w:r>
          </w:p>
        </w:tc>
        <w:tc>
          <w:tcPr>
            <w:tcW w:w="469"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–14 985</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–18 100</w:t>
            </w:r>
          </w:p>
        </w:tc>
        <w:tc>
          <w:tcPr>
            <w:tcW w:w="469"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–14 985</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Kassa och bank</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lang w:eastAsia="en-US"/>
              </w:rPr>
            </w:pPr>
          </w:p>
        </w:tc>
      </w:tr>
      <w:tr w:rsidR="00F32CCD" w:rsidRPr="00BA7C9E" w:rsidTr="00050460">
        <w:trPr>
          <w:trHeight w:val="255"/>
        </w:trPr>
        <w:tc>
          <w:tcPr>
            <w:tcW w:w="3175" w:type="dxa"/>
            <w:vAlign w:val="bottom"/>
          </w:tcPr>
          <w:p w:rsidR="00F32CCD" w:rsidRPr="00BA7C9E" w:rsidRDefault="00F32CCD" w:rsidP="00F32CCD">
            <w:pPr>
              <w:spacing w:before="0" w:line="240" w:lineRule="auto"/>
              <w:ind w:right="-57"/>
              <w:jc w:val="left"/>
              <w:rPr>
                <w:spacing w:val="-2"/>
                <w:sz w:val="16"/>
                <w:szCs w:val="16"/>
                <w:lang w:eastAsia="en-US"/>
              </w:rPr>
            </w:pPr>
            <w:r w:rsidRPr="00BA7C9E">
              <w:rPr>
                <w:spacing w:val="-2"/>
                <w:sz w:val="16"/>
                <w:szCs w:val="16"/>
                <w:lang w:eastAsia="en-US"/>
              </w:rPr>
              <w:t>Behållning räntekonto i Riksgäldskontoret</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 xml:space="preserve">51 663 </w:t>
            </w: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35 303</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sz w:val="16"/>
                <w:szCs w:val="16"/>
                <w:lang w:eastAsia="en-US"/>
              </w:rPr>
            </w:pPr>
            <w:r w:rsidRPr="00BA7C9E">
              <w:rPr>
                <w:sz w:val="16"/>
                <w:szCs w:val="16"/>
                <w:lang w:eastAsia="en-US"/>
              </w:rPr>
              <w:t>Kassa och bank</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sz w:val="16"/>
                <w:szCs w:val="16"/>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509</w:t>
            </w:r>
          </w:p>
        </w:tc>
        <w:tc>
          <w:tcPr>
            <w:tcW w:w="469" w:type="dxa"/>
            <w:vAlign w:val="bottom"/>
          </w:tcPr>
          <w:p w:rsidR="00F32CCD" w:rsidRPr="00BA7C9E" w:rsidRDefault="00F32CCD" w:rsidP="00F32CCD">
            <w:pPr>
              <w:spacing w:before="0" w:line="240" w:lineRule="auto"/>
              <w:jc w:val="right"/>
              <w:rPr>
                <w:sz w:val="16"/>
                <w:szCs w:val="16"/>
                <w:lang w:eastAsia="en-US"/>
              </w:rPr>
            </w:pPr>
          </w:p>
        </w:tc>
        <w:tc>
          <w:tcPr>
            <w:tcW w:w="872" w:type="dxa"/>
            <w:vAlign w:val="bottom"/>
          </w:tcPr>
          <w:p w:rsidR="00F32CCD" w:rsidRPr="00BA7C9E" w:rsidRDefault="00F32CCD" w:rsidP="00F32CCD">
            <w:pPr>
              <w:spacing w:before="0" w:line="240" w:lineRule="auto"/>
              <w:jc w:val="right"/>
              <w:rPr>
                <w:sz w:val="16"/>
                <w:szCs w:val="16"/>
              </w:rPr>
            </w:pPr>
            <w:r w:rsidRPr="00BA7C9E">
              <w:rPr>
                <w:sz w:val="16"/>
                <w:szCs w:val="16"/>
              </w:rPr>
              <w:t>687</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spacing w:before="0" w:line="240" w:lineRule="auto"/>
              <w:jc w:val="right"/>
              <w:rPr>
                <w:b/>
                <w:sz w:val="16"/>
                <w:szCs w:val="16"/>
              </w:rPr>
            </w:pPr>
            <w:r w:rsidRPr="00BA7C9E">
              <w:rPr>
                <w:b/>
                <w:sz w:val="16"/>
                <w:szCs w:val="16"/>
              </w:rPr>
              <w:t>52 172</w:t>
            </w:r>
          </w:p>
        </w:tc>
        <w:tc>
          <w:tcPr>
            <w:tcW w:w="469"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rPr>
            </w:pPr>
            <w:r w:rsidRPr="00BA7C9E">
              <w:rPr>
                <w:b/>
                <w:sz w:val="16"/>
                <w:szCs w:val="16"/>
              </w:rPr>
              <w:t>35 990</w:t>
            </w:r>
          </w:p>
        </w:tc>
      </w:tr>
      <w:tr w:rsidR="00F32CCD" w:rsidRPr="00BA7C9E" w:rsidTr="00050460">
        <w:trPr>
          <w:trHeight w:val="255"/>
        </w:trPr>
        <w:tc>
          <w:tcPr>
            <w:tcW w:w="3175" w:type="dxa"/>
            <w:vAlign w:val="bottom"/>
          </w:tcPr>
          <w:p w:rsidR="00F32CCD" w:rsidRPr="00BA7C9E" w:rsidRDefault="00F32CCD" w:rsidP="00F32CCD">
            <w:pPr>
              <w:spacing w:before="0" w:line="240" w:lineRule="auto"/>
              <w:jc w:val="left"/>
              <w:rPr>
                <w:b/>
                <w:sz w:val="16"/>
                <w:szCs w:val="16"/>
                <w:lang w:eastAsia="en-US"/>
              </w:rPr>
            </w:pP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spacing w:before="0" w:line="240" w:lineRule="auto"/>
              <w:jc w:val="right"/>
              <w:rPr>
                <w:b/>
                <w:sz w:val="16"/>
                <w:szCs w:val="16"/>
              </w:rPr>
            </w:pPr>
          </w:p>
        </w:tc>
        <w:tc>
          <w:tcPr>
            <w:tcW w:w="469" w:type="dxa"/>
            <w:vAlign w:val="bottom"/>
          </w:tcPr>
          <w:p w:rsidR="00F32CCD" w:rsidRPr="00BA7C9E" w:rsidRDefault="00F32CCD" w:rsidP="00F32CCD">
            <w:pPr>
              <w:spacing w:before="0" w:line="240" w:lineRule="auto"/>
              <w:jc w:val="right"/>
              <w:rPr>
                <w:b/>
                <w:sz w:val="16"/>
                <w:szCs w:val="16"/>
              </w:rPr>
            </w:pPr>
          </w:p>
        </w:tc>
        <w:tc>
          <w:tcPr>
            <w:tcW w:w="872" w:type="dxa"/>
            <w:vAlign w:val="bottom"/>
          </w:tcPr>
          <w:p w:rsidR="00F32CCD" w:rsidRPr="00BA7C9E" w:rsidRDefault="00F32CCD" w:rsidP="00F32CCD">
            <w:pPr>
              <w:spacing w:before="0" w:line="240" w:lineRule="auto"/>
              <w:jc w:val="right"/>
              <w:rPr>
                <w:b/>
                <w:sz w:val="16"/>
                <w:szCs w:val="16"/>
              </w:rPr>
            </w:pPr>
          </w:p>
        </w:tc>
      </w:tr>
      <w:tr w:rsidR="00F32CCD" w:rsidRPr="00BA7C9E" w:rsidTr="00050460">
        <w:trPr>
          <w:trHeight w:val="300"/>
        </w:trPr>
        <w:tc>
          <w:tcPr>
            <w:tcW w:w="3175" w:type="dxa"/>
            <w:vAlign w:val="bottom"/>
          </w:tcPr>
          <w:p w:rsidR="00F32CCD" w:rsidRPr="00BA7C9E" w:rsidRDefault="00F32CCD" w:rsidP="00F32CCD">
            <w:pPr>
              <w:spacing w:before="0" w:line="240" w:lineRule="auto"/>
              <w:jc w:val="left"/>
              <w:rPr>
                <w:b/>
                <w:sz w:val="16"/>
                <w:szCs w:val="16"/>
                <w:lang w:eastAsia="en-US"/>
              </w:rPr>
            </w:pPr>
            <w:r w:rsidRPr="00BA7C9E">
              <w:rPr>
                <w:b/>
                <w:sz w:val="16"/>
                <w:szCs w:val="16"/>
                <w:lang w:eastAsia="en-US"/>
              </w:rPr>
              <w:t>SUMMA TILLGÅNGAR</w:t>
            </w:r>
          </w:p>
        </w:tc>
        <w:tc>
          <w:tcPr>
            <w:tcW w:w="493" w:type="dxa"/>
            <w:vAlign w:val="bottom"/>
          </w:tcPr>
          <w:p w:rsidR="00F32CCD" w:rsidRPr="00BA7C9E" w:rsidRDefault="00F32CCD" w:rsidP="00F32CCD">
            <w:pPr>
              <w:spacing w:before="0" w:line="240" w:lineRule="auto"/>
              <w:jc w:val="center"/>
              <w:rPr>
                <w:b/>
                <w:sz w:val="16"/>
                <w:szCs w:val="16"/>
                <w:lang w:eastAsia="en-US"/>
              </w:rPr>
            </w:pPr>
          </w:p>
        </w:tc>
        <w:tc>
          <w:tcPr>
            <w:tcW w:w="236"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73 550</w:t>
            </w:r>
          </w:p>
        </w:tc>
        <w:tc>
          <w:tcPr>
            <w:tcW w:w="469" w:type="dxa"/>
            <w:vAlign w:val="bottom"/>
          </w:tcPr>
          <w:p w:rsidR="00F32CCD" w:rsidRPr="00BA7C9E" w:rsidRDefault="00F32CCD" w:rsidP="00F32CCD">
            <w:pPr>
              <w:spacing w:before="0" w:line="240" w:lineRule="auto"/>
              <w:jc w:val="right"/>
              <w:rPr>
                <w:b/>
                <w:sz w:val="16"/>
                <w:szCs w:val="16"/>
                <w:lang w:eastAsia="en-US"/>
              </w:rPr>
            </w:pPr>
          </w:p>
        </w:tc>
        <w:tc>
          <w:tcPr>
            <w:tcW w:w="872" w:type="dxa"/>
            <w:vAlign w:val="bottom"/>
          </w:tcPr>
          <w:p w:rsidR="00F32CCD" w:rsidRPr="00BA7C9E" w:rsidRDefault="00F32CCD" w:rsidP="00F32CCD">
            <w:pPr>
              <w:spacing w:before="0" w:line="240" w:lineRule="auto"/>
              <w:jc w:val="right"/>
              <w:rPr>
                <w:b/>
                <w:sz w:val="16"/>
                <w:szCs w:val="16"/>
                <w:lang w:eastAsia="en-US"/>
              </w:rPr>
            </w:pPr>
            <w:r w:rsidRPr="00BA7C9E">
              <w:rPr>
                <w:b/>
                <w:sz w:val="16"/>
                <w:szCs w:val="16"/>
                <w:lang w:eastAsia="en-US"/>
              </w:rPr>
              <w:t>65 007</w:t>
            </w:r>
          </w:p>
        </w:tc>
      </w:tr>
    </w:tbl>
    <w:p w:rsidR="00F32CCD" w:rsidRPr="00BA7C9E" w:rsidRDefault="00F32CCD" w:rsidP="00F32CCD">
      <w:pPr>
        <w:rPr>
          <w:sz w:val="27"/>
        </w:rPr>
      </w:pPr>
    </w:p>
    <w:p w:rsidR="00F32CCD" w:rsidRPr="00BA7C9E" w:rsidRDefault="00F32CCD" w:rsidP="00F32CCD">
      <w:pPr>
        <w:spacing w:before="0" w:line="240" w:lineRule="auto"/>
        <w:jc w:val="left"/>
        <w:rPr>
          <w:sz w:val="27"/>
        </w:rPr>
      </w:pPr>
      <w:r w:rsidRPr="00BA7C9E">
        <w:br w:type="page"/>
      </w:r>
    </w:p>
    <w:tbl>
      <w:tblPr>
        <w:tblpPr w:leftFromText="141" w:rightFromText="141" w:vertAnchor="page" w:horzAnchor="margin" w:tblpY="1268"/>
        <w:tblW w:w="6521" w:type="dxa"/>
        <w:tblLayout w:type="fixed"/>
        <w:tblLook w:val="0000" w:firstRow="0" w:lastRow="0" w:firstColumn="0" w:lastColumn="0" w:noHBand="0" w:noVBand="0"/>
      </w:tblPr>
      <w:tblGrid>
        <w:gridCol w:w="3384"/>
        <w:gridCol w:w="499"/>
        <w:gridCol w:w="266"/>
        <w:gridCol w:w="1045"/>
        <w:gridCol w:w="283"/>
        <w:gridCol w:w="1044"/>
      </w:tblGrid>
      <w:tr w:rsidR="00EC51A7" w:rsidRPr="00BA7C9E" w:rsidTr="00EC51A7">
        <w:trPr>
          <w:trHeight w:val="300"/>
        </w:trPr>
        <w:tc>
          <w:tcPr>
            <w:tcW w:w="3384" w:type="dxa"/>
            <w:vAlign w:val="bottom"/>
          </w:tcPr>
          <w:p w:rsidR="00EC51A7" w:rsidRPr="00BA7C9E" w:rsidRDefault="00EC51A7" w:rsidP="00EC51A7">
            <w:pPr>
              <w:spacing w:before="60" w:line="240" w:lineRule="auto"/>
              <w:jc w:val="left"/>
              <w:rPr>
                <w:b/>
                <w:sz w:val="16"/>
                <w:szCs w:val="16"/>
                <w:lang w:eastAsia="en-US"/>
              </w:rPr>
            </w:pPr>
            <w:r w:rsidRPr="00BA7C9E">
              <w:br w:type="page"/>
            </w:r>
            <w:r w:rsidRPr="00BA7C9E">
              <w:rPr>
                <w:sz w:val="16"/>
                <w:szCs w:val="16"/>
              </w:rPr>
              <w:br w:type="page"/>
            </w:r>
            <w:r w:rsidRPr="00BA7C9E">
              <w:rPr>
                <w:sz w:val="16"/>
                <w:szCs w:val="16"/>
              </w:rPr>
              <w:br w:type="page"/>
            </w:r>
            <w:r w:rsidRPr="00BA7C9E">
              <w:rPr>
                <w:b/>
                <w:sz w:val="16"/>
                <w:szCs w:val="16"/>
                <w:lang w:eastAsia="en-US"/>
              </w:rPr>
              <w:t>(tkr)</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Not</w:t>
            </w:r>
          </w:p>
        </w:tc>
        <w:tc>
          <w:tcPr>
            <w:tcW w:w="266"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 </w:t>
            </w:r>
          </w:p>
        </w:tc>
        <w:tc>
          <w:tcPr>
            <w:tcW w:w="1045" w:type="dxa"/>
            <w:vAlign w:val="bottom"/>
          </w:tcPr>
          <w:p w:rsidR="00EC51A7" w:rsidRPr="00BA7C9E" w:rsidRDefault="00EC51A7" w:rsidP="00EC51A7">
            <w:pPr>
              <w:spacing w:before="60" w:line="240" w:lineRule="auto"/>
              <w:jc w:val="right"/>
              <w:rPr>
                <w:b/>
                <w:spacing w:val="-4"/>
                <w:sz w:val="16"/>
                <w:szCs w:val="16"/>
                <w:lang w:eastAsia="en-US"/>
              </w:rPr>
            </w:pPr>
            <w:r w:rsidRPr="00BA7C9E">
              <w:rPr>
                <w:b/>
                <w:spacing w:val="-4"/>
                <w:sz w:val="16"/>
                <w:szCs w:val="16"/>
                <w:lang w:eastAsia="en-US"/>
              </w:rPr>
              <w:t>2011-12-31</w:t>
            </w:r>
          </w:p>
        </w:tc>
        <w:tc>
          <w:tcPr>
            <w:tcW w:w="283" w:type="dxa"/>
            <w:vAlign w:val="bottom"/>
          </w:tcPr>
          <w:p w:rsidR="00EC51A7" w:rsidRPr="00BA7C9E" w:rsidRDefault="00EC51A7" w:rsidP="00EC51A7">
            <w:pPr>
              <w:spacing w:before="60" w:line="240" w:lineRule="auto"/>
              <w:jc w:val="left"/>
              <w:rPr>
                <w:b/>
                <w:spacing w:val="-4"/>
                <w:sz w:val="16"/>
                <w:szCs w:val="16"/>
                <w:lang w:eastAsia="en-US"/>
              </w:rPr>
            </w:pPr>
          </w:p>
        </w:tc>
        <w:tc>
          <w:tcPr>
            <w:tcW w:w="1044" w:type="dxa"/>
            <w:vAlign w:val="bottom"/>
          </w:tcPr>
          <w:p w:rsidR="00EC51A7" w:rsidRPr="00BA7C9E" w:rsidRDefault="00EC51A7" w:rsidP="00EC51A7">
            <w:pPr>
              <w:spacing w:before="60" w:line="240" w:lineRule="auto"/>
              <w:jc w:val="right"/>
              <w:rPr>
                <w:b/>
                <w:spacing w:val="-4"/>
                <w:sz w:val="16"/>
                <w:szCs w:val="16"/>
                <w:lang w:eastAsia="en-US"/>
              </w:rPr>
            </w:pPr>
            <w:r w:rsidRPr="00BA7C9E">
              <w:rPr>
                <w:b/>
                <w:spacing w:val="-4"/>
                <w:sz w:val="16"/>
                <w:szCs w:val="16"/>
                <w:lang w:eastAsia="en-US"/>
              </w:rPr>
              <w:t>2010-12-31</w:t>
            </w:r>
          </w:p>
        </w:tc>
      </w:tr>
      <w:tr w:rsidR="00EC51A7" w:rsidRPr="00BA7C9E" w:rsidTr="00EC51A7">
        <w:trPr>
          <w:trHeight w:val="300"/>
        </w:trPr>
        <w:tc>
          <w:tcPr>
            <w:tcW w:w="3384" w:type="dxa"/>
            <w:vAlign w:val="bottom"/>
          </w:tcPr>
          <w:p w:rsidR="00EC51A7" w:rsidRPr="00BA7C9E" w:rsidRDefault="00EC51A7" w:rsidP="00EC51A7">
            <w:pPr>
              <w:spacing w:before="60" w:line="240" w:lineRule="auto"/>
              <w:jc w:val="left"/>
              <w:rPr>
                <w:b/>
                <w:sz w:val="16"/>
                <w:szCs w:val="16"/>
                <w:lang w:eastAsia="en-US"/>
              </w:rPr>
            </w:pP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left"/>
              <w:rPr>
                <w:b/>
                <w:sz w:val="16"/>
                <w:szCs w:val="16"/>
                <w:lang w:eastAsia="en-US"/>
              </w:rPr>
            </w:pPr>
          </w:p>
        </w:tc>
        <w:tc>
          <w:tcPr>
            <w:tcW w:w="1045" w:type="dxa"/>
            <w:vAlign w:val="bottom"/>
          </w:tcPr>
          <w:p w:rsidR="00EC51A7" w:rsidRPr="00BA7C9E" w:rsidRDefault="00EC51A7" w:rsidP="00EC51A7">
            <w:pPr>
              <w:spacing w:before="60" w:line="240" w:lineRule="auto"/>
              <w:jc w:val="left"/>
              <w:rPr>
                <w:b/>
                <w:sz w:val="16"/>
                <w:szCs w:val="16"/>
                <w:lang w:eastAsia="en-US"/>
              </w:rPr>
            </w:pPr>
          </w:p>
        </w:tc>
        <w:tc>
          <w:tcPr>
            <w:tcW w:w="283" w:type="dxa"/>
          </w:tcPr>
          <w:p w:rsidR="00EC51A7" w:rsidRPr="00BA7C9E" w:rsidRDefault="00EC51A7" w:rsidP="00EC51A7">
            <w:pPr>
              <w:spacing w:before="60" w:line="240" w:lineRule="auto"/>
              <w:jc w:val="left"/>
              <w:rPr>
                <w:b/>
                <w:sz w:val="16"/>
                <w:szCs w:val="16"/>
                <w:lang w:eastAsia="en-US"/>
              </w:rPr>
            </w:pPr>
          </w:p>
        </w:tc>
        <w:tc>
          <w:tcPr>
            <w:tcW w:w="1044" w:type="dxa"/>
          </w:tcPr>
          <w:p w:rsidR="00EC51A7" w:rsidRPr="00BA7C9E" w:rsidRDefault="00EC51A7" w:rsidP="00EC51A7">
            <w:pPr>
              <w:spacing w:before="60" w:line="240" w:lineRule="auto"/>
              <w:jc w:val="left"/>
              <w:rPr>
                <w:b/>
                <w:sz w:val="16"/>
                <w:szCs w:val="16"/>
                <w:lang w:eastAsia="en-US"/>
              </w:rPr>
            </w:pPr>
          </w:p>
        </w:tc>
      </w:tr>
      <w:tr w:rsidR="00EC51A7" w:rsidRPr="00BA7C9E" w:rsidTr="00EC51A7">
        <w:trPr>
          <w:trHeight w:val="300"/>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KAPITAL OCH SKULDER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left"/>
              <w:rPr>
                <w:b/>
                <w:sz w:val="16"/>
                <w:szCs w:val="16"/>
                <w:lang w:eastAsia="en-US"/>
              </w:rPr>
            </w:pPr>
          </w:p>
        </w:tc>
        <w:tc>
          <w:tcPr>
            <w:tcW w:w="1045" w:type="dxa"/>
            <w:vAlign w:val="bottom"/>
          </w:tcPr>
          <w:p w:rsidR="00EC51A7" w:rsidRPr="00BA7C9E" w:rsidRDefault="00EC51A7" w:rsidP="00EC51A7">
            <w:pPr>
              <w:spacing w:before="60" w:line="240" w:lineRule="auto"/>
              <w:jc w:val="left"/>
              <w:rPr>
                <w:b/>
                <w:sz w:val="16"/>
                <w:szCs w:val="16"/>
                <w:lang w:eastAsia="en-US"/>
              </w:rPr>
            </w:pPr>
          </w:p>
        </w:tc>
        <w:tc>
          <w:tcPr>
            <w:tcW w:w="283" w:type="dxa"/>
          </w:tcPr>
          <w:p w:rsidR="00EC51A7" w:rsidRPr="00BA7C9E" w:rsidRDefault="00EC51A7" w:rsidP="00EC51A7">
            <w:pPr>
              <w:spacing w:before="60" w:line="240" w:lineRule="auto"/>
              <w:jc w:val="left"/>
              <w:rPr>
                <w:b/>
                <w:sz w:val="16"/>
                <w:szCs w:val="16"/>
                <w:lang w:eastAsia="en-US"/>
              </w:rPr>
            </w:pPr>
          </w:p>
        </w:tc>
        <w:tc>
          <w:tcPr>
            <w:tcW w:w="1044" w:type="dxa"/>
          </w:tcPr>
          <w:p w:rsidR="00EC51A7" w:rsidRPr="00BA7C9E" w:rsidRDefault="00EC51A7" w:rsidP="00EC51A7">
            <w:pPr>
              <w:spacing w:before="60" w:line="240" w:lineRule="auto"/>
              <w:jc w:val="left"/>
              <w:rPr>
                <w:b/>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Myndighetskapital</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left"/>
              <w:rPr>
                <w:sz w:val="16"/>
                <w:szCs w:val="16"/>
                <w:lang w:eastAsia="en-US"/>
              </w:rPr>
            </w:pPr>
          </w:p>
        </w:tc>
        <w:tc>
          <w:tcPr>
            <w:tcW w:w="1045" w:type="dxa"/>
            <w:vAlign w:val="bottom"/>
          </w:tcPr>
          <w:p w:rsidR="00EC51A7" w:rsidRPr="00BA7C9E" w:rsidRDefault="00EC51A7" w:rsidP="00EC51A7">
            <w:pPr>
              <w:spacing w:before="60" w:line="240" w:lineRule="auto"/>
              <w:jc w:val="left"/>
              <w:rPr>
                <w:sz w:val="16"/>
                <w:szCs w:val="16"/>
                <w:lang w:eastAsia="en-US"/>
              </w:rPr>
            </w:pPr>
          </w:p>
        </w:tc>
        <w:tc>
          <w:tcPr>
            <w:tcW w:w="283" w:type="dxa"/>
          </w:tcPr>
          <w:p w:rsidR="00EC51A7" w:rsidRPr="00BA7C9E" w:rsidRDefault="00EC51A7" w:rsidP="00EC51A7">
            <w:pPr>
              <w:spacing w:before="60" w:line="240" w:lineRule="auto"/>
              <w:jc w:val="left"/>
              <w:rPr>
                <w:sz w:val="16"/>
                <w:szCs w:val="16"/>
                <w:lang w:eastAsia="en-US"/>
              </w:rPr>
            </w:pPr>
          </w:p>
        </w:tc>
        <w:tc>
          <w:tcPr>
            <w:tcW w:w="1044" w:type="dxa"/>
          </w:tcPr>
          <w:p w:rsidR="00EC51A7" w:rsidRPr="00BA7C9E" w:rsidRDefault="00EC51A7" w:rsidP="00EC51A7">
            <w:pPr>
              <w:spacing w:before="60" w:line="240" w:lineRule="auto"/>
              <w:jc w:val="lef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Statskapital</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13</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35</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35</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Balanserad kapitalförändring</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14</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4 065</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5 363</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Kapitalförändring enligt resultaträkningen</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6</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7 368</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rPr>
              <w:t>–</w:t>
            </w:r>
            <w:r w:rsidRPr="00BA7C9E">
              <w:rPr>
                <w:sz w:val="16"/>
                <w:szCs w:val="16"/>
                <w:lang w:eastAsia="en-US"/>
              </w:rPr>
              <w:t>1 298</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Summa</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11 468</w:t>
            </w:r>
          </w:p>
        </w:tc>
        <w:tc>
          <w:tcPr>
            <w:tcW w:w="283" w:type="dxa"/>
          </w:tcPr>
          <w:p w:rsidR="00EC51A7" w:rsidRPr="00BA7C9E" w:rsidRDefault="00EC51A7" w:rsidP="00EC51A7">
            <w:pPr>
              <w:spacing w:before="60" w:line="240" w:lineRule="auto"/>
              <w:jc w:val="right"/>
              <w:rPr>
                <w:b/>
                <w:sz w:val="16"/>
                <w:szCs w:val="16"/>
                <w:lang w:eastAsia="en-US"/>
              </w:rPr>
            </w:pPr>
          </w:p>
        </w:tc>
        <w:tc>
          <w:tcPr>
            <w:tcW w:w="1044"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4 100</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Avsättningar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 xml:space="preserve">Avsättningar för pensioner och liknande </w:t>
            </w:r>
            <w:r w:rsidRPr="00BA7C9E">
              <w:rPr>
                <w:sz w:val="16"/>
                <w:szCs w:val="16"/>
                <w:lang w:eastAsia="en-US"/>
              </w:rPr>
              <w:br/>
              <w:t>förpliktelser</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15</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 xml:space="preserve">3 905 </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6 957</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Övriga avsättningar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1 169</w:t>
            </w:r>
          </w:p>
        </w:tc>
        <w:tc>
          <w:tcPr>
            <w:tcW w:w="283" w:type="dxa"/>
          </w:tcPr>
          <w:p w:rsidR="00EC51A7" w:rsidRPr="00BA7C9E" w:rsidRDefault="00EC51A7" w:rsidP="00EC51A7">
            <w:pPr>
              <w:spacing w:before="60" w:line="240" w:lineRule="auto"/>
              <w:jc w:val="right"/>
              <w:rPr>
                <w:b/>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1 175</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Summa</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5 074</w:t>
            </w:r>
          </w:p>
        </w:tc>
        <w:tc>
          <w:tcPr>
            <w:tcW w:w="283" w:type="dxa"/>
          </w:tcPr>
          <w:p w:rsidR="00EC51A7" w:rsidRPr="00BA7C9E" w:rsidRDefault="00EC51A7" w:rsidP="00EC51A7">
            <w:pPr>
              <w:spacing w:before="60" w:line="240" w:lineRule="auto"/>
              <w:jc w:val="right"/>
              <w:rPr>
                <w:b/>
                <w:sz w:val="16"/>
                <w:szCs w:val="16"/>
                <w:lang w:eastAsia="en-US"/>
              </w:rPr>
            </w:pPr>
          </w:p>
        </w:tc>
        <w:tc>
          <w:tcPr>
            <w:tcW w:w="1044"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8 132</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Skulder m.m.</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Lån i Riksgäldskontoret</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16</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rPr>
            </w:pPr>
            <w:r w:rsidRPr="00BA7C9E">
              <w:rPr>
                <w:sz w:val="16"/>
                <w:szCs w:val="16"/>
              </w:rPr>
              <w:t>6 955</w:t>
            </w:r>
          </w:p>
        </w:tc>
        <w:tc>
          <w:tcPr>
            <w:tcW w:w="283" w:type="dxa"/>
          </w:tcPr>
          <w:p w:rsidR="00EC51A7" w:rsidRPr="00BA7C9E" w:rsidRDefault="00EC51A7" w:rsidP="00EC51A7">
            <w:pPr>
              <w:spacing w:before="60" w:line="240" w:lineRule="auto"/>
              <w:jc w:val="right"/>
              <w:rPr>
                <w:sz w:val="16"/>
                <w:szCs w:val="16"/>
              </w:rPr>
            </w:pPr>
          </w:p>
        </w:tc>
        <w:tc>
          <w:tcPr>
            <w:tcW w:w="1044" w:type="dxa"/>
            <w:vAlign w:val="bottom"/>
          </w:tcPr>
          <w:p w:rsidR="00EC51A7" w:rsidRPr="00BA7C9E" w:rsidRDefault="00EC51A7" w:rsidP="00EC51A7">
            <w:pPr>
              <w:spacing w:before="60" w:line="240" w:lineRule="auto"/>
              <w:jc w:val="right"/>
              <w:rPr>
                <w:sz w:val="16"/>
                <w:szCs w:val="16"/>
              </w:rPr>
            </w:pPr>
            <w:r w:rsidRPr="00BA7C9E">
              <w:rPr>
                <w:sz w:val="16"/>
                <w:szCs w:val="16"/>
              </w:rPr>
              <w:t>7 819</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Skulder till andra myndigheter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rPr>
            </w:pPr>
            <w:r w:rsidRPr="00BA7C9E">
              <w:rPr>
                <w:sz w:val="16"/>
                <w:szCs w:val="16"/>
              </w:rPr>
              <w:t xml:space="preserve">8 221 </w:t>
            </w:r>
          </w:p>
        </w:tc>
        <w:tc>
          <w:tcPr>
            <w:tcW w:w="283" w:type="dxa"/>
          </w:tcPr>
          <w:p w:rsidR="00EC51A7" w:rsidRPr="00BA7C9E" w:rsidRDefault="00EC51A7" w:rsidP="00EC51A7">
            <w:pPr>
              <w:spacing w:before="60" w:line="240" w:lineRule="auto"/>
              <w:jc w:val="right"/>
              <w:rPr>
                <w:sz w:val="16"/>
                <w:szCs w:val="16"/>
              </w:rPr>
            </w:pPr>
          </w:p>
        </w:tc>
        <w:tc>
          <w:tcPr>
            <w:tcW w:w="1044" w:type="dxa"/>
            <w:vAlign w:val="bottom"/>
          </w:tcPr>
          <w:p w:rsidR="00EC51A7" w:rsidRPr="00BA7C9E" w:rsidRDefault="00EC51A7" w:rsidP="00EC51A7">
            <w:pPr>
              <w:spacing w:before="60" w:line="240" w:lineRule="auto"/>
              <w:jc w:val="right"/>
              <w:rPr>
                <w:sz w:val="16"/>
                <w:szCs w:val="16"/>
              </w:rPr>
            </w:pPr>
            <w:r w:rsidRPr="00BA7C9E">
              <w:rPr>
                <w:sz w:val="16"/>
                <w:szCs w:val="16"/>
              </w:rPr>
              <w:t>7 822</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Leverantörsskulder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rPr>
            </w:pPr>
            <w:r w:rsidRPr="00BA7C9E">
              <w:rPr>
                <w:sz w:val="16"/>
                <w:szCs w:val="16"/>
              </w:rPr>
              <w:t>11 766</w:t>
            </w:r>
          </w:p>
        </w:tc>
        <w:tc>
          <w:tcPr>
            <w:tcW w:w="283" w:type="dxa"/>
          </w:tcPr>
          <w:p w:rsidR="00EC51A7" w:rsidRPr="00BA7C9E" w:rsidRDefault="00EC51A7" w:rsidP="00EC51A7">
            <w:pPr>
              <w:spacing w:before="60" w:line="240" w:lineRule="auto"/>
              <w:jc w:val="right"/>
              <w:rPr>
                <w:sz w:val="16"/>
                <w:szCs w:val="16"/>
              </w:rPr>
            </w:pPr>
          </w:p>
        </w:tc>
        <w:tc>
          <w:tcPr>
            <w:tcW w:w="1044" w:type="dxa"/>
            <w:vAlign w:val="bottom"/>
          </w:tcPr>
          <w:p w:rsidR="00EC51A7" w:rsidRPr="00BA7C9E" w:rsidRDefault="00EC51A7" w:rsidP="00EC51A7">
            <w:pPr>
              <w:spacing w:before="60" w:line="240" w:lineRule="auto"/>
              <w:jc w:val="right"/>
              <w:rPr>
                <w:sz w:val="16"/>
                <w:szCs w:val="16"/>
              </w:rPr>
            </w:pPr>
            <w:r w:rsidRPr="00BA7C9E">
              <w:rPr>
                <w:sz w:val="16"/>
                <w:szCs w:val="16"/>
              </w:rPr>
              <w:t>8 328</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Övriga skulder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4 885</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4 814</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Summa</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b/>
                <w:sz w:val="16"/>
                <w:szCs w:val="16"/>
              </w:rPr>
            </w:pPr>
            <w:r w:rsidRPr="00BA7C9E">
              <w:rPr>
                <w:b/>
                <w:sz w:val="16"/>
                <w:szCs w:val="16"/>
              </w:rPr>
              <w:t>31 827</w:t>
            </w:r>
          </w:p>
        </w:tc>
        <w:tc>
          <w:tcPr>
            <w:tcW w:w="283" w:type="dxa"/>
          </w:tcPr>
          <w:p w:rsidR="00EC51A7" w:rsidRPr="00BA7C9E" w:rsidRDefault="00EC51A7" w:rsidP="00EC51A7">
            <w:pPr>
              <w:spacing w:before="60" w:line="240" w:lineRule="auto"/>
              <w:jc w:val="right"/>
              <w:rPr>
                <w:b/>
                <w:sz w:val="16"/>
                <w:szCs w:val="16"/>
              </w:rPr>
            </w:pPr>
          </w:p>
        </w:tc>
        <w:tc>
          <w:tcPr>
            <w:tcW w:w="1044" w:type="dxa"/>
            <w:vAlign w:val="bottom"/>
          </w:tcPr>
          <w:p w:rsidR="00EC51A7" w:rsidRPr="00BA7C9E" w:rsidRDefault="00EC51A7" w:rsidP="00EC51A7">
            <w:pPr>
              <w:spacing w:before="60" w:line="240" w:lineRule="auto"/>
              <w:jc w:val="right"/>
              <w:rPr>
                <w:b/>
                <w:sz w:val="16"/>
                <w:szCs w:val="16"/>
              </w:rPr>
            </w:pPr>
            <w:r w:rsidRPr="00BA7C9E">
              <w:rPr>
                <w:b/>
                <w:sz w:val="16"/>
                <w:szCs w:val="16"/>
              </w:rPr>
              <w:t>28 783</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Periodavgränsningsposter</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17</w:t>
            </w: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r w:rsidRPr="00BA7C9E">
              <w:rPr>
                <w:sz w:val="16"/>
                <w:szCs w:val="16"/>
                <w:lang w:eastAsia="en-US"/>
              </w:rPr>
              <w:t>Upplupna kostnader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25 181</w:t>
            </w: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r w:rsidRPr="00BA7C9E">
              <w:rPr>
                <w:sz w:val="16"/>
                <w:szCs w:val="16"/>
                <w:lang w:eastAsia="en-US"/>
              </w:rPr>
              <w:t>23 992</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Summa</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 xml:space="preserve">25 181 </w:t>
            </w:r>
          </w:p>
        </w:tc>
        <w:tc>
          <w:tcPr>
            <w:tcW w:w="283" w:type="dxa"/>
          </w:tcPr>
          <w:p w:rsidR="00EC51A7" w:rsidRPr="00BA7C9E" w:rsidRDefault="00EC51A7" w:rsidP="00EC51A7">
            <w:pPr>
              <w:spacing w:before="60" w:line="240" w:lineRule="auto"/>
              <w:jc w:val="right"/>
              <w:rPr>
                <w:b/>
                <w:sz w:val="16"/>
                <w:szCs w:val="16"/>
                <w:lang w:eastAsia="en-US"/>
              </w:rPr>
            </w:pPr>
          </w:p>
        </w:tc>
        <w:tc>
          <w:tcPr>
            <w:tcW w:w="1044"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23 992</w:t>
            </w:r>
          </w:p>
        </w:tc>
      </w:tr>
      <w:tr w:rsidR="00EC51A7" w:rsidRPr="00BA7C9E" w:rsidTr="00EC51A7">
        <w:trPr>
          <w:trHeight w:val="300"/>
        </w:trPr>
        <w:tc>
          <w:tcPr>
            <w:tcW w:w="3384" w:type="dxa"/>
            <w:vAlign w:val="bottom"/>
          </w:tcPr>
          <w:p w:rsidR="00EC51A7" w:rsidRPr="00BA7C9E" w:rsidRDefault="00EC51A7" w:rsidP="00EC51A7">
            <w:pPr>
              <w:spacing w:before="60" w:line="240" w:lineRule="auto"/>
              <w:jc w:val="left"/>
              <w:rPr>
                <w:b/>
                <w:sz w:val="16"/>
                <w:szCs w:val="16"/>
                <w:lang w:eastAsia="en-US"/>
              </w:rPr>
            </w:pPr>
          </w:p>
          <w:p w:rsidR="00EC51A7" w:rsidRPr="00BA7C9E" w:rsidRDefault="00EC51A7" w:rsidP="00EC51A7">
            <w:pPr>
              <w:spacing w:before="60" w:line="240" w:lineRule="auto"/>
              <w:jc w:val="left"/>
              <w:rPr>
                <w:b/>
                <w:sz w:val="16"/>
                <w:szCs w:val="16"/>
                <w:lang w:eastAsia="en-US"/>
              </w:rPr>
            </w:pPr>
            <w:r w:rsidRPr="00BA7C9E">
              <w:rPr>
                <w:b/>
                <w:sz w:val="16"/>
                <w:szCs w:val="16"/>
                <w:lang w:eastAsia="en-US"/>
              </w:rPr>
              <w:t>SUMMA KAPITAL OCH SKULDER</w:t>
            </w: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0"/>
              <w:ind w:firstLine="227"/>
              <w:jc w:val="right"/>
              <w:rPr>
                <w:b/>
                <w:sz w:val="16"/>
                <w:szCs w:val="16"/>
                <w:lang w:eastAsia="en-US"/>
              </w:rPr>
            </w:pPr>
            <w:r w:rsidRPr="00BA7C9E">
              <w:rPr>
                <w:b/>
                <w:sz w:val="16"/>
                <w:szCs w:val="16"/>
                <w:lang w:eastAsia="en-US"/>
              </w:rPr>
              <w:t>73 550</w:t>
            </w:r>
          </w:p>
        </w:tc>
        <w:tc>
          <w:tcPr>
            <w:tcW w:w="283" w:type="dxa"/>
          </w:tcPr>
          <w:p w:rsidR="00EC51A7" w:rsidRPr="00BA7C9E" w:rsidRDefault="00EC51A7" w:rsidP="00EC51A7">
            <w:pPr>
              <w:spacing w:before="0"/>
              <w:ind w:firstLine="227"/>
              <w:jc w:val="right"/>
              <w:rPr>
                <w:b/>
                <w:sz w:val="16"/>
                <w:szCs w:val="16"/>
                <w:lang w:eastAsia="en-US"/>
              </w:rPr>
            </w:pPr>
          </w:p>
        </w:tc>
        <w:tc>
          <w:tcPr>
            <w:tcW w:w="1044" w:type="dxa"/>
            <w:vAlign w:val="bottom"/>
          </w:tcPr>
          <w:p w:rsidR="00EC51A7" w:rsidRPr="00BA7C9E" w:rsidRDefault="00EC51A7" w:rsidP="00EC51A7">
            <w:pPr>
              <w:spacing w:before="0"/>
              <w:ind w:firstLine="227"/>
              <w:jc w:val="right"/>
              <w:rPr>
                <w:b/>
                <w:sz w:val="16"/>
                <w:szCs w:val="16"/>
                <w:lang w:eastAsia="en-US"/>
              </w:rPr>
            </w:pPr>
            <w:r w:rsidRPr="00BA7C9E">
              <w:rPr>
                <w:b/>
                <w:sz w:val="16"/>
                <w:szCs w:val="16"/>
                <w:lang w:eastAsia="en-US"/>
              </w:rPr>
              <w:t>65 007</w:t>
            </w: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sz w:val="16"/>
                <w:szCs w:val="16"/>
                <w:lang w:eastAsia="en-US"/>
              </w:rPr>
            </w:pPr>
          </w:p>
        </w:tc>
        <w:tc>
          <w:tcPr>
            <w:tcW w:w="499" w:type="dxa"/>
            <w:vAlign w:val="bottom"/>
          </w:tcPr>
          <w:p w:rsidR="00EC51A7" w:rsidRPr="00BA7C9E" w:rsidRDefault="00EC51A7" w:rsidP="00EC51A7">
            <w:pPr>
              <w:spacing w:before="60" w:line="240" w:lineRule="auto"/>
              <w:jc w:val="center"/>
              <w:rPr>
                <w:b/>
                <w:sz w:val="16"/>
                <w:szCs w:val="16"/>
                <w:lang w:eastAsia="en-US"/>
              </w:rPr>
            </w:pPr>
          </w:p>
        </w:tc>
        <w:tc>
          <w:tcPr>
            <w:tcW w:w="266" w:type="dxa"/>
            <w:vAlign w:val="bottom"/>
          </w:tcPr>
          <w:p w:rsidR="00EC51A7" w:rsidRPr="00BA7C9E" w:rsidRDefault="00EC51A7" w:rsidP="00EC51A7">
            <w:pPr>
              <w:spacing w:before="60" w:line="240" w:lineRule="auto"/>
              <w:jc w:val="right"/>
              <w:rPr>
                <w:sz w:val="16"/>
                <w:szCs w:val="16"/>
                <w:lang w:eastAsia="en-US"/>
              </w:rPr>
            </w:pPr>
          </w:p>
        </w:tc>
        <w:tc>
          <w:tcPr>
            <w:tcW w:w="1045" w:type="dxa"/>
            <w:vAlign w:val="bottom"/>
          </w:tcPr>
          <w:p w:rsidR="00EC51A7" w:rsidRPr="00BA7C9E" w:rsidRDefault="00EC51A7" w:rsidP="00EC51A7">
            <w:pPr>
              <w:spacing w:before="60" w:line="240" w:lineRule="auto"/>
              <w:jc w:val="right"/>
              <w:rPr>
                <w:sz w:val="16"/>
                <w:szCs w:val="16"/>
                <w:lang w:eastAsia="en-US"/>
              </w:rPr>
            </w:pPr>
          </w:p>
        </w:tc>
        <w:tc>
          <w:tcPr>
            <w:tcW w:w="283" w:type="dxa"/>
          </w:tcPr>
          <w:p w:rsidR="00EC51A7" w:rsidRPr="00BA7C9E" w:rsidRDefault="00EC51A7" w:rsidP="00EC51A7">
            <w:pPr>
              <w:spacing w:before="60" w:line="240" w:lineRule="auto"/>
              <w:jc w:val="right"/>
              <w:rPr>
                <w:sz w:val="16"/>
                <w:szCs w:val="16"/>
                <w:lang w:eastAsia="en-US"/>
              </w:rPr>
            </w:pPr>
          </w:p>
        </w:tc>
        <w:tc>
          <w:tcPr>
            <w:tcW w:w="1044" w:type="dxa"/>
            <w:vAlign w:val="bottom"/>
          </w:tcPr>
          <w:p w:rsidR="00EC51A7" w:rsidRPr="00BA7C9E" w:rsidRDefault="00EC51A7" w:rsidP="00EC51A7">
            <w:pPr>
              <w:spacing w:before="60" w:line="240" w:lineRule="auto"/>
              <w:jc w:val="right"/>
              <w:rPr>
                <w:sz w:val="16"/>
                <w:szCs w:val="16"/>
                <w:lang w:eastAsia="en-US"/>
              </w:rPr>
            </w:pPr>
          </w:p>
        </w:tc>
      </w:tr>
      <w:tr w:rsidR="00EC51A7" w:rsidRPr="00BA7C9E" w:rsidTr="00EC51A7">
        <w:trPr>
          <w:trHeight w:val="255"/>
        </w:trPr>
        <w:tc>
          <w:tcPr>
            <w:tcW w:w="3384" w:type="dxa"/>
            <w:vAlign w:val="bottom"/>
          </w:tcPr>
          <w:p w:rsidR="00EC51A7" w:rsidRPr="00BA7C9E" w:rsidRDefault="00EC51A7" w:rsidP="00EC51A7">
            <w:pPr>
              <w:spacing w:before="60" w:line="240" w:lineRule="auto"/>
              <w:jc w:val="left"/>
              <w:rPr>
                <w:b/>
                <w:sz w:val="16"/>
                <w:szCs w:val="16"/>
                <w:lang w:eastAsia="en-US"/>
              </w:rPr>
            </w:pPr>
            <w:r w:rsidRPr="00BA7C9E">
              <w:rPr>
                <w:b/>
                <w:sz w:val="16"/>
                <w:szCs w:val="16"/>
                <w:lang w:eastAsia="en-US"/>
              </w:rPr>
              <w:t>Ansvarsförbindelser</w:t>
            </w:r>
          </w:p>
        </w:tc>
        <w:tc>
          <w:tcPr>
            <w:tcW w:w="499" w:type="dxa"/>
            <w:vAlign w:val="bottom"/>
          </w:tcPr>
          <w:p w:rsidR="00EC51A7" w:rsidRPr="00BA7C9E" w:rsidRDefault="00EC51A7" w:rsidP="00EC51A7">
            <w:pPr>
              <w:spacing w:before="60" w:line="240" w:lineRule="auto"/>
              <w:jc w:val="center"/>
              <w:rPr>
                <w:b/>
                <w:sz w:val="16"/>
                <w:szCs w:val="16"/>
                <w:lang w:eastAsia="en-US"/>
              </w:rPr>
            </w:pPr>
            <w:r w:rsidRPr="00BA7C9E">
              <w:rPr>
                <w:b/>
                <w:sz w:val="16"/>
                <w:szCs w:val="16"/>
                <w:lang w:eastAsia="en-US"/>
              </w:rPr>
              <w:t>18</w:t>
            </w:r>
          </w:p>
        </w:tc>
        <w:tc>
          <w:tcPr>
            <w:tcW w:w="266" w:type="dxa"/>
            <w:vAlign w:val="bottom"/>
          </w:tcPr>
          <w:p w:rsidR="00EC51A7" w:rsidRPr="00BA7C9E" w:rsidRDefault="00EC51A7" w:rsidP="00EC51A7">
            <w:pPr>
              <w:spacing w:before="60" w:line="240" w:lineRule="auto"/>
              <w:jc w:val="right"/>
              <w:rPr>
                <w:b/>
                <w:sz w:val="16"/>
                <w:szCs w:val="16"/>
                <w:lang w:eastAsia="en-US"/>
              </w:rPr>
            </w:pPr>
          </w:p>
        </w:tc>
        <w:tc>
          <w:tcPr>
            <w:tcW w:w="1045"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4 589</w:t>
            </w:r>
          </w:p>
        </w:tc>
        <w:tc>
          <w:tcPr>
            <w:tcW w:w="283" w:type="dxa"/>
          </w:tcPr>
          <w:p w:rsidR="00EC51A7" w:rsidRPr="00BA7C9E" w:rsidRDefault="00EC51A7" w:rsidP="00EC51A7">
            <w:pPr>
              <w:spacing w:before="60" w:line="240" w:lineRule="auto"/>
              <w:jc w:val="right"/>
              <w:rPr>
                <w:b/>
                <w:sz w:val="16"/>
                <w:szCs w:val="16"/>
                <w:lang w:eastAsia="en-US"/>
              </w:rPr>
            </w:pPr>
          </w:p>
        </w:tc>
        <w:tc>
          <w:tcPr>
            <w:tcW w:w="1044" w:type="dxa"/>
            <w:vAlign w:val="bottom"/>
          </w:tcPr>
          <w:p w:rsidR="00EC51A7" w:rsidRPr="00BA7C9E" w:rsidRDefault="00EC51A7" w:rsidP="00EC51A7">
            <w:pPr>
              <w:spacing w:before="60" w:line="240" w:lineRule="auto"/>
              <w:jc w:val="right"/>
              <w:rPr>
                <w:b/>
                <w:sz w:val="16"/>
                <w:szCs w:val="16"/>
                <w:lang w:eastAsia="en-US"/>
              </w:rPr>
            </w:pPr>
            <w:r w:rsidRPr="00BA7C9E">
              <w:rPr>
                <w:b/>
                <w:sz w:val="16"/>
                <w:szCs w:val="16"/>
                <w:lang w:eastAsia="en-US"/>
              </w:rPr>
              <w:t>9 236</w:t>
            </w:r>
          </w:p>
        </w:tc>
      </w:tr>
    </w:tbl>
    <w:p w:rsidR="00F32CCD" w:rsidRPr="00BA7C9E" w:rsidRDefault="00F32CCD" w:rsidP="00EC51A7">
      <w:pPr>
        <w:pStyle w:val="Rubrik2"/>
        <w:spacing w:before="0"/>
      </w:pPr>
      <w:r w:rsidRPr="00BA7C9E">
        <w:br w:type="page"/>
      </w:r>
      <w:bookmarkStart w:id="122" w:name="_Toc318101650"/>
      <w:r w:rsidRPr="00BA7C9E">
        <w:t>Anslagsredovisning</w:t>
      </w:r>
      <w:bookmarkEnd w:id="118"/>
      <w:bookmarkEnd w:id="119"/>
      <w:bookmarkEnd w:id="120"/>
      <w:bookmarkEnd w:id="122"/>
    </w:p>
    <w:p w:rsidR="00F32CCD" w:rsidRPr="00BA7C9E" w:rsidRDefault="00F32CCD" w:rsidP="002F1DC1">
      <w:pPr>
        <w:pStyle w:val="R4"/>
      </w:pPr>
      <w:bookmarkStart w:id="123" w:name="_Toc190535506"/>
      <w:bookmarkStart w:id="124" w:name="_Toc190762623"/>
      <w:bookmarkStart w:id="125" w:name="_Toc191201150"/>
      <w:r w:rsidRPr="00BA7C9E">
        <w:t xml:space="preserve">Redovisning mot anslag (tkr) </w:t>
      </w:r>
    </w:p>
    <w:tbl>
      <w:tblPr>
        <w:tblpPr w:leftFromText="141" w:rightFromText="141" w:vertAnchor="text" w:horzAnchor="margin" w:tblpX="81" w:tblpY="92"/>
        <w:tblW w:w="6038" w:type="dxa"/>
        <w:tblLayout w:type="fixed"/>
        <w:tblCellMar>
          <w:left w:w="28" w:type="dxa"/>
          <w:right w:w="28" w:type="dxa"/>
        </w:tblCellMar>
        <w:tblLook w:val="01E0" w:firstRow="1" w:lastRow="1" w:firstColumn="1" w:lastColumn="1" w:noHBand="0" w:noVBand="0"/>
      </w:tblPr>
      <w:tblGrid>
        <w:gridCol w:w="1588"/>
        <w:gridCol w:w="813"/>
        <w:gridCol w:w="888"/>
        <w:gridCol w:w="597"/>
        <w:gridCol w:w="729"/>
        <w:gridCol w:w="714"/>
        <w:gridCol w:w="709"/>
      </w:tblGrid>
      <w:tr w:rsidR="00F32CCD" w:rsidRPr="00BA7C9E" w:rsidTr="00F32CCD">
        <w:tc>
          <w:tcPr>
            <w:tcW w:w="1588" w:type="dxa"/>
            <w:tcBorders>
              <w:top w:val="single" w:sz="6" w:space="0" w:color="auto"/>
              <w:bottom w:val="single" w:sz="6" w:space="0" w:color="auto"/>
            </w:tcBorders>
            <w:shd w:val="clear" w:color="000000" w:fill="FFFFFF"/>
          </w:tcPr>
          <w:p w:rsidR="00F32CCD" w:rsidRPr="00BA7C9E" w:rsidRDefault="00F32CCD" w:rsidP="00F32CCD">
            <w:pPr>
              <w:spacing w:line="200" w:lineRule="exact"/>
              <w:rPr>
                <w:b/>
                <w:sz w:val="16"/>
                <w:szCs w:val="16"/>
              </w:rPr>
            </w:pPr>
            <w:r w:rsidRPr="00BA7C9E">
              <w:rPr>
                <w:b/>
                <w:sz w:val="16"/>
                <w:szCs w:val="16"/>
              </w:rPr>
              <w:t>Anslag</w:t>
            </w:r>
          </w:p>
          <w:p w:rsidR="00F32CCD" w:rsidRPr="00BA7C9E" w:rsidRDefault="00F32CCD" w:rsidP="00F32CCD">
            <w:pPr>
              <w:spacing w:line="200" w:lineRule="exact"/>
              <w:rPr>
                <w:b/>
                <w:sz w:val="16"/>
                <w:szCs w:val="16"/>
              </w:rPr>
            </w:pPr>
          </w:p>
        </w:tc>
        <w:tc>
          <w:tcPr>
            <w:tcW w:w="813"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rPr>
            </w:pPr>
            <w:r w:rsidRPr="00BA7C9E">
              <w:rPr>
                <w:b/>
                <w:spacing w:val="-2"/>
                <w:sz w:val="16"/>
                <w:szCs w:val="16"/>
              </w:rPr>
              <w:t>Ingående över-förings</w:t>
            </w:r>
            <w:r w:rsidRPr="00BA7C9E">
              <w:rPr>
                <w:b/>
                <w:spacing w:val="-2"/>
                <w:sz w:val="16"/>
                <w:szCs w:val="16"/>
              </w:rPr>
              <w:softHyphen/>
              <w:t>belopp</w:t>
            </w:r>
          </w:p>
        </w:tc>
        <w:tc>
          <w:tcPr>
            <w:tcW w:w="888"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highlight w:val="yellow"/>
              </w:rPr>
            </w:pPr>
            <w:r w:rsidRPr="00BA7C9E">
              <w:rPr>
                <w:b/>
                <w:spacing w:val="-2"/>
                <w:sz w:val="16"/>
                <w:szCs w:val="16"/>
              </w:rPr>
              <w:t>Årets til</w:t>
            </w:r>
            <w:r w:rsidRPr="00BA7C9E">
              <w:rPr>
                <w:b/>
                <w:spacing w:val="-2"/>
                <w:sz w:val="16"/>
                <w:szCs w:val="16"/>
              </w:rPr>
              <w:t>l</w:t>
            </w:r>
            <w:r w:rsidRPr="00BA7C9E">
              <w:rPr>
                <w:b/>
                <w:spacing w:val="-2"/>
                <w:sz w:val="16"/>
                <w:szCs w:val="16"/>
              </w:rPr>
              <w:t>delning enligt anslags- direktiv</w:t>
            </w:r>
          </w:p>
        </w:tc>
        <w:tc>
          <w:tcPr>
            <w:tcW w:w="597"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rPr>
            </w:pPr>
            <w:r w:rsidRPr="00BA7C9E">
              <w:rPr>
                <w:b/>
                <w:spacing w:val="-2"/>
                <w:sz w:val="16"/>
                <w:szCs w:val="16"/>
              </w:rPr>
              <w:t>Indrag-</w:t>
            </w:r>
            <w:r w:rsidRPr="00BA7C9E">
              <w:rPr>
                <w:b/>
                <w:spacing w:val="-2"/>
                <w:sz w:val="16"/>
                <w:szCs w:val="16"/>
              </w:rPr>
              <w:br/>
              <w:t>ning</w:t>
            </w:r>
          </w:p>
        </w:tc>
        <w:tc>
          <w:tcPr>
            <w:tcW w:w="729"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rPr>
            </w:pPr>
            <w:r w:rsidRPr="00BA7C9E">
              <w:rPr>
                <w:b/>
                <w:spacing w:val="-2"/>
                <w:sz w:val="16"/>
                <w:szCs w:val="16"/>
              </w:rPr>
              <w:t xml:space="preserve">Totalt </w:t>
            </w:r>
            <w:r w:rsidRPr="00BA7C9E">
              <w:rPr>
                <w:b/>
                <w:spacing w:val="-2"/>
                <w:sz w:val="16"/>
                <w:szCs w:val="16"/>
              </w:rPr>
              <w:br/>
              <w:t xml:space="preserve">disponi-belt </w:t>
            </w:r>
            <w:r w:rsidRPr="00BA7C9E">
              <w:rPr>
                <w:b/>
                <w:spacing w:val="-2"/>
                <w:sz w:val="16"/>
                <w:szCs w:val="16"/>
              </w:rPr>
              <w:br/>
              <w:t>belopp</w:t>
            </w:r>
          </w:p>
        </w:tc>
        <w:tc>
          <w:tcPr>
            <w:tcW w:w="714"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rPr>
            </w:pPr>
            <w:r w:rsidRPr="00BA7C9E">
              <w:rPr>
                <w:b/>
                <w:spacing w:val="-2"/>
                <w:sz w:val="16"/>
                <w:szCs w:val="16"/>
              </w:rPr>
              <w:t>Utgifter</w:t>
            </w:r>
          </w:p>
        </w:tc>
        <w:tc>
          <w:tcPr>
            <w:tcW w:w="709" w:type="dxa"/>
            <w:tcBorders>
              <w:top w:val="single" w:sz="6" w:space="0" w:color="auto"/>
              <w:bottom w:val="single" w:sz="6" w:space="0" w:color="auto"/>
            </w:tcBorders>
            <w:shd w:val="clear" w:color="000000" w:fill="FFFFFF"/>
          </w:tcPr>
          <w:p w:rsidR="00F32CCD" w:rsidRPr="00BA7C9E" w:rsidRDefault="00F32CCD" w:rsidP="00F32CCD">
            <w:pPr>
              <w:spacing w:line="200" w:lineRule="exact"/>
              <w:jc w:val="left"/>
              <w:rPr>
                <w:b/>
                <w:spacing w:val="-2"/>
                <w:sz w:val="16"/>
                <w:szCs w:val="16"/>
              </w:rPr>
            </w:pPr>
            <w:r w:rsidRPr="00BA7C9E">
              <w:rPr>
                <w:b/>
                <w:spacing w:val="-2"/>
                <w:sz w:val="16"/>
                <w:szCs w:val="16"/>
              </w:rPr>
              <w:t>Utgående över</w:t>
            </w:r>
            <w:r w:rsidRPr="00BA7C9E">
              <w:rPr>
                <w:b/>
                <w:spacing w:val="-2"/>
                <w:sz w:val="16"/>
                <w:szCs w:val="16"/>
              </w:rPr>
              <w:softHyphen/>
              <w:t>-förings</w:t>
            </w:r>
            <w:r w:rsidRPr="00BA7C9E">
              <w:rPr>
                <w:b/>
                <w:spacing w:val="-2"/>
                <w:sz w:val="16"/>
                <w:szCs w:val="16"/>
              </w:rPr>
              <w:softHyphen/>
              <w:t>belopp</w:t>
            </w:r>
          </w:p>
        </w:tc>
      </w:tr>
      <w:tr w:rsidR="00F32CCD" w:rsidRPr="00BA7C9E" w:rsidTr="00F32CCD">
        <w:tc>
          <w:tcPr>
            <w:tcW w:w="1588" w:type="dxa"/>
            <w:tcBorders>
              <w:top w:val="single" w:sz="6" w:space="0" w:color="auto"/>
            </w:tcBorders>
            <w:shd w:val="clear" w:color="000000" w:fill="auto"/>
            <w:vAlign w:val="bottom"/>
          </w:tcPr>
          <w:p w:rsidR="00F32CCD" w:rsidRPr="00BA7C9E" w:rsidRDefault="00F32CCD" w:rsidP="00F32CCD">
            <w:pPr>
              <w:spacing w:line="200" w:lineRule="exact"/>
              <w:jc w:val="left"/>
              <w:rPr>
                <w:spacing w:val="-4"/>
                <w:sz w:val="16"/>
                <w:szCs w:val="16"/>
              </w:rPr>
            </w:pPr>
            <w:r w:rsidRPr="00BA7C9E">
              <w:rPr>
                <w:spacing w:val="-4"/>
                <w:sz w:val="16"/>
                <w:szCs w:val="16"/>
              </w:rPr>
              <w:t>Utgiftsområde 2 anslag 1:15 Riksrevisionen, ramanslag</w:t>
            </w:r>
          </w:p>
        </w:tc>
        <w:tc>
          <w:tcPr>
            <w:tcW w:w="813" w:type="dxa"/>
            <w:tcBorders>
              <w:top w:val="single" w:sz="6" w:space="0" w:color="auto"/>
            </w:tcBorders>
            <w:shd w:val="clear" w:color="000000" w:fill="auto"/>
            <w:vAlign w:val="bottom"/>
          </w:tcPr>
          <w:p w:rsidR="00F32CCD" w:rsidRPr="00BA7C9E" w:rsidRDefault="00F32CCD" w:rsidP="00F32CCD">
            <w:pPr>
              <w:spacing w:line="200" w:lineRule="exact"/>
              <w:ind w:right="227"/>
              <w:jc w:val="right"/>
              <w:rPr>
                <w:sz w:val="16"/>
                <w:szCs w:val="16"/>
              </w:rPr>
            </w:pPr>
            <w:r w:rsidRPr="00BA7C9E">
              <w:rPr>
                <w:sz w:val="16"/>
                <w:szCs w:val="16"/>
              </w:rPr>
              <w:t>2 341</w:t>
            </w:r>
          </w:p>
        </w:tc>
        <w:tc>
          <w:tcPr>
            <w:tcW w:w="888" w:type="dxa"/>
            <w:tcBorders>
              <w:top w:val="single" w:sz="6" w:space="0" w:color="auto"/>
            </w:tcBorders>
            <w:shd w:val="clear" w:color="000000" w:fill="auto"/>
            <w:vAlign w:val="bottom"/>
          </w:tcPr>
          <w:p w:rsidR="00F32CCD" w:rsidRPr="00BA7C9E" w:rsidRDefault="00F32CCD" w:rsidP="00F32CCD">
            <w:pPr>
              <w:spacing w:line="200" w:lineRule="exact"/>
              <w:ind w:right="182"/>
              <w:jc w:val="right"/>
              <w:rPr>
                <w:sz w:val="16"/>
                <w:szCs w:val="16"/>
              </w:rPr>
            </w:pPr>
            <w:r w:rsidRPr="00BA7C9E">
              <w:rPr>
                <w:sz w:val="16"/>
                <w:szCs w:val="16"/>
              </w:rPr>
              <w:t>299 031</w:t>
            </w:r>
          </w:p>
        </w:tc>
        <w:tc>
          <w:tcPr>
            <w:tcW w:w="597" w:type="dxa"/>
            <w:tcBorders>
              <w:top w:val="single" w:sz="6" w:space="0" w:color="auto"/>
            </w:tcBorders>
            <w:shd w:val="clear" w:color="000000" w:fill="auto"/>
            <w:vAlign w:val="bottom"/>
          </w:tcPr>
          <w:p w:rsidR="00F32CCD" w:rsidRPr="00BA7C9E" w:rsidRDefault="00F32CCD" w:rsidP="00F32CCD">
            <w:pPr>
              <w:spacing w:line="200" w:lineRule="exact"/>
              <w:ind w:right="88"/>
              <w:jc w:val="right"/>
              <w:rPr>
                <w:color w:val="FF0000"/>
                <w:sz w:val="16"/>
                <w:szCs w:val="16"/>
              </w:rPr>
            </w:pPr>
          </w:p>
        </w:tc>
        <w:tc>
          <w:tcPr>
            <w:tcW w:w="729" w:type="dxa"/>
            <w:tcBorders>
              <w:top w:val="single" w:sz="6" w:space="0" w:color="auto"/>
            </w:tcBorders>
            <w:shd w:val="clear" w:color="000000" w:fill="auto"/>
            <w:vAlign w:val="bottom"/>
          </w:tcPr>
          <w:p w:rsidR="00F32CCD" w:rsidRPr="00BA7C9E" w:rsidRDefault="00F32CCD" w:rsidP="00F32CCD">
            <w:pPr>
              <w:spacing w:line="200" w:lineRule="exact"/>
              <w:ind w:right="113"/>
              <w:jc w:val="right"/>
              <w:rPr>
                <w:sz w:val="16"/>
                <w:szCs w:val="16"/>
              </w:rPr>
            </w:pPr>
            <w:r w:rsidRPr="00BA7C9E">
              <w:rPr>
                <w:sz w:val="16"/>
                <w:szCs w:val="16"/>
              </w:rPr>
              <w:t>301 372</w:t>
            </w:r>
          </w:p>
        </w:tc>
        <w:tc>
          <w:tcPr>
            <w:tcW w:w="714" w:type="dxa"/>
            <w:tcBorders>
              <w:top w:val="single" w:sz="6" w:space="0" w:color="auto"/>
            </w:tcBorders>
            <w:shd w:val="clear" w:color="000000" w:fill="auto"/>
            <w:vAlign w:val="bottom"/>
          </w:tcPr>
          <w:p w:rsidR="00F32CCD" w:rsidRPr="00BA7C9E" w:rsidRDefault="00F32CCD" w:rsidP="00F32CCD">
            <w:pPr>
              <w:spacing w:line="200" w:lineRule="exact"/>
              <w:jc w:val="right"/>
              <w:rPr>
                <w:spacing w:val="-2"/>
                <w:sz w:val="16"/>
                <w:szCs w:val="16"/>
              </w:rPr>
            </w:pPr>
            <w:r w:rsidRPr="00BA7C9E">
              <w:rPr>
                <w:sz w:val="16"/>
                <w:szCs w:val="16"/>
                <w:lang w:eastAsia="en-US"/>
              </w:rPr>
              <w:t>–286 845</w:t>
            </w:r>
          </w:p>
        </w:tc>
        <w:tc>
          <w:tcPr>
            <w:tcW w:w="709" w:type="dxa"/>
            <w:tcBorders>
              <w:top w:val="single" w:sz="6" w:space="0" w:color="auto"/>
            </w:tcBorders>
            <w:shd w:val="clear" w:color="000000" w:fill="auto"/>
            <w:vAlign w:val="bottom"/>
          </w:tcPr>
          <w:p w:rsidR="00F32CCD" w:rsidRPr="00BA7C9E" w:rsidRDefault="00F32CCD" w:rsidP="00F32CCD">
            <w:pPr>
              <w:spacing w:line="200" w:lineRule="exact"/>
              <w:ind w:right="114"/>
              <w:jc w:val="right"/>
              <w:rPr>
                <w:sz w:val="16"/>
                <w:szCs w:val="16"/>
              </w:rPr>
            </w:pPr>
            <w:r w:rsidRPr="00BA7C9E">
              <w:rPr>
                <w:sz w:val="16"/>
                <w:szCs w:val="16"/>
              </w:rPr>
              <w:t>14 526</w:t>
            </w:r>
          </w:p>
        </w:tc>
      </w:tr>
      <w:tr w:rsidR="00F32CCD" w:rsidRPr="00BA7C9E" w:rsidTr="00F32CCD">
        <w:tc>
          <w:tcPr>
            <w:tcW w:w="1588" w:type="dxa"/>
            <w:shd w:val="clear" w:color="000000" w:fill="FFFFFF"/>
            <w:vAlign w:val="bottom"/>
          </w:tcPr>
          <w:p w:rsidR="00F32CCD" w:rsidRPr="00BA7C9E" w:rsidRDefault="00F32CCD" w:rsidP="00F32CCD">
            <w:pPr>
              <w:spacing w:before="120" w:line="200" w:lineRule="exact"/>
              <w:jc w:val="left"/>
              <w:rPr>
                <w:sz w:val="16"/>
                <w:szCs w:val="16"/>
              </w:rPr>
            </w:pPr>
            <w:r w:rsidRPr="00BA7C9E">
              <w:rPr>
                <w:spacing w:val="-4"/>
                <w:sz w:val="16"/>
                <w:szCs w:val="16"/>
              </w:rPr>
              <w:t>Utgiftsområde 7 anslag 1</w:t>
            </w:r>
            <w:r w:rsidRPr="00BA7C9E">
              <w:rPr>
                <w:sz w:val="16"/>
                <w:szCs w:val="16"/>
              </w:rPr>
              <w:t>:5 Riksrevisionen: Internationellt utvec</w:t>
            </w:r>
            <w:r w:rsidRPr="00BA7C9E">
              <w:rPr>
                <w:sz w:val="16"/>
                <w:szCs w:val="16"/>
              </w:rPr>
              <w:t>k</w:t>
            </w:r>
            <w:r w:rsidRPr="00BA7C9E">
              <w:rPr>
                <w:sz w:val="16"/>
                <w:szCs w:val="16"/>
              </w:rPr>
              <w:t>lingssamarbete,</w:t>
            </w:r>
            <w:r w:rsidRPr="00BA7C9E">
              <w:rPr>
                <w:spacing w:val="-4"/>
                <w:sz w:val="16"/>
                <w:szCs w:val="16"/>
              </w:rPr>
              <w:t xml:space="preserve"> rama</w:t>
            </w:r>
            <w:r w:rsidRPr="00BA7C9E">
              <w:rPr>
                <w:spacing w:val="-4"/>
                <w:sz w:val="16"/>
                <w:szCs w:val="16"/>
              </w:rPr>
              <w:t>n</w:t>
            </w:r>
            <w:r w:rsidRPr="00BA7C9E">
              <w:rPr>
                <w:spacing w:val="-4"/>
                <w:sz w:val="16"/>
                <w:szCs w:val="16"/>
              </w:rPr>
              <w:t xml:space="preserve">slag </w:t>
            </w:r>
          </w:p>
        </w:tc>
        <w:tc>
          <w:tcPr>
            <w:tcW w:w="813" w:type="dxa"/>
            <w:shd w:val="clear" w:color="000000" w:fill="FFFFFF"/>
            <w:vAlign w:val="bottom"/>
          </w:tcPr>
          <w:p w:rsidR="00F32CCD" w:rsidRPr="00BA7C9E" w:rsidRDefault="00F32CCD" w:rsidP="00F32CCD">
            <w:pPr>
              <w:spacing w:line="200" w:lineRule="exact"/>
              <w:ind w:right="227"/>
              <w:jc w:val="right"/>
              <w:rPr>
                <w:sz w:val="16"/>
                <w:szCs w:val="16"/>
              </w:rPr>
            </w:pPr>
            <w:r w:rsidRPr="00BA7C9E">
              <w:rPr>
                <w:sz w:val="16"/>
                <w:szCs w:val="16"/>
              </w:rPr>
              <w:t>3 919</w:t>
            </w:r>
          </w:p>
        </w:tc>
        <w:tc>
          <w:tcPr>
            <w:tcW w:w="888" w:type="dxa"/>
            <w:shd w:val="clear" w:color="000000" w:fill="FFFFFF"/>
            <w:vAlign w:val="bottom"/>
          </w:tcPr>
          <w:p w:rsidR="00F32CCD" w:rsidRPr="00BA7C9E" w:rsidRDefault="00F32CCD" w:rsidP="00F32CCD">
            <w:pPr>
              <w:spacing w:line="200" w:lineRule="exact"/>
              <w:ind w:right="182"/>
              <w:jc w:val="right"/>
              <w:rPr>
                <w:sz w:val="16"/>
                <w:szCs w:val="16"/>
              </w:rPr>
            </w:pPr>
            <w:r w:rsidRPr="00BA7C9E">
              <w:rPr>
                <w:sz w:val="16"/>
                <w:szCs w:val="16"/>
              </w:rPr>
              <w:t>40 000</w:t>
            </w:r>
          </w:p>
        </w:tc>
        <w:tc>
          <w:tcPr>
            <w:tcW w:w="597" w:type="dxa"/>
            <w:shd w:val="clear" w:color="000000" w:fill="FFFFFF"/>
            <w:vAlign w:val="bottom"/>
          </w:tcPr>
          <w:p w:rsidR="00F32CCD" w:rsidRPr="00BA7C9E" w:rsidRDefault="00F32CCD" w:rsidP="00F32CCD">
            <w:pPr>
              <w:spacing w:line="200" w:lineRule="exact"/>
              <w:ind w:right="88"/>
              <w:jc w:val="right"/>
              <w:rPr>
                <w:sz w:val="16"/>
                <w:szCs w:val="16"/>
              </w:rPr>
            </w:pPr>
            <w:r w:rsidRPr="00BA7C9E">
              <w:rPr>
                <w:sz w:val="16"/>
                <w:szCs w:val="16"/>
                <w:lang w:eastAsia="en-US"/>
              </w:rPr>
              <w:t>–2 719</w:t>
            </w:r>
          </w:p>
        </w:tc>
        <w:tc>
          <w:tcPr>
            <w:tcW w:w="729" w:type="dxa"/>
            <w:shd w:val="clear" w:color="000000" w:fill="FFFFFF"/>
            <w:vAlign w:val="bottom"/>
          </w:tcPr>
          <w:p w:rsidR="00F32CCD" w:rsidRPr="00BA7C9E" w:rsidRDefault="00F32CCD" w:rsidP="00F32CCD">
            <w:pPr>
              <w:spacing w:line="200" w:lineRule="exact"/>
              <w:ind w:right="113"/>
              <w:jc w:val="right"/>
              <w:rPr>
                <w:sz w:val="16"/>
                <w:szCs w:val="16"/>
              </w:rPr>
            </w:pPr>
            <w:r w:rsidRPr="00BA7C9E">
              <w:rPr>
                <w:sz w:val="16"/>
                <w:szCs w:val="16"/>
              </w:rPr>
              <w:t>41 200</w:t>
            </w:r>
          </w:p>
        </w:tc>
        <w:tc>
          <w:tcPr>
            <w:tcW w:w="714" w:type="dxa"/>
            <w:shd w:val="clear" w:color="000000" w:fill="FFFFFF"/>
            <w:vAlign w:val="bottom"/>
          </w:tcPr>
          <w:p w:rsidR="00F32CCD" w:rsidRPr="00BA7C9E" w:rsidRDefault="00F32CCD" w:rsidP="00F32CCD">
            <w:pPr>
              <w:spacing w:line="200" w:lineRule="exact"/>
              <w:jc w:val="right"/>
              <w:rPr>
                <w:spacing w:val="-2"/>
                <w:sz w:val="16"/>
                <w:szCs w:val="16"/>
              </w:rPr>
            </w:pPr>
            <w:r w:rsidRPr="00BA7C9E">
              <w:rPr>
                <w:sz w:val="16"/>
                <w:szCs w:val="16"/>
                <w:lang w:eastAsia="en-US"/>
              </w:rPr>
              <w:t>–40 317</w:t>
            </w:r>
          </w:p>
        </w:tc>
        <w:tc>
          <w:tcPr>
            <w:tcW w:w="709" w:type="dxa"/>
            <w:shd w:val="clear" w:color="000000" w:fill="FFFFFF"/>
            <w:vAlign w:val="bottom"/>
          </w:tcPr>
          <w:p w:rsidR="00F32CCD" w:rsidRPr="00BA7C9E" w:rsidRDefault="00F32CCD" w:rsidP="00F32CCD">
            <w:pPr>
              <w:spacing w:line="200" w:lineRule="exact"/>
              <w:ind w:right="114"/>
              <w:jc w:val="right"/>
              <w:rPr>
                <w:sz w:val="16"/>
                <w:szCs w:val="16"/>
              </w:rPr>
            </w:pPr>
            <w:r w:rsidRPr="00BA7C9E">
              <w:rPr>
                <w:sz w:val="16"/>
                <w:szCs w:val="16"/>
              </w:rPr>
              <w:t>883</w:t>
            </w:r>
          </w:p>
        </w:tc>
      </w:tr>
      <w:tr w:rsidR="00F32CCD" w:rsidRPr="00BA7C9E" w:rsidTr="00F32CCD">
        <w:tc>
          <w:tcPr>
            <w:tcW w:w="1588" w:type="dxa"/>
            <w:shd w:val="clear" w:color="000000" w:fill="FFFFFF"/>
            <w:vAlign w:val="bottom"/>
          </w:tcPr>
          <w:p w:rsidR="00F32CCD" w:rsidRPr="00BA7C9E" w:rsidRDefault="00F32CCD" w:rsidP="00F32CCD">
            <w:pPr>
              <w:spacing w:before="120" w:line="200" w:lineRule="exact"/>
              <w:jc w:val="left"/>
              <w:rPr>
                <w:spacing w:val="-4"/>
                <w:sz w:val="16"/>
                <w:szCs w:val="16"/>
              </w:rPr>
            </w:pPr>
          </w:p>
        </w:tc>
        <w:tc>
          <w:tcPr>
            <w:tcW w:w="813" w:type="dxa"/>
            <w:shd w:val="clear" w:color="000000" w:fill="FFFFFF"/>
            <w:vAlign w:val="bottom"/>
          </w:tcPr>
          <w:p w:rsidR="00F32CCD" w:rsidRPr="00BA7C9E" w:rsidRDefault="00F32CCD" w:rsidP="00F32CCD">
            <w:pPr>
              <w:spacing w:line="200" w:lineRule="exact"/>
              <w:ind w:right="227"/>
              <w:jc w:val="right"/>
              <w:rPr>
                <w:sz w:val="16"/>
                <w:szCs w:val="16"/>
              </w:rPr>
            </w:pPr>
          </w:p>
        </w:tc>
        <w:tc>
          <w:tcPr>
            <w:tcW w:w="888" w:type="dxa"/>
            <w:shd w:val="clear" w:color="000000" w:fill="FFFFFF"/>
            <w:vAlign w:val="bottom"/>
          </w:tcPr>
          <w:p w:rsidR="00F32CCD" w:rsidRPr="00BA7C9E" w:rsidRDefault="00F32CCD" w:rsidP="00F32CCD">
            <w:pPr>
              <w:spacing w:line="200" w:lineRule="exact"/>
              <w:ind w:right="182"/>
              <w:jc w:val="right"/>
              <w:rPr>
                <w:sz w:val="16"/>
                <w:szCs w:val="16"/>
              </w:rPr>
            </w:pPr>
          </w:p>
        </w:tc>
        <w:tc>
          <w:tcPr>
            <w:tcW w:w="597" w:type="dxa"/>
            <w:shd w:val="clear" w:color="000000" w:fill="FFFFFF"/>
            <w:vAlign w:val="bottom"/>
          </w:tcPr>
          <w:p w:rsidR="00F32CCD" w:rsidRPr="00BA7C9E" w:rsidRDefault="00F32CCD" w:rsidP="00F32CCD">
            <w:pPr>
              <w:spacing w:line="200" w:lineRule="exact"/>
              <w:ind w:right="88"/>
              <w:jc w:val="right"/>
              <w:rPr>
                <w:sz w:val="16"/>
                <w:szCs w:val="16"/>
              </w:rPr>
            </w:pPr>
          </w:p>
        </w:tc>
        <w:tc>
          <w:tcPr>
            <w:tcW w:w="729" w:type="dxa"/>
            <w:shd w:val="clear" w:color="000000" w:fill="FFFFFF"/>
            <w:vAlign w:val="bottom"/>
          </w:tcPr>
          <w:p w:rsidR="00F32CCD" w:rsidRPr="00BA7C9E" w:rsidRDefault="00F32CCD" w:rsidP="00F32CCD">
            <w:pPr>
              <w:spacing w:line="200" w:lineRule="exact"/>
              <w:ind w:right="113"/>
              <w:jc w:val="right"/>
              <w:rPr>
                <w:sz w:val="16"/>
                <w:szCs w:val="16"/>
              </w:rPr>
            </w:pPr>
          </w:p>
        </w:tc>
        <w:tc>
          <w:tcPr>
            <w:tcW w:w="714" w:type="dxa"/>
            <w:shd w:val="clear" w:color="000000" w:fill="FFFFFF"/>
            <w:vAlign w:val="bottom"/>
          </w:tcPr>
          <w:p w:rsidR="00F32CCD" w:rsidRPr="00BA7C9E" w:rsidRDefault="00F32CCD" w:rsidP="00F32CCD">
            <w:pPr>
              <w:spacing w:line="200" w:lineRule="exact"/>
              <w:jc w:val="right"/>
              <w:rPr>
                <w:spacing w:val="-2"/>
                <w:sz w:val="16"/>
                <w:szCs w:val="16"/>
              </w:rPr>
            </w:pPr>
          </w:p>
        </w:tc>
        <w:tc>
          <w:tcPr>
            <w:tcW w:w="709" w:type="dxa"/>
            <w:shd w:val="clear" w:color="000000" w:fill="FFFFFF"/>
            <w:vAlign w:val="bottom"/>
          </w:tcPr>
          <w:p w:rsidR="00F32CCD" w:rsidRPr="00BA7C9E" w:rsidRDefault="00F32CCD" w:rsidP="00F32CCD">
            <w:pPr>
              <w:spacing w:line="200" w:lineRule="exact"/>
              <w:ind w:right="114"/>
              <w:jc w:val="right"/>
              <w:rPr>
                <w:sz w:val="16"/>
                <w:szCs w:val="16"/>
              </w:rPr>
            </w:pPr>
          </w:p>
        </w:tc>
      </w:tr>
      <w:tr w:rsidR="00F32CCD" w:rsidRPr="00BA7C9E" w:rsidTr="00F32CCD">
        <w:trPr>
          <w:trHeight w:val="340"/>
        </w:trPr>
        <w:tc>
          <w:tcPr>
            <w:tcW w:w="1588" w:type="dxa"/>
            <w:tcBorders>
              <w:bottom w:val="single" w:sz="4" w:space="0" w:color="auto"/>
            </w:tcBorders>
            <w:shd w:val="clear" w:color="000000" w:fill="FFFFFF"/>
            <w:vAlign w:val="bottom"/>
          </w:tcPr>
          <w:p w:rsidR="00F32CCD" w:rsidRPr="00BA7C9E" w:rsidRDefault="00F32CCD" w:rsidP="00F32CCD">
            <w:pPr>
              <w:spacing w:before="120" w:line="200" w:lineRule="exact"/>
              <w:rPr>
                <w:b/>
                <w:i/>
                <w:sz w:val="16"/>
                <w:szCs w:val="16"/>
              </w:rPr>
            </w:pPr>
            <w:r w:rsidRPr="00BA7C9E">
              <w:rPr>
                <w:b/>
                <w:i/>
                <w:sz w:val="16"/>
                <w:szCs w:val="16"/>
              </w:rPr>
              <w:t>Summa</w:t>
            </w:r>
          </w:p>
        </w:tc>
        <w:tc>
          <w:tcPr>
            <w:tcW w:w="813" w:type="dxa"/>
            <w:tcBorders>
              <w:bottom w:val="single" w:sz="4" w:space="0" w:color="auto"/>
            </w:tcBorders>
            <w:shd w:val="clear" w:color="000000" w:fill="FFFFFF"/>
            <w:vAlign w:val="bottom"/>
          </w:tcPr>
          <w:p w:rsidR="00F32CCD" w:rsidRPr="00BA7C9E" w:rsidRDefault="00F32CCD" w:rsidP="00F32CCD">
            <w:pPr>
              <w:spacing w:line="200" w:lineRule="exact"/>
              <w:ind w:right="227"/>
              <w:jc w:val="right"/>
              <w:rPr>
                <w:b/>
                <w:i/>
                <w:sz w:val="16"/>
                <w:szCs w:val="16"/>
              </w:rPr>
            </w:pPr>
            <w:r w:rsidRPr="00BA7C9E">
              <w:rPr>
                <w:b/>
                <w:i/>
                <w:sz w:val="16"/>
                <w:szCs w:val="16"/>
              </w:rPr>
              <w:t>6 260</w:t>
            </w:r>
          </w:p>
        </w:tc>
        <w:tc>
          <w:tcPr>
            <w:tcW w:w="888" w:type="dxa"/>
            <w:tcBorders>
              <w:bottom w:val="single" w:sz="4" w:space="0" w:color="auto"/>
            </w:tcBorders>
            <w:shd w:val="clear" w:color="000000" w:fill="FFFFFF"/>
            <w:vAlign w:val="bottom"/>
          </w:tcPr>
          <w:p w:rsidR="00F32CCD" w:rsidRPr="00BA7C9E" w:rsidRDefault="00F32CCD" w:rsidP="00F32CCD">
            <w:pPr>
              <w:spacing w:line="200" w:lineRule="exact"/>
              <w:ind w:right="182"/>
              <w:jc w:val="right"/>
              <w:rPr>
                <w:b/>
                <w:i/>
                <w:sz w:val="16"/>
                <w:szCs w:val="16"/>
              </w:rPr>
            </w:pPr>
            <w:r w:rsidRPr="00BA7C9E">
              <w:rPr>
                <w:b/>
                <w:i/>
                <w:sz w:val="16"/>
                <w:szCs w:val="16"/>
              </w:rPr>
              <w:t>339 031</w:t>
            </w:r>
          </w:p>
        </w:tc>
        <w:tc>
          <w:tcPr>
            <w:tcW w:w="597" w:type="dxa"/>
            <w:tcBorders>
              <w:bottom w:val="single" w:sz="4" w:space="0" w:color="auto"/>
            </w:tcBorders>
            <w:shd w:val="clear" w:color="000000" w:fill="FFFFFF"/>
            <w:vAlign w:val="bottom"/>
          </w:tcPr>
          <w:p w:rsidR="00F32CCD" w:rsidRPr="00BA7C9E" w:rsidRDefault="00F32CCD" w:rsidP="00F32CCD">
            <w:pPr>
              <w:spacing w:line="200" w:lineRule="exact"/>
              <w:ind w:right="88"/>
              <w:jc w:val="right"/>
              <w:rPr>
                <w:b/>
                <w:i/>
                <w:sz w:val="16"/>
                <w:szCs w:val="16"/>
              </w:rPr>
            </w:pPr>
            <w:r w:rsidRPr="00BA7C9E">
              <w:rPr>
                <w:b/>
                <w:i/>
                <w:sz w:val="16"/>
                <w:szCs w:val="16"/>
                <w:lang w:eastAsia="en-US"/>
              </w:rPr>
              <w:t>–2 719</w:t>
            </w:r>
          </w:p>
        </w:tc>
        <w:tc>
          <w:tcPr>
            <w:tcW w:w="729" w:type="dxa"/>
            <w:tcBorders>
              <w:bottom w:val="single" w:sz="4" w:space="0" w:color="auto"/>
            </w:tcBorders>
            <w:shd w:val="clear" w:color="000000" w:fill="FFFFFF"/>
            <w:vAlign w:val="bottom"/>
          </w:tcPr>
          <w:p w:rsidR="00F32CCD" w:rsidRPr="00BA7C9E" w:rsidRDefault="00F32CCD" w:rsidP="00F32CCD">
            <w:pPr>
              <w:spacing w:line="200" w:lineRule="exact"/>
              <w:ind w:right="113"/>
              <w:jc w:val="right"/>
              <w:rPr>
                <w:b/>
                <w:i/>
                <w:sz w:val="16"/>
                <w:szCs w:val="16"/>
              </w:rPr>
            </w:pPr>
            <w:r w:rsidRPr="00BA7C9E">
              <w:rPr>
                <w:b/>
                <w:i/>
                <w:sz w:val="16"/>
                <w:szCs w:val="16"/>
              </w:rPr>
              <w:t xml:space="preserve"> 342 572</w:t>
            </w:r>
          </w:p>
        </w:tc>
        <w:tc>
          <w:tcPr>
            <w:tcW w:w="714" w:type="dxa"/>
            <w:tcBorders>
              <w:bottom w:val="single" w:sz="4" w:space="0" w:color="auto"/>
            </w:tcBorders>
            <w:shd w:val="clear" w:color="000000" w:fill="FFFFFF"/>
            <w:vAlign w:val="bottom"/>
          </w:tcPr>
          <w:p w:rsidR="00F32CCD" w:rsidRPr="00BA7C9E" w:rsidRDefault="00F32CCD" w:rsidP="00F32CCD">
            <w:pPr>
              <w:spacing w:line="200" w:lineRule="exact"/>
              <w:jc w:val="right"/>
              <w:rPr>
                <w:b/>
                <w:i/>
                <w:spacing w:val="-2"/>
                <w:sz w:val="16"/>
                <w:szCs w:val="16"/>
              </w:rPr>
            </w:pPr>
            <w:r w:rsidRPr="00BA7C9E">
              <w:rPr>
                <w:b/>
                <w:i/>
                <w:spacing w:val="-2"/>
                <w:sz w:val="16"/>
                <w:szCs w:val="16"/>
              </w:rPr>
              <w:t>–327 162</w:t>
            </w:r>
          </w:p>
        </w:tc>
        <w:tc>
          <w:tcPr>
            <w:tcW w:w="709" w:type="dxa"/>
            <w:tcBorders>
              <w:bottom w:val="single" w:sz="4" w:space="0" w:color="auto"/>
            </w:tcBorders>
            <w:shd w:val="clear" w:color="000000" w:fill="FFFFFF"/>
            <w:vAlign w:val="bottom"/>
          </w:tcPr>
          <w:p w:rsidR="00F32CCD" w:rsidRPr="00BA7C9E" w:rsidRDefault="00F32CCD" w:rsidP="00F32CCD">
            <w:pPr>
              <w:spacing w:line="200" w:lineRule="exact"/>
              <w:ind w:right="114"/>
              <w:jc w:val="right"/>
              <w:rPr>
                <w:b/>
                <w:i/>
                <w:sz w:val="16"/>
                <w:szCs w:val="16"/>
              </w:rPr>
            </w:pPr>
            <w:r w:rsidRPr="00BA7C9E">
              <w:rPr>
                <w:b/>
                <w:i/>
                <w:sz w:val="16"/>
                <w:szCs w:val="16"/>
              </w:rPr>
              <w:t>15 410</w:t>
            </w:r>
          </w:p>
        </w:tc>
      </w:tr>
    </w:tbl>
    <w:p w:rsidR="00F32CCD" w:rsidRPr="00BA7C9E" w:rsidRDefault="00F32CCD" w:rsidP="00F32CCD">
      <w:r w:rsidRPr="00BA7C9E">
        <w:t>Anslagskrediten för anslag 1:15 uppgår till 8 971 tkr och för anslag 1:5 till 1 200 tkr.</w:t>
      </w:r>
    </w:p>
    <w:p w:rsidR="00F32CCD" w:rsidRPr="00BA7C9E" w:rsidRDefault="00F32CCD" w:rsidP="00F32CCD">
      <w:bookmarkStart w:id="126" w:name="_Toc190535507"/>
      <w:bookmarkStart w:id="127" w:name="_Toc190762624"/>
      <w:bookmarkStart w:id="128" w:name="_Toc191201151"/>
      <w:bookmarkEnd w:id="123"/>
      <w:bookmarkEnd w:id="124"/>
      <w:bookmarkEnd w:id="125"/>
    </w:p>
    <w:p w:rsidR="00F32CCD" w:rsidRPr="00BA7C9E" w:rsidRDefault="00F32CCD" w:rsidP="002F1DC1">
      <w:pPr>
        <w:pStyle w:val="R4"/>
      </w:pPr>
      <w:r w:rsidRPr="00BA7C9E">
        <w:t>Redovisning mot inkomsttitel</w:t>
      </w:r>
      <w:bookmarkEnd w:id="126"/>
      <w:bookmarkEnd w:id="127"/>
      <w:bookmarkEnd w:id="128"/>
      <w:r w:rsidRPr="00BA7C9E">
        <w:t xml:space="preserve"> (tkr)</w:t>
      </w:r>
    </w:p>
    <w:p w:rsidR="00F32CCD" w:rsidRPr="00BA7C9E" w:rsidRDefault="00F32CCD" w:rsidP="00F32CCD">
      <w:pPr>
        <w:rPr>
          <w:color w:val="FF0000"/>
        </w:rPr>
      </w:pPr>
    </w:p>
    <w:tbl>
      <w:tblPr>
        <w:tblpPr w:leftFromText="180" w:rightFromText="180" w:vertAnchor="text" w:horzAnchor="margin" w:tblpX="182" w:tblpY="-40"/>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1417"/>
      </w:tblGrid>
      <w:tr w:rsidR="00F32CCD" w:rsidRPr="00BA7C9E" w:rsidTr="00F32CCD">
        <w:trPr>
          <w:trHeight w:val="170"/>
        </w:trPr>
        <w:tc>
          <w:tcPr>
            <w:tcW w:w="2943" w:type="dxa"/>
            <w:tcBorders>
              <w:left w:val="nil"/>
              <w:bottom w:val="single" w:sz="4" w:space="0" w:color="auto"/>
              <w:right w:val="nil"/>
            </w:tcBorders>
            <w:vAlign w:val="bottom"/>
          </w:tcPr>
          <w:p w:rsidR="00F32CCD" w:rsidRPr="00BA7C9E" w:rsidRDefault="00F32CCD" w:rsidP="00F32CCD">
            <w:pPr>
              <w:spacing w:line="200" w:lineRule="exact"/>
              <w:jc w:val="left"/>
              <w:rPr>
                <w:b/>
                <w:sz w:val="16"/>
                <w:szCs w:val="16"/>
              </w:rPr>
            </w:pPr>
            <w:r w:rsidRPr="00BA7C9E">
              <w:rPr>
                <w:b/>
                <w:sz w:val="16"/>
                <w:szCs w:val="16"/>
              </w:rPr>
              <w:t>Inkomsttitel</w:t>
            </w:r>
          </w:p>
        </w:tc>
        <w:tc>
          <w:tcPr>
            <w:tcW w:w="1418" w:type="dxa"/>
            <w:tcBorders>
              <w:left w:val="nil"/>
              <w:bottom w:val="single" w:sz="4" w:space="0" w:color="auto"/>
              <w:right w:val="nil"/>
            </w:tcBorders>
            <w:vAlign w:val="bottom"/>
          </w:tcPr>
          <w:p w:rsidR="00F32CCD" w:rsidRPr="00BA7C9E" w:rsidRDefault="00F32CCD" w:rsidP="00F32CCD">
            <w:pPr>
              <w:jc w:val="right"/>
              <w:rPr>
                <w:b/>
                <w:sz w:val="16"/>
                <w:szCs w:val="16"/>
              </w:rPr>
            </w:pPr>
            <w:r w:rsidRPr="00BA7C9E">
              <w:rPr>
                <w:b/>
                <w:sz w:val="16"/>
                <w:szCs w:val="16"/>
              </w:rPr>
              <w:t>Beräknat belopp</w:t>
            </w:r>
          </w:p>
        </w:tc>
        <w:tc>
          <w:tcPr>
            <w:tcW w:w="1417" w:type="dxa"/>
            <w:tcBorders>
              <w:left w:val="nil"/>
              <w:bottom w:val="single" w:sz="4" w:space="0" w:color="auto"/>
              <w:right w:val="nil"/>
            </w:tcBorders>
            <w:vAlign w:val="bottom"/>
          </w:tcPr>
          <w:p w:rsidR="00F32CCD" w:rsidRPr="00BA7C9E" w:rsidRDefault="00F32CCD" w:rsidP="00F32CCD">
            <w:pPr>
              <w:jc w:val="right"/>
              <w:rPr>
                <w:b/>
                <w:sz w:val="16"/>
                <w:szCs w:val="16"/>
              </w:rPr>
            </w:pPr>
            <w:r w:rsidRPr="00BA7C9E">
              <w:rPr>
                <w:b/>
                <w:sz w:val="16"/>
                <w:szCs w:val="16"/>
              </w:rPr>
              <w:t xml:space="preserve">            Inkomster</w:t>
            </w:r>
          </w:p>
        </w:tc>
      </w:tr>
      <w:tr w:rsidR="00F32CCD" w:rsidRPr="00BA7C9E" w:rsidTr="00F32CCD">
        <w:trPr>
          <w:trHeight w:val="170"/>
        </w:trPr>
        <w:tc>
          <w:tcPr>
            <w:tcW w:w="2943" w:type="dxa"/>
            <w:tcBorders>
              <w:left w:val="nil"/>
              <w:bottom w:val="nil"/>
              <w:right w:val="nil"/>
            </w:tcBorders>
            <w:vAlign w:val="bottom"/>
          </w:tcPr>
          <w:p w:rsidR="00F32CCD" w:rsidRPr="00BA7C9E" w:rsidRDefault="00F32CCD" w:rsidP="00F32CCD">
            <w:pPr>
              <w:jc w:val="left"/>
              <w:rPr>
                <w:sz w:val="16"/>
                <w:szCs w:val="16"/>
              </w:rPr>
            </w:pPr>
            <w:r w:rsidRPr="00BA7C9E">
              <w:rPr>
                <w:sz w:val="16"/>
                <w:szCs w:val="16"/>
              </w:rPr>
              <w:t>2558 Avgifter för årlig revision</w:t>
            </w:r>
          </w:p>
        </w:tc>
        <w:tc>
          <w:tcPr>
            <w:tcW w:w="1418" w:type="dxa"/>
            <w:tcBorders>
              <w:left w:val="nil"/>
              <w:bottom w:val="nil"/>
              <w:right w:val="nil"/>
            </w:tcBorders>
            <w:vAlign w:val="bottom"/>
          </w:tcPr>
          <w:p w:rsidR="00F32CCD" w:rsidRPr="00BA7C9E" w:rsidRDefault="00F32CCD" w:rsidP="00F32CCD">
            <w:pPr>
              <w:jc w:val="right"/>
              <w:rPr>
                <w:sz w:val="16"/>
                <w:szCs w:val="16"/>
              </w:rPr>
            </w:pPr>
            <w:r w:rsidRPr="00BA7C9E">
              <w:rPr>
                <w:sz w:val="16"/>
                <w:szCs w:val="16"/>
              </w:rPr>
              <w:t>121 000</w:t>
            </w:r>
          </w:p>
        </w:tc>
        <w:tc>
          <w:tcPr>
            <w:tcW w:w="1417" w:type="dxa"/>
            <w:tcBorders>
              <w:left w:val="nil"/>
              <w:bottom w:val="nil"/>
              <w:right w:val="nil"/>
            </w:tcBorders>
            <w:vAlign w:val="bottom"/>
          </w:tcPr>
          <w:p w:rsidR="00F32CCD" w:rsidRPr="00BA7C9E" w:rsidRDefault="00F32CCD" w:rsidP="00F32CCD">
            <w:pPr>
              <w:jc w:val="right"/>
              <w:rPr>
                <w:sz w:val="16"/>
                <w:szCs w:val="16"/>
              </w:rPr>
            </w:pPr>
            <w:r w:rsidRPr="00BA7C9E">
              <w:rPr>
                <w:sz w:val="16"/>
                <w:szCs w:val="16"/>
              </w:rPr>
              <w:t xml:space="preserve">              112 692</w:t>
            </w:r>
          </w:p>
        </w:tc>
      </w:tr>
      <w:tr w:rsidR="00F32CCD" w:rsidRPr="00BA7C9E" w:rsidTr="00F32CCD">
        <w:trPr>
          <w:trHeight w:val="170"/>
        </w:trPr>
        <w:tc>
          <w:tcPr>
            <w:tcW w:w="2943" w:type="dxa"/>
            <w:tcBorders>
              <w:top w:val="nil"/>
              <w:left w:val="nil"/>
              <w:right w:val="nil"/>
            </w:tcBorders>
            <w:vAlign w:val="bottom"/>
          </w:tcPr>
          <w:p w:rsidR="00F32CCD" w:rsidRPr="00BA7C9E" w:rsidRDefault="00F32CCD" w:rsidP="00F32CCD">
            <w:pPr>
              <w:spacing w:before="120" w:line="200" w:lineRule="exact"/>
              <w:rPr>
                <w:b/>
                <w:i/>
                <w:sz w:val="16"/>
                <w:szCs w:val="16"/>
              </w:rPr>
            </w:pPr>
            <w:r w:rsidRPr="00BA7C9E">
              <w:rPr>
                <w:b/>
                <w:i/>
                <w:sz w:val="16"/>
                <w:szCs w:val="16"/>
              </w:rPr>
              <w:t>Summa</w:t>
            </w:r>
          </w:p>
        </w:tc>
        <w:tc>
          <w:tcPr>
            <w:tcW w:w="1418" w:type="dxa"/>
            <w:tcBorders>
              <w:top w:val="nil"/>
              <w:left w:val="nil"/>
              <w:right w:val="nil"/>
            </w:tcBorders>
            <w:vAlign w:val="bottom"/>
          </w:tcPr>
          <w:p w:rsidR="00F32CCD" w:rsidRPr="00BA7C9E" w:rsidRDefault="00F32CCD" w:rsidP="00F32CCD">
            <w:pPr>
              <w:spacing w:before="120" w:line="200" w:lineRule="exact"/>
              <w:jc w:val="right"/>
              <w:rPr>
                <w:b/>
                <w:i/>
                <w:sz w:val="16"/>
                <w:szCs w:val="16"/>
              </w:rPr>
            </w:pPr>
            <w:r w:rsidRPr="00BA7C9E">
              <w:rPr>
                <w:b/>
                <w:i/>
                <w:sz w:val="16"/>
                <w:szCs w:val="16"/>
              </w:rPr>
              <w:t>121 000</w:t>
            </w:r>
          </w:p>
        </w:tc>
        <w:tc>
          <w:tcPr>
            <w:tcW w:w="1417" w:type="dxa"/>
            <w:tcBorders>
              <w:top w:val="nil"/>
              <w:left w:val="nil"/>
              <w:right w:val="nil"/>
            </w:tcBorders>
            <w:vAlign w:val="bottom"/>
          </w:tcPr>
          <w:p w:rsidR="00F32CCD" w:rsidRPr="00BA7C9E" w:rsidRDefault="00F32CCD" w:rsidP="00F32CCD">
            <w:pPr>
              <w:spacing w:before="120" w:line="200" w:lineRule="exact"/>
              <w:jc w:val="right"/>
              <w:rPr>
                <w:b/>
                <w:i/>
                <w:sz w:val="16"/>
                <w:szCs w:val="16"/>
              </w:rPr>
            </w:pPr>
            <w:r w:rsidRPr="00BA7C9E">
              <w:rPr>
                <w:b/>
                <w:i/>
                <w:sz w:val="16"/>
                <w:szCs w:val="16"/>
              </w:rPr>
              <w:t>112 692</w:t>
            </w:r>
          </w:p>
        </w:tc>
      </w:tr>
    </w:tbl>
    <w:p w:rsidR="00F32CCD" w:rsidRPr="00BA7C9E" w:rsidRDefault="00F32CCD" w:rsidP="002F1DC1">
      <w:pPr>
        <w:pStyle w:val="R4"/>
      </w:pPr>
      <w:r w:rsidRPr="00BA7C9E">
        <w:t>Redovisning mot bemyndiganden (tkr)</w:t>
      </w:r>
    </w:p>
    <w:p w:rsidR="00F32CCD" w:rsidRPr="00BA7C9E" w:rsidRDefault="00F32CCD" w:rsidP="00F32CCD">
      <w:pPr>
        <w:keepNext/>
        <w:keepLines/>
        <w:suppressAutoHyphens/>
        <w:spacing w:before="125" w:line="250" w:lineRule="exact"/>
        <w:jc w:val="left"/>
        <w:rPr>
          <w:i/>
          <w:sz w:val="18"/>
          <w:szCs w:val="18"/>
        </w:rPr>
      </w:pPr>
      <w:r w:rsidRPr="00BA7C9E">
        <w:rPr>
          <w:i/>
          <w:sz w:val="18"/>
          <w:szCs w:val="18"/>
        </w:rPr>
        <w:t>Anslag 1:5 Riksrevisionen: Internationellt utvecklingssamarbete, ramanslag, utgiftsområde 7</w:t>
      </w:r>
    </w:p>
    <w:tbl>
      <w:tblPr>
        <w:tblpPr w:leftFromText="141" w:rightFromText="141" w:vertAnchor="text" w:horzAnchor="margin" w:tblpX="182" w:tblpY="55"/>
        <w:tblW w:w="6067" w:type="dxa"/>
        <w:tblBorders>
          <w:bottom w:val="single" w:sz="4" w:space="0" w:color="auto"/>
        </w:tblBorders>
        <w:tblLayout w:type="fixed"/>
        <w:tblLook w:val="01E0" w:firstRow="1" w:lastRow="1" w:firstColumn="1" w:lastColumn="1" w:noHBand="0" w:noVBand="0"/>
      </w:tblPr>
      <w:tblGrid>
        <w:gridCol w:w="787"/>
        <w:gridCol w:w="461"/>
        <w:gridCol w:w="904"/>
        <w:gridCol w:w="939"/>
        <w:gridCol w:w="1005"/>
        <w:gridCol w:w="690"/>
        <w:gridCol w:w="851"/>
        <w:gridCol w:w="430"/>
      </w:tblGrid>
      <w:tr w:rsidR="00F32CCD" w:rsidRPr="00BA7C9E" w:rsidTr="00F32CCD">
        <w:tc>
          <w:tcPr>
            <w:tcW w:w="787" w:type="dxa"/>
            <w:tcBorders>
              <w:top w:val="single" w:sz="4" w:space="0" w:color="auto"/>
              <w:bottom w:val="single" w:sz="4" w:space="0" w:color="auto"/>
            </w:tcBorders>
          </w:tcPr>
          <w:p w:rsidR="00F32CCD" w:rsidRPr="00BA7C9E" w:rsidRDefault="00F32CCD" w:rsidP="00F32CCD">
            <w:pPr>
              <w:spacing w:before="0" w:line="200" w:lineRule="exact"/>
              <w:rPr>
                <w:color w:val="FF0000"/>
                <w:spacing w:val="-4"/>
              </w:rPr>
            </w:pPr>
          </w:p>
        </w:tc>
        <w:tc>
          <w:tcPr>
            <w:tcW w:w="461" w:type="dxa"/>
            <w:tcBorders>
              <w:top w:val="single" w:sz="4" w:space="0" w:color="auto"/>
              <w:bottom w:val="single" w:sz="4" w:space="0" w:color="auto"/>
            </w:tcBorders>
          </w:tcPr>
          <w:p w:rsidR="00F32CCD" w:rsidRPr="00BA7C9E" w:rsidRDefault="00F32CCD" w:rsidP="00F32CCD">
            <w:pPr>
              <w:spacing w:before="0" w:line="200" w:lineRule="exact"/>
              <w:rPr>
                <w:b/>
                <w:spacing w:val="-4"/>
                <w:sz w:val="16"/>
                <w:szCs w:val="16"/>
              </w:rPr>
            </w:pPr>
            <w:r w:rsidRPr="00BA7C9E">
              <w:rPr>
                <w:b/>
                <w:spacing w:val="-4"/>
                <w:sz w:val="16"/>
                <w:szCs w:val="16"/>
              </w:rPr>
              <w:t>Not</w:t>
            </w:r>
          </w:p>
          <w:p w:rsidR="00F32CCD" w:rsidRPr="00BA7C9E" w:rsidRDefault="00BA326B" w:rsidP="00F32CCD">
            <w:pPr>
              <w:spacing w:before="0" w:line="200" w:lineRule="exact"/>
              <w:rPr>
                <w:b/>
                <w:color w:val="FF0000"/>
                <w:spacing w:val="-4"/>
                <w:sz w:val="16"/>
                <w:szCs w:val="16"/>
              </w:rPr>
            </w:pPr>
            <w:r w:rsidRPr="00BA7C9E">
              <w:rPr>
                <w:b/>
                <w:spacing w:val="-4"/>
                <w:sz w:val="16"/>
                <w:szCs w:val="16"/>
              </w:rPr>
              <w:t>19</w:t>
            </w:r>
          </w:p>
        </w:tc>
        <w:tc>
          <w:tcPr>
            <w:tcW w:w="904" w:type="dxa"/>
            <w:tcBorders>
              <w:top w:val="single" w:sz="4" w:space="0" w:color="auto"/>
              <w:bottom w:val="single" w:sz="4" w:space="0" w:color="auto"/>
            </w:tcBorders>
          </w:tcPr>
          <w:p w:rsidR="00F32CCD" w:rsidRPr="00BA7C9E" w:rsidRDefault="00F32CCD" w:rsidP="00F32CCD">
            <w:pPr>
              <w:spacing w:before="0" w:line="200" w:lineRule="exact"/>
              <w:jc w:val="left"/>
              <w:rPr>
                <w:spacing w:val="-4"/>
              </w:rPr>
            </w:pPr>
            <w:r w:rsidRPr="00BA7C9E">
              <w:rPr>
                <w:b/>
                <w:spacing w:val="-4"/>
                <w:sz w:val="16"/>
                <w:szCs w:val="16"/>
              </w:rPr>
              <w:t>Tilldelat</w:t>
            </w:r>
            <w:r w:rsidRPr="00BA7C9E">
              <w:rPr>
                <w:b/>
                <w:spacing w:val="-4"/>
                <w:sz w:val="16"/>
                <w:szCs w:val="16"/>
              </w:rPr>
              <w:br/>
              <w:t>bemyndi-gande</w:t>
            </w:r>
          </w:p>
        </w:tc>
        <w:tc>
          <w:tcPr>
            <w:tcW w:w="939" w:type="dxa"/>
            <w:tcBorders>
              <w:top w:val="single" w:sz="4" w:space="0" w:color="auto"/>
              <w:bottom w:val="single" w:sz="4" w:space="0" w:color="auto"/>
            </w:tcBorders>
          </w:tcPr>
          <w:p w:rsidR="00F32CCD" w:rsidRPr="00BA7C9E" w:rsidRDefault="00F32CCD" w:rsidP="00F32CCD">
            <w:pPr>
              <w:spacing w:before="0" w:line="200" w:lineRule="exact"/>
              <w:rPr>
                <w:spacing w:val="-4"/>
              </w:rPr>
            </w:pPr>
            <w:r w:rsidRPr="00BA7C9E">
              <w:rPr>
                <w:b/>
                <w:spacing w:val="-4"/>
                <w:sz w:val="16"/>
                <w:szCs w:val="16"/>
              </w:rPr>
              <w:t>Ingående åtaganden</w:t>
            </w:r>
          </w:p>
        </w:tc>
        <w:tc>
          <w:tcPr>
            <w:tcW w:w="1005" w:type="dxa"/>
            <w:tcBorders>
              <w:top w:val="single" w:sz="4" w:space="0" w:color="auto"/>
              <w:bottom w:val="single" w:sz="4" w:space="0" w:color="auto"/>
            </w:tcBorders>
          </w:tcPr>
          <w:p w:rsidR="00F32CCD" w:rsidRPr="00BA7C9E" w:rsidRDefault="00F32CCD" w:rsidP="00F32CCD">
            <w:pPr>
              <w:spacing w:before="0" w:line="200" w:lineRule="exact"/>
              <w:jc w:val="left"/>
              <w:rPr>
                <w:spacing w:val="-4"/>
              </w:rPr>
            </w:pPr>
            <w:r w:rsidRPr="00BA7C9E">
              <w:rPr>
                <w:b/>
                <w:spacing w:val="-4"/>
                <w:sz w:val="16"/>
                <w:szCs w:val="16"/>
              </w:rPr>
              <w:t>Utestående åtagan</w:t>
            </w:r>
            <w:r w:rsidRPr="00BA7C9E">
              <w:rPr>
                <w:b/>
                <w:spacing w:val="-4"/>
                <w:sz w:val="16"/>
                <w:szCs w:val="16"/>
              </w:rPr>
              <w:softHyphen/>
              <w:t>den</w:t>
            </w:r>
          </w:p>
        </w:tc>
        <w:tc>
          <w:tcPr>
            <w:tcW w:w="1971" w:type="dxa"/>
            <w:gridSpan w:val="3"/>
            <w:tcBorders>
              <w:top w:val="single" w:sz="4" w:space="0" w:color="auto"/>
              <w:bottom w:val="single" w:sz="4" w:space="0" w:color="auto"/>
            </w:tcBorders>
          </w:tcPr>
          <w:p w:rsidR="00F32CCD" w:rsidRPr="00BA7C9E" w:rsidRDefault="00F32CCD" w:rsidP="00F32CCD">
            <w:pPr>
              <w:spacing w:before="0" w:line="200" w:lineRule="exact"/>
              <w:jc w:val="left"/>
              <w:rPr>
                <w:b/>
                <w:spacing w:val="-4"/>
                <w:sz w:val="16"/>
                <w:szCs w:val="16"/>
              </w:rPr>
            </w:pPr>
            <w:r w:rsidRPr="00BA7C9E">
              <w:rPr>
                <w:b/>
                <w:spacing w:val="-4"/>
                <w:sz w:val="16"/>
                <w:szCs w:val="16"/>
              </w:rPr>
              <w:t>Utestående åtagandenas fördelning per år</w:t>
            </w:r>
          </w:p>
          <w:p w:rsidR="00F32CCD" w:rsidRPr="00BA7C9E" w:rsidRDefault="00F32CCD" w:rsidP="00F32CCD">
            <w:pPr>
              <w:spacing w:before="0" w:line="200" w:lineRule="exact"/>
              <w:rPr>
                <w:b/>
                <w:spacing w:val="-4"/>
                <w:sz w:val="16"/>
                <w:szCs w:val="16"/>
              </w:rPr>
            </w:pPr>
            <w:r w:rsidRPr="00BA7C9E">
              <w:rPr>
                <w:spacing w:val="-4"/>
              </w:rPr>
              <w:t xml:space="preserve">  </w:t>
            </w:r>
            <w:r w:rsidRPr="00BA7C9E">
              <w:rPr>
                <w:b/>
                <w:spacing w:val="-4"/>
                <w:sz w:val="16"/>
                <w:szCs w:val="16"/>
              </w:rPr>
              <w:t xml:space="preserve">2012              2013          </w:t>
            </w:r>
          </w:p>
        </w:tc>
      </w:tr>
      <w:tr w:rsidR="00F32CCD" w:rsidRPr="00BA7C9E" w:rsidTr="00F32CCD">
        <w:trPr>
          <w:trHeight w:val="146"/>
        </w:trPr>
        <w:tc>
          <w:tcPr>
            <w:tcW w:w="787" w:type="dxa"/>
            <w:tcBorders>
              <w:top w:val="single" w:sz="4" w:space="0" w:color="auto"/>
            </w:tcBorders>
            <w:vAlign w:val="bottom"/>
          </w:tcPr>
          <w:p w:rsidR="00F32CCD" w:rsidRPr="00BA7C9E" w:rsidRDefault="00F32CCD" w:rsidP="00F32CCD">
            <w:pPr>
              <w:spacing w:before="120" w:line="200" w:lineRule="atLeast"/>
              <w:jc w:val="right"/>
              <w:rPr>
                <w:b/>
                <w:i/>
                <w:sz w:val="16"/>
                <w:szCs w:val="16"/>
              </w:rPr>
            </w:pPr>
            <w:r w:rsidRPr="00BA7C9E">
              <w:rPr>
                <w:b/>
                <w:i/>
                <w:spacing w:val="-4"/>
                <w:sz w:val="16"/>
                <w:szCs w:val="16"/>
              </w:rPr>
              <w:t>Summa</w:t>
            </w:r>
          </w:p>
        </w:tc>
        <w:tc>
          <w:tcPr>
            <w:tcW w:w="461" w:type="dxa"/>
            <w:tcBorders>
              <w:top w:val="single" w:sz="4" w:space="0" w:color="auto"/>
            </w:tcBorders>
            <w:vAlign w:val="bottom"/>
          </w:tcPr>
          <w:p w:rsidR="00F32CCD" w:rsidRPr="00BA7C9E" w:rsidRDefault="00F32CCD" w:rsidP="00F32CCD">
            <w:pPr>
              <w:spacing w:before="0"/>
              <w:jc w:val="right"/>
              <w:rPr>
                <w:b/>
                <w:i/>
                <w:color w:val="FF0000"/>
                <w:sz w:val="16"/>
                <w:szCs w:val="16"/>
              </w:rPr>
            </w:pPr>
          </w:p>
        </w:tc>
        <w:tc>
          <w:tcPr>
            <w:tcW w:w="904" w:type="dxa"/>
            <w:tcBorders>
              <w:top w:val="single" w:sz="4" w:space="0" w:color="auto"/>
            </w:tcBorders>
            <w:vAlign w:val="bottom"/>
          </w:tcPr>
          <w:p w:rsidR="00F32CCD" w:rsidRPr="00BA7C9E" w:rsidRDefault="00F32CCD" w:rsidP="00F32CCD">
            <w:pPr>
              <w:spacing w:before="0"/>
              <w:jc w:val="right"/>
              <w:rPr>
                <w:b/>
                <w:i/>
                <w:sz w:val="16"/>
                <w:szCs w:val="16"/>
              </w:rPr>
            </w:pPr>
            <w:r w:rsidRPr="00BA7C9E">
              <w:rPr>
                <w:b/>
                <w:i/>
                <w:sz w:val="16"/>
                <w:szCs w:val="16"/>
              </w:rPr>
              <w:t xml:space="preserve"> 28 000</w:t>
            </w:r>
          </w:p>
        </w:tc>
        <w:tc>
          <w:tcPr>
            <w:tcW w:w="939" w:type="dxa"/>
            <w:tcBorders>
              <w:top w:val="single" w:sz="4" w:space="0" w:color="auto"/>
            </w:tcBorders>
            <w:vAlign w:val="bottom"/>
          </w:tcPr>
          <w:p w:rsidR="00F32CCD" w:rsidRPr="00BA7C9E" w:rsidRDefault="00F32CCD" w:rsidP="00F32CCD">
            <w:pPr>
              <w:spacing w:before="0"/>
              <w:jc w:val="right"/>
              <w:rPr>
                <w:b/>
                <w:i/>
                <w:sz w:val="16"/>
                <w:szCs w:val="16"/>
              </w:rPr>
            </w:pPr>
            <w:r w:rsidRPr="00BA7C9E">
              <w:rPr>
                <w:b/>
                <w:i/>
                <w:sz w:val="16"/>
                <w:szCs w:val="16"/>
              </w:rPr>
              <w:t>23 097</w:t>
            </w:r>
          </w:p>
        </w:tc>
        <w:tc>
          <w:tcPr>
            <w:tcW w:w="1005" w:type="dxa"/>
            <w:tcBorders>
              <w:top w:val="single" w:sz="4" w:space="0" w:color="auto"/>
            </w:tcBorders>
            <w:vAlign w:val="bottom"/>
          </w:tcPr>
          <w:p w:rsidR="00F32CCD" w:rsidRPr="00BA7C9E" w:rsidRDefault="00F32CCD" w:rsidP="00F32CCD">
            <w:pPr>
              <w:spacing w:before="0"/>
              <w:jc w:val="right"/>
              <w:rPr>
                <w:b/>
                <w:i/>
                <w:sz w:val="16"/>
                <w:szCs w:val="16"/>
              </w:rPr>
            </w:pPr>
            <w:r w:rsidRPr="00BA7C9E">
              <w:rPr>
                <w:b/>
                <w:i/>
                <w:sz w:val="16"/>
                <w:szCs w:val="16"/>
              </w:rPr>
              <w:t>13 757</w:t>
            </w:r>
          </w:p>
        </w:tc>
        <w:tc>
          <w:tcPr>
            <w:tcW w:w="690" w:type="dxa"/>
            <w:tcBorders>
              <w:top w:val="single" w:sz="4" w:space="0" w:color="auto"/>
            </w:tcBorders>
            <w:vAlign w:val="bottom"/>
          </w:tcPr>
          <w:p w:rsidR="00F32CCD" w:rsidRPr="00BA7C9E" w:rsidRDefault="00F32CCD" w:rsidP="00F32CCD">
            <w:pPr>
              <w:spacing w:before="0"/>
              <w:jc w:val="right"/>
              <w:rPr>
                <w:b/>
                <w:i/>
                <w:sz w:val="16"/>
                <w:szCs w:val="16"/>
              </w:rPr>
            </w:pPr>
            <w:r w:rsidRPr="00BA7C9E">
              <w:rPr>
                <w:b/>
                <w:i/>
                <w:sz w:val="16"/>
                <w:szCs w:val="16"/>
              </w:rPr>
              <w:t>10 939</w:t>
            </w:r>
          </w:p>
        </w:tc>
        <w:tc>
          <w:tcPr>
            <w:tcW w:w="851" w:type="dxa"/>
            <w:tcBorders>
              <w:top w:val="single" w:sz="4" w:space="0" w:color="auto"/>
            </w:tcBorders>
            <w:vAlign w:val="bottom"/>
          </w:tcPr>
          <w:p w:rsidR="00F32CCD" w:rsidRPr="00BA7C9E" w:rsidRDefault="00F32CCD" w:rsidP="00F32CCD">
            <w:pPr>
              <w:spacing w:before="0"/>
              <w:jc w:val="right"/>
              <w:rPr>
                <w:b/>
                <w:i/>
                <w:sz w:val="16"/>
                <w:szCs w:val="16"/>
              </w:rPr>
            </w:pPr>
            <w:r w:rsidRPr="00BA7C9E">
              <w:rPr>
                <w:b/>
                <w:i/>
                <w:sz w:val="16"/>
                <w:szCs w:val="16"/>
              </w:rPr>
              <w:t>2 817</w:t>
            </w:r>
          </w:p>
        </w:tc>
        <w:tc>
          <w:tcPr>
            <w:tcW w:w="430" w:type="dxa"/>
            <w:tcBorders>
              <w:top w:val="single" w:sz="4" w:space="0" w:color="auto"/>
            </w:tcBorders>
            <w:vAlign w:val="bottom"/>
          </w:tcPr>
          <w:p w:rsidR="00F32CCD" w:rsidRPr="00BA7C9E" w:rsidRDefault="00F32CCD" w:rsidP="00F32CCD">
            <w:pPr>
              <w:spacing w:before="0"/>
              <w:jc w:val="right"/>
              <w:rPr>
                <w:b/>
                <w:i/>
                <w:sz w:val="16"/>
                <w:szCs w:val="16"/>
              </w:rPr>
            </w:pPr>
          </w:p>
        </w:tc>
      </w:tr>
    </w:tbl>
    <w:p w:rsidR="00F32CCD" w:rsidRPr="00BA7C9E" w:rsidRDefault="00F32CCD" w:rsidP="00F32CCD"/>
    <w:p w:rsidR="00F32CCD" w:rsidRPr="00BA7C9E" w:rsidRDefault="00F32CCD" w:rsidP="00F32CCD">
      <w:pPr>
        <w:spacing w:before="0"/>
        <w:ind w:firstLine="227"/>
      </w:pPr>
    </w:p>
    <w:p w:rsidR="00F32CCD" w:rsidRPr="00BA7C9E" w:rsidRDefault="00F32CCD" w:rsidP="00EC51A7">
      <w:pPr>
        <w:pStyle w:val="Rubrik2"/>
        <w:spacing w:before="0"/>
      </w:pPr>
      <w:bookmarkStart w:id="129" w:name="_Toc254267613"/>
      <w:bookmarkStart w:id="130" w:name="_Toc311187654"/>
      <w:bookmarkStart w:id="131" w:name="_Toc315253463"/>
      <w:r w:rsidRPr="00BA7C9E">
        <w:br w:type="page"/>
      </w:r>
      <w:bookmarkStart w:id="132" w:name="_Toc318101651"/>
      <w:r w:rsidRPr="00BA7C9E">
        <w:t>Tilläggsupplysningar och noter</w:t>
      </w:r>
      <w:bookmarkEnd w:id="129"/>
      <w:bookmarkEnd w:id="130"/>
      <w:bookmarkEnd w:id="131"/>
      <w:bookmarkEnd w:id="132"/>
    </w:p>
    <w:p w:rsidR="00F32CCD" w:rsidRPr="00BA7C9E" w:rsidRDefault="00F32CCD" w:rsidP="002F1DC1">
      <w:pPr>
        <w:pStyle w:val="R4"/>
        <w:rPr>
          <w:lang w:eastAsia="en-US"/>
        </w:rPr>
      </w:pPr>
      <w:r w:rsidRPr="00BA7C9E">
        <w:rPr>
          <w:lang w:eastAsia="en-US"/>
        </w:rPr>
        <w:t xml:space="preserve">Tillämpade redovisningsprinciper </w:t>
      </w:r>
    </w:p>
    <w:p w:rsidR="00F32CCD" w:rsidRPr="00BA7C9E" w:rsidRDefault="00F32CCD" w:rsidP="00F32CCD">
      <w:r w:rsidRPr="00BA7C9E">
        <w:t>Riksrevisionens redovisning följer god redovisningssed och lagen (2006:999) med ekonomiadministrativa bestämmelser m.m. för riksdagsförvaltningen, Riksdagens ombudsmän och Riksrevisionen. Årsredovisningen är upprättad i enlighet med förordningen (2000:605) om myndigheters årsredovisning och budgetunderlag samt Ekonomistyrningsverkets föreskrifter och allmänna råd till förordningen. Maskinella avrundningar kan ge smärre differenser vid manuella summeringar.</w:t>
      </w:r>
    </w:p>
    <w:p w:rsidR="00F32CCD" w:rsidRPr="00BA7C9E" w:rsidRDefault="00F32CCD" w:rsidP="00F32CCD">
      <w:pPr>
        <w:spacing w:before="0"/>
        <w:ind w:firstLine="227"/>
      </w:pPr>
      <w:r w:rsidRPr="00BA7C9E">
        <w:t>Enligt lagen (2002:1022) om revision av statlig verksamhet m.m. ska Rik</w:t>
      </w:r>
      <w:r w:rsidRPr="00BA7C9E">
        <w:t>s</w:t>
      </w:r>
      <w:r w:rsidRPr="00BA7C9E">
        <w:t>revisionen ta ut en avgift för den årliga revisionen. Avgiften ska bestämmas efter den tid som behövs för att fullgöra uppdraget och utifrån en tidstaxa</w:t>
      </w:r>
      <w:r w:rsidRPr="00BA7C9E">
        <w:rPr>
          <w:vertAlign w:val="superscript"/>
        </w:rPr>
        <w:footnoteReference w:id="17"/>
      </w:r>
      <w:r w:rsidRPr="00BA7C9E">
        <w:t xml:space="preserve"> som följer av lönenivån för dem som deltar i granskningen. Ersättning för direkta kostnader för konsulter, resor och liknande bestäms för sig. Kostnader för inrikes resor hanteras från och med 2011 som en indirekt kostnad för revisionsobjektet trots att det är en direkt kostnad för Riksrevisionen. Anle</w:t>
      </w:r>
      <w:r w:rsidRPr="00BA7C9E">
        <w:t>d</w:t>
      </w:r>
      <w:r w:rsidRPr="00BA7C9E">
        <w:t>ningen är att ett enskilt revisionsobjekt inte ska påverkas av teamens pers</w:t>
      </w:r>
      <w:r w:rsidRPr="00BA7C9E">
        <w:t>o</w:t>
      </w:r>
      <w:r w:rsidRPr="00BA7C9E">
        <w:t xml:space="preserve">nalsammansättning inom den årliga revisionen, dvs. revisionsobjektet ska inte belastas med resekostnader på grund av att teamet består av personal från olika kontor i landet. </w:t>
      </w:r>
    </w:p>
    <w:p w:rsidR="00F32CCD" w:rsidRPr="00BA7C9E" w:rsidRDefault="001E4B67" w:rsidP="00F32CCD">
      <w:pPr>
        <w:spacing w:before="0"/>
        <w:ind w:firstLine="227"/>
      </w:pPr>
      <w:r w:rsidRPr="00BA7C9E">
        <w:t>Riksrevisionens</w:t>
      </w:r>
      <w:r w:rsidR="00F32CCD" w:rsidRPr="00BA7C9E">
        <w:t xml:space="preserve"> gemensamma kostnader fördelas utifrån antalet personer</w:t>
      </w:r>
      <w:r w:rsidR="00F32CCD" w:rsidRPr="00BA7C9E">
        <w:rPr>
          <w:vertAlign w:val="superscript"/>
        </w:rPr>
        <w:footnoteReference w:id="18"/>
      </w:r>
      <w:r w:rsidR="00F32CCD" w:rsidRPr="00BA7C9E">
        <w:t xml:space="preserve"> i de olika verksamhetsgrenarna. Dessa kostnader, tillsammans med de enhet</w:t>
      </w:r>
      <w:r w:rsidR="00F32CCD" w:rsidRPr="00BA7C9E">
        <w:t>s</w:t>
      </w:r>
      <w:r w:rsidR="00F32CCD" w:rsidRPr="00BA7C9E">
        <w:t>gemensamma kostnader som uppstår på respektive enhet, fördelas enligt nedlagda timmar inom verksamhetsgrenarna.</w:t>
      </w:r>
      <w:r w:rsidRPr="00BA7C9E">
        <w:t xml:space="preserve"> </w:t>
      </w:r>
      <w:r w:rsidR="00F32CCD" w:rsidRPr="00BA7C9E">
        <w:t>Myndighetens gemensamma kostnader består av kostnader för myndighetens ledning (inklusive det parl</w:t>
      </w:r>
      <w:r w:rsidR="00F32CCD" w:rsidRPr="00BA7C9E">
        <w:t>a</w:t>
      </w:r>
      <w:r w:rsidR="00F32CCD" w:rsidRPr="00BA7C9E">
        <w:t>mentariska rådet och</w:t>
      </w:r>
      <w:r w:rsidRPr="00BA7C9E">
        <w:t xml:space="preserve"> v</w:t>
      </w:r>
      <w:r w:rsidR="00F32CCD" w:rsidRPr="00BA7C9E">
        <w:t>etenskapliga rådet) och administration, lokaler, utrus</w:t>
      </w:r>
      <w:r w:rsidR="00F32CCD" w:rsidRPr="00BA7C9E">
        <w:t>t</w:t>
      </w:r>
      <w:r w:rsidR="00F32CCD" w:rsidRPr="00BA7C9E">
        <w:t xml:space="preserve">ning, inventarier, utbildningskostnader, förvaltningskostnader samt kostnader för verksamhetsutveckling m.m. Enhetsgemensamma kostnader är ledning och administration av verksamheten på enhetsnivå, kursavgifter och övriga personalkostnader. </w:t>
      </w:r>
    </w:p>
    <w:p w:rsidR="006811EA" w:rsidRPr="00BA7C9E" w:rsidRDefault="00F32CCD" w:rsidP="006811EA">
      <w:pPr>
        <w:spacing w:before="0"/>
        <w:ind w:firstLine="227"/>
        <w:jc w:val="left"/>
      </w:pPr>
      <w:r w:rsidRPr="00BA7C9E">
        <w:t xml:space="preserve">Utbetalningar av bidrag som finansieras med anslag 1:5 Riksrevisionen: Internationellt utvecklingssamarbete under utgiftsområde 7 Internationellt bistånd redovisas som transferering i resultaträkningen. </w:t>
      </w:r>
    </w:p>
    <w:p w:rsidR="006200C1" w:rsidRPr="00BA7C9E" w:rsidRDefault="006200C1" w:rsidP="006200C1">
      <w:pPr>
        <w:pStyle w:val="Normaltindrag"/>
      </w:pPr>
    </w:p>
    <w:p w:rsidR="00F32CCD" w:rsidRPr="00BA7C9E" w:rsidRDefault="00EC51A7" w:rsidP="00C449F5">
      <w:pPr>
        <w:pStyle w:val="R4"/>
        <w:spacing w:before="0"/>
        <w:rPr>
          <w:lang w:eastAsia="en-US"/>
        </w:rPr>
      </w:pPr>
      <w:r w:rsidRPr="00BA7C9E">
        <w:rPr>
          <w:lang w:eastAsia="en-US"/>
        </w:rPr>
        <w:br w:type="page"/>
      </w:r>
      <w:r w:rsidR="00F32CCD" w:rsidRPr="00BA7C9E">
        <w:rPr>
          <w:lang w:eastAsia="en-US"/>
        </w:rPr>
        <w:t>Värderingsprinciper</w:t>
      </w:r>
    </w:p>
    <w:p w:rsidR="00F32CCD" w:rsidRPr="00BA7C9E" w:rsidRDefault="00F32CCD" w:rsidP="00F32CCD">
      <w:pPr>
        <w:keepNext/>
        <w:spacing w:before="0" w:line="200" w:lineRule="atLeast"/>
        <w:jc w:val="left"/>
        <w:outlineLvl w:val="5"/>
        <w:rPr>
          <w:sz w:val="18"/>
          <w:szCs w:val="18"/>
          <w:lang w:eastAsia="en-US"/>
        </w:rPr>
      </w:pPr>
    </w:p>
    <w:p w:rsidR="00F32CCD" w:rsidRPr="00BA7C9E" w:rsidRDefault="00F32CCD" w:rsidP="002F1DC1">
      <w:pPr>
        <w:pStyle w:val="R6"/>
      </w:pPr>
      <w:r w:rsidRPr="00BA7C9E">
        <w:t xml:space="preserve">Anläggningstillgångar </w:t>
      </w:r>
    </w:p>
    <w:p w:rsidR="00F32CCD" w:rsidRPr="00BA7C9E" w:rsidRDefault="00F32CCD" w:rsidP="00F32CCD">
      <w:pPr>
        <w:rPr>
          <w:szCs w:val="19"/>
          <w:lang w:eastAsia="en-US"/>
        </w:rPr>
      </w:pPr>
      <w:r w:rsidRPr="00BA7C9E">
        <w:rPr>
          <w:sz w:val="18"/>
          <w:szCs w:val="18"/>
        </w:rPr>
        <w:t>Tillgångar med en bedömd ekonomisk livslängd om minst tre år och ett anskaf</w:t>
      </w:r>
      <w:r w:rsidRPr="00BA7C9E">
        <w:rPr>
          <w:sz w:val="18"/>
          <w:szCs w:val="18"/>
        </w:rPr>
        <w:t>f</w:t>
      </w:r>
      <w:r w:rsidRPr="00BA7C9E">
        <w:rPr>
          <w:sz w:val="18"/>
          <w:szCs w:val="18"/>
        </w:rPr>
        <w:t>ningsvärde på minst 20 tkr redovisas som anläggningstillgång.</w:t>
      </w:r>
      <w:r w:rsidRPr="00BA7C9E">
        <w:rPr>
          <w:szCs w:val="19"/>
          <w:lang w:eastAsia="en-US"/>
        </w:rPr>
        <w:t xml:space="preserve"> För förbättring</w:t>
      </w:r>
      <w:r w:rsidRPr="00BA7C9E">
        <w:rPr>
          <w:szCs w:val="19"/>
          <w:lang w:eastAsia="en-US"/>
        </w:rPr>
        <w:t>s</w:t>
      </w:r>
      <w:r w:rsidRPr="00BA7C9E">
        <w:rPr>
          <w:szCs w:val="19"/>
          <w:lang w:eastAsia="en-US"/>
        </w:rPr>
        <w:t>utgifter på annans fastighet gäller för ny-, till- och ombyggnationer att a</w:t>
      </w:r>
      <w:r w:rsidRPr="00BA7C9E">
        <w:rPr>
          <w:szCs w:val="19"/>
          <w:lang w:eastAsia="en-US"/>
        </w:rPr>
        <w:t>n</w:t>
      </w:r>
      <w:r w:rsidRPr="00BA7C9E">
        <w:rPr>
          <w:szCs w:val="19"/>
          <w:lang w:eastAsia="en-US"/>
        </w:rPr>
        <w:t xml:space="preserve">skaffningsvärdet ska uppgå till minst 100 tkr för att aktiveras. Balanserade utgifter för utveckling aktiveras om anskaffningsvärdet uppgår till minst </w:t>
      </w:r>
    </w:p>
    <w:p w:rsidR="00F32CCD" w:rsidRPr="00BA7C9E" w:rsidRDefault="00F32CCD" w:rsidP="00F32CCD">
      <w:pPr>
        <w:rPr>
          <w:szCs w:val="19"/>
          <w:lang w:eastAsia="en-US"/>
        </w:rPr>
      </w:pPr>
      <w:r w:rsidRPr="00BA7C9E">
        <w:rPr>
          <w:szCs w:val="19"/>
          <w:lang w:eastAsia="en-US"/>
        </w:rPr>
        <w:t>300 tkr. Följande avskrivningstider tillämpas:</w:t>
      </w:r>
    </w:p>
    <w:p w:rsidR="00F32CCD" w:rsidRPr="00BA7C9E" w:rsidRDefault="00F32CCD" w:rsidP="00F32CCD">
      <w:pPr>
        <w:spacing w:before="0"/>
        <w:ind w:firstLine="227"/>
        <w:rPr>
          <w:lang w:eastAsia="en-US"/>
        </w:rPr>
      </w:pPr>
    </w:p>
    <w:tbl>
      <w:tblPr>
        <w:tblW w:w="5954" w:type="dxa"/>
        <w:tblInd w:w="108" w:type="dxa"/>
        <w:tblLayout w:type="fixed"/>
        <w:tblLook w:val="0000" w:firstRow="0" w:lastRow="0" w:firstColumn="0" w:lastColumn="0" w:noHBand="0" w:noVBand="0"/>
      </w:tblPr>
      <w:tblGrid>
        <w:gridCol w:w="988"/>
        <w:gridCol w:w="4966"/>
      </w:tblGrid>
      <w:tr w:rsidR="00F32CCD" w:rsidRPr="00BA7C9E" w:rsidTr="00F32CCD">
        <w:trPr>
          <w:trHeight w:val="57"/>
        </w:trPr>
        <w:tc>
          <w:tcPr>
            <w:tcW w:w="959" w:type="dxa"/>
          </w:tcPr>
          <w:p w:rsidR="00F32CCD" w:rsidRPr="00BA7C9E" w:rsidRDefault="00F32CCD" w:rsidP="00F32CCD">
            <w:pPr>
              <w:rPr>
                <w:szCs w:val="19"/>
              </w:rPr>
            </w:pPr>
            <w:r w:rsidRPr="00BA7C9E">
              <w:rPr>
                <w:szCs w:val="19"/>
              </w:rPr>
              <w:t>3–5 år</w:t>
            </w:r>
          </w:p>
        </w:tc>
        <w:tc>
          <w:tcPr>
            <w:tcW w:w="4819" w:type="dxa"/>
          </w:tcPr>
          <w:p w:rsidR="00F32CCD" w:rsidRPr="00BA7C9E" w:rsidRDefault="00F32CCD" w:rsidP="00F32CCD">
            <w:pPr>
              <w:rPr>
                <w:szCs w:val="19"/>
              </w:rPr>
            </w:pPr>
            <w:r w:rsidRPr="00BA7C9E">
              <w:rPr>
                <w:szCs w:val="19"/>
              </w:rPr>
              <w:t xml:space="preserve">Balanserade utgifter för utveckling </w:t>
            </w:r>
          </w:p>
        </w:tc>
      </w:tr>
      <w:tr w:rsidR="00F32CCD" w:rsidRPr="00BA7C9E" w:rsidTr="00F32CCD">
        <w:trPr>
          <w:trHeight w:val="57"/>
        </w:trPr>
        <w:tc>
          <w:tcPr>
            <w:tcW w:w="959" w:type="dxa"/>
          </w:tcPr>
          <w:p w:rsidR="00F32CCD" w:rsidRPr="00BA7C9E" w:rsidRDefault="00F32CCD" w:rsidP="00F32CCD">
            <w:pPr>
              <w:rPr>
                <w:szCs w:val="19"/>
              </w:rPr>
            </w:pPr>
            <w:r w:rsidRPr="00BA7C9E">
              <w:rPr>
                <w:szCs w:val="19"/>
              </w:rPr>
              <w:t>3–5 år</w:t>
            </w:r>
          </w:p>
        </w:tc>
        <w:tc>
          <w:tcPr>
            <w:tcW w:w="4819" w:type="dxa"/>
          </w:tcPr>
          <w:p w:rsidR="00F32CCD" w:rsidRPr="00BA7C9E" w:rsidRDefault="00F32CCD" w:rsidP="00F32CCD">
            <w:pPr>
              <w:rPr>
                <w:szCs w:val="19"/>
              </w:rPr>
            </w:pPr>
            <w:r w:rsidRPr="00BA7C9E">
              <w:rPr>
                <w:szCs w:val="19"/>
              </w:rPr>
              <w:t>Rättigheter och andra immateriella tillgångar</w:t>
            </w:r>
          </w:p>
        </w:tc>
      </w:tr>
      <w:tr w:rsidR="00F32CCD" w:rsidRPr="00BA7C9E" w:rsidTr="00F32CCD">
        <w:trPr>
          <w:trHeight w:val="57"/>
        </w:trPr>
        <w:tc>
          <w:tcPr>
            <w:tcW w:w="959" w:type="dxa"/>
          </w:tcPr>
          <w:p w:rsidR="00F32CCD" w:rsidRPr="00BA7C9E" w:rsidRDefault="00F32CCD" w:rsidP="00F32CCD">
            <w:pPr>
              <w:rPr>
                <w:szCs w:val="19"/>
              </w:rPr>
            </w:pPr>
            <w:r w:rsidRPr="00BA7C9E">
              <w:rPr>
                <w:szCs w:val="19"/>
              </w:rPr>
              <w:t>5 år</w:t>
            </w:r>
            <w:r w:rsidRPr="00BA7C9E">
              <w:rPr>
                <w:vertAlign w:val="superscript"/>
              </w:rPr>
              <w:footnoteReference w:id="19"/>
            </w:r>
          </w:p>
        </w:tc>
        <w:tc>
          <w:tcPr>
            <w:tcW w:w="4819" w:type="dxa"/>
          </w:tcPr>
          <w:p w:rsidR="00F32CCD" w:rsidRPr="00BA7C9E" w:rsidRDefault="00F32CCD" w:rsidP="00F32CCD">
            <w:pPr>
              <w:rPr>
                <w:szCs w:val="19"/>
              </w:rPr>
            </w:pPr>
            <w:r w:rsidRPr="00BA7C9E">
              <w:rPr>
                <w:szCs w:val="19"/>
              </w:rPr>
              <w:t>Förbättringsutgifter på annans fastighet</w:t>
            </w:r>
          </w:p>
        </w:tc>
      </w:tr>
      <w:tr w:rsidR="00F32CCD" w:rsidRPr="00BA7C9E" w:rsidTr="00F32CCD">
        <w:trPr>
          <w:trHeight w:val="57"/>
        </w:trPr>
        <w:tc>
          <w:tcPr>
            <w:tcW w:w="959" w:type="dxa"/>
          </w:tcPr>
          <w:p w:rsidR="00F32CCD" w:rsidRPr="00BA7C9E" w:rsidRDefault="00F32CCD" w:rsidP="00F32CCD">
            <w:pPr>
              <w:rPr>
                <w:szCs w:val="19"/>
              </w:rPr>
            </w:pPr>
            <w:r w:rsidRPr="00BA7C9E">
              <w:rPr>
                <w:szCs w:val="19"/>
              </w:rPr>
              <w:t>5–7 år</w:t>
            </w:r>
          </w:p>
        </w:tc>
        <w:tc>
          <w:tcPr>
            <w:tcW w:w="4819" w:type="dxa"/>
          </w:tcPr>
          <w:p w:rsidR="00F32CCD" w:rsidRPr="00BA7C9E" w:rsidRDefault="00F32CCD" w:rsidP="00F32CCD">
            <w:pPr>
              <w:rPr>
                <w:szCs w:val="19"/>
              </w:rPr>
            </w:pPr>
            <w:r w:rsidRPr="00BA7C9E">
              <w:rPr>
                <w:szCs w:val="19"/>
              </w:rPr>
              <w:t xml:space="preserve">Maskiner, inventarier, installationer m.m. </w:t>
            </w:r>
          </w:p>
        </w:tc>
      </w:tr>
    </w:tbl>
    <w:p w:rsidR="00F32CCD" w:rsidRPr="00BA7C9E" w:rsidRDefault="00F32CCD" w:rsidP="00F32CCD">
      <w:pPr>
        <w:spacing w:before="0"/>
        <w:ind w:firstLine="227"/>
        <w:rPr>
          <w:lang w:eastAsia="en-US"/>
        </w:rPr>
      </w:pPr>
    </w:p>
    <w:p w:rsidR="00F32CCD" w:rsidRPr="00BA7C9E" w:rsidRDefault="00F32CCD" w:rsidP="00F32CCD">
      <w:r w:rsidRPr="00BA7C9E">
        <w:t>På anskaffningsvärdet görs linjär avskrivning. Avskrivningen görs månadsvis och sker från den månad som tillgången tas i bruk.</w:t>
      </w:r>
    </w:p>
    <w:p w:rsidR="00F32CCD" w:rsidRPr="00BA7C9E" w:rsidRDefault="00F32CCD" w:rsidP="00F32CCD">
      <w:pPr>
        <w:keepNext/>
        <w:spacing w:before="0" w:line="200" w:lineRule="atLeast"/>
        <w:jc w:val="left"/>
        <w:outlineLvl w:val="5"/>
        <w:rPr>
          <w:sz w:val="18"/>
          <w:szCs w:val="18"/>
          <w:lang w:eastAsia="en-US"/>
        </w:rPr>
      </w:pPr>
    </w:p>
    <w:p w:rsidR="00F32CCD" w:rsidRPr="00BA7C9E" w:rsidRDefault="00F32CCD" w:rsidP="002F1DC1">
      <w:pPr>
        <w:pStyle w:val="R6"/>
        <w:rPr>
          <w:lang w:eastAsia="en-US"/>
        </w:rPr>
      </w:pPr>
      <w:r w:rsidRPr="00BA7C9E">
        <w:rPr>
          <w:lang w:eastAsia="en-US"/>
        </w:rPr>
        <w:t>Omsättningstillgångar</w:t>
      </w:r>
    </w:p>
    <w:p w:rsidR="00F32CCD" w:rsidRPr="00BA7C9E" w:rsidRDefault="00F32CCD" w:rsidP="00F32CCD">
      <w:pPr>
        <w:rPr>
          <w:lang w:eastAsia="en-US"/>
        </w:rPr>
      </w:pPr>
      <w:r w:rsidRPr="00BA7C9E">
        <w:rPr>
          <w:lang w:eastAsia="en-US"/>
        </w:rPr>
        <w:t xml:space="preserve">Fordringarna har tagits upp till det belopp som efter individuell prövning beräknas bli betalat. </w:t>
      </w:r>
    </w:p>
    <w:p w:rsidR="00F32CCD" w:rsidRPr="00BA7C9E" w:rsidRDefault="00F32CCD" w:rsidP="00F32CCD">
      <w:pPr>
        <w:keepNext/>
        <w:spacing w:before="0" w:line="200" w:lineRule="atLeast"/>
        <w:jc w:val="left"/>
        <w:outlineLvl w:val="5"/>
        <w:rPr>
          <w:sz w:val="18"/>
          <w:szCs w:val="18"/>
          <w:lang w:eastAsia="en-US"/>
        </w:rPr>
      </w:pPr>
    </w:p>
    <w:p w:rsidR="00F32CCD" w:rsidRPr="00BA7C9E" w:rsidRDefault="00F32CCD" w:rsidP="002F1DC1">
      <w:pPr>
        <w:pStyle w:val="R6"/>
        <w:rPr>
          <w:lang w:eastAsia="en-US"/>
        </w:rPr>
      </w:pPr>
      <w:r w:rsidRPr="00BA7C9E">
        <w:rPr>
          <w:lang w:eastAsia="en-US"/>
        </w:rPr>
        <w:t>Skulder</w:t>
      </w:r>
    </w:p>
    <w:p w:rsidR="00F32CCD" w:rsidRPr="00BA7C9E" w:rsidRDefault="00F32CCD" w:rsidP="00F32CCD">
      <w:r w:rsidRPr="00BA7C9E">
        <w:rPr>
          <w:lang w:eastAsia="en-US"/>
        </w:rPr>
        <w:t xml:space="preserve">Skulder har tagits upp till nominellt belopp. </w:t>
      </w:r>
    </w:p>
    <w:p w:rsidR="00F32CCD" w:rsidRPr="00BA7C9E" w:rsidRDefault="00F32CCD" w:rsidP="00F32CCD">
      <w:pPr>
        <w:keepNext/>
        <w:spacing w:before="0" w:line="200" w:lineRule="atLeast"/>
        <w:jc w:val="left"/>
        <w:outlineLvl w:val="5"/>
        <w:rPr>
          <w:sz w:val="18"/>
          <w:szCs w:val="18"/>
          <w:lang w:eastAsia="en-US"/>
        </w:rPr>
      </w:pPr>
    </w:p>
    <w:p w:rsidR="00F32CCD" w:rsidRPr="00BA7C9E" w:rsidRDefault="00F32CCD" w:rsidP="002F1DC1">
      <w:pPr>
        <w:pStyle w:val="R6"/>
        <w:rPr>
          <w:lang w:eastAsia="en-US"/>
        </w:rPr>
      </w:pPr>
      <w:r w:rsidRPr="00BA7C9E">
        <w:rPr>
          <w:lang w:eastAsia="en-US"/>
        </w:rPr>
        <w:t>Brytdag</w:t>
      </w:r>
    </w:p>
    <w:p w:rsidR="00F32CCD" w:rsidRPr="00BA7C9E" w:rsidRDefault="00F32CCD" w:rsidP="00F32CCD">
      <w:r w:rsidRPr="00BA7C9E">
        <w:t>Av 10 § förordningen (2000:606) om myndigheters bokföring framgår det att alla myndigheter ska tillämpa en s.k. brytdag då den löpande bokföringen för perioden ska avslutas. Brytdagen infaller den 5 januari. Efter brytdagen til</w:t>
      </w:r>
      <w:r w:rsidRPr="00BA7C9E">
        <w:t>l</w:t>
      </w:r>
      <w:r w:rsidRPr="00BA7C9E">
        <w:t>förs räkenskaperna främst bokslutstransaktioner innefattande bl.a. perioda</w:t>
      </w:r>
      <w:r w:rsidRPr="00BA7C9E">
        <w:t>v</w:t>
      </w:r>
      <w:r w:rsidRPr="00BA7C9E">
        <w:t>gränsningsposter. Som periodavgränsningspost bokförs förutbetalda kostn</w:t>
      </w:r>
      <w:r w:rsidRPr="00BA7C9E">
        <w:t>a</w:t>
      </w:r>
      <w:r w:rsidRPr="00BA7C9E">
        <w:t xml:space="preserve">der, upplupna intäkter, upplupna kostnader och förutbetalda intäkter vars belopp överstiger 50 tkr. </w:t>
      </w:r>
    </w:p>
    <w:p w:rsidR="00F32CCD" w:rsidRPr="00BA7C9E" w:rsidRDefault="00F32CCD" w:rsidP="00F32CCD">
      <w:pPr>
        <w:keepNext/>
        <w:spacing w:before="0" w:line="200" w:lineRule="atLeast"/>
        <w:jc w:val="left"/>
        <w:outlineLvl w:val="5"/>
        <w:rPr>
          <w:sz w:val="18"/>
          <w:szCs w:val="18"/>
        </w:rPr>
      </w:pPr>
    </w:p>
    <w:p w:rsidR="00F32CCD" w:rsidRPr="00BA7C9E" w:rsidRDefault="00F32CCD" w:rsidP="002F1DC1">
      <w:pPr>
        <w:pStyle w:val="R6"/>
      </w:pPr>
      <w:r w:rsidRPr="00BA7C9E">
        <w:t>Avsättningar</w:t>
      </w:r>
    </w:p>
    <w:p w:rsidR="00F32CCD" w:rsidRPr="00BA7C9E" w:rsidRDefault="00F32CCD" w:rsidP="00F32CCD">
      <w:pPr>
        <w:spacing w:before="0"/>
      </w:pPr>
      <w:r w:rsidRPr="00BA7C9E">
        <w:t>Riksrevisionen har gjort avsättningar för avtalade pensioner till personal som har beviljats delpension, chefspension och förordnandepension.</w:t>
      </w:r>
    </w:p>
    <w:p w:rsidR="00F32CCD" w:rsidRPr="00BA7C9E" w:rsidRDefault="00F32CCD" w:rsidP="00027608">
      <w:pPr>
        <w:pStyle w:val="Rubrik2"/>
        <w:rPr>
          <w:lang w:eastAsia="en-US"/>
        </w:rPr>
      </w:pPr>
      <w:r w:rsidRPr="00BA7C9E">
        <w:br w:type="page"/>
      </w:r>
      <w:bookmarkStart w:id="133" w:name="_Toc191201157"/>
      <w:bookmarkStart w:id="134" w:name="_Toc254267614"/>
      <w:bookmarkStart w:id="135" w:name="_Toc285705864"/>
      <w:bookmarkStart w:id="136" w:name="_Toc318101652"/>
      <w:r w:rsidRPr="00BA7C9E">
        <w:rPr>
          <w:lang w:eastAsia="en-US"/>
        </w:rPr>
        <w:t>Noter</w:t>
      </w:r>
      <w:bookmarkEnd w:id="133"/>
      <w:bookmarkEnd w:id="134"/>
      <w:bookmarkEnd w:id="135"/>
      <w:bookmarkEnd w:id="136"/>
      <w:r w:rsidRPr="00BA7C9E">
        <w:rPr>
          <w:lang w:eastAsia="en-US"/>
        </w:rPr>
        <w:t xml:space="preserve"> </w:t>
      </w:r>
    </w:p>
    <w:p w:rsidR="00F32CCD" w:rsidRPr="00BA7C9E" w:rsidRDefault="00F32CCD" w:rsidP="00F32CCD">
      <w:r w:rsidRPr="00BA7C9E">
        <w:t>(tkr)</w:t>
      </w:r>
    </w:p>
    <w:p w:rsidR="00F32CCD" w:rsidRPr="00BA7C9E" w:rsidRDefault="00F32CCD" w:rsidP="002F1DC1">
      <w:pPr>
        <w:pStyle w:val="R4"/>
      </w:pPr>
      <w:bookmarkStart w:id="137" w:name="_Toc190535515"/>
      <w:bookmarkStart w:id="138" w:name="_Toc190762632"/>
      <w:r w:rsidRPr="00BA7C9E">
        <w:t>Resultaträkning</w:t>
      </w:r>
      <w:bookmarkEnd w:id="137"/>
      <w:bookmarkEnd w:id="138"/>
    </w:p>
    <w:tbl>
      <w:tblPr>
        <w:tblW w:w="7113" w:type="dxa"/>
        <w:tblLayout w:type="fixed"/>
        <w:tblLook w:val="01E0" w:firstRow="1" w:lastRow="1" w:firstColumn="1" w:lastColumn="1" w:noHBand="0" w:noVBand="0"/>
      </w:tblPr>
      <w:tblGrid>
        <w:gridCol w:w="792"/>
        <w:gridCol w:w="3600"/>
        <w:gridCol w:w="907"/>
        <w:gridCol w:w="907"/>
        <w:gridCol w:w="907"/>
      </w:tblGrid>
      <w:tr w:rsidR="00F32CCD" w:rsidRPr="00BA7C9E" w:rsidTr="00F32CCD">
        <w:tc>
          <w:tcPr>
            <w:tcW w:w="792" w:type="dxa"/>
          </w:tcPr>
          <w:p w:rsidR="00F32CCD" w:rsidRPr="00BA7C9E" w:rsidRDefault="00F32CCD" w:rsidP="00F32CCD">
            <w:pPr>
              <w:spacing w:before="120"/>
              <w:jc w:val="center"/>
              <w:rPr>
                <w:b/>
                <w:bCs/>
                <w:szCs w:val="19"/>
              </w:rPr>
            </w:pPr>
            <w:r w:rsidRPr="00BA7C9E">
              <w:rPr>
                <w:b/>
                <w:bCs/>
                <w:szCs w:val="19"/>
              </w:rPr>
              <w:t>Not 1</w:t>
            </w:r>
          </w:p>
        </w:tc>
        <w:tc>
          <w:tcPr>
            <w:tcW w:w="3600" w:type="dxa"/>
          </w:tcPr>
          <w:p w:rsidR="00F32CCD" w:rsidRPr="00BA7C9E" w:rsidRDefault="00F32CCD" w:rsidP="00F32CCD">
            <w:pPr>
              <w:spacing w:before="120" w:line="240" w:lineRule="auto"/>
              <w:jc w:val="left"/>
              <w:rPr>
                <w:b/>
                <w:bCs/>
                <w:szCs w:val="19"/>
              </w:rPr>
            </w:pPr>
            <w:r w:rsidRPr="00BA7C9E">
              <w:rPr>
                <w:b/>
                <w:bCs/>
                <w:szCs w:val="19"/>
              </w:rPr>
              <w:t>Intäkter av avgifter och andra ersät</w:t>
            </w:r>
            <w:r w:rsidRPr="00BA7C9E">
              <w:rPr>
                <w:b/>
                <w:bCs/>
                <w:szCs w:val="19"/>
              </w:rPr>
              <w:t>t</w:t>
            </w:r>
            <w:r w:rsidRPr="00BA7C9E">
              <w:rPr>
                <w:b/>
                <w:bCs/>
                <w:szCs w:val="19"/>
              </w:rPr>
              <w:t>ningar</w:t>
            </w:r>
          </w:p>
        </w:tc>
        <w:tc>
          <w:tcPr>
            <w:tcW w:w="907" w:type="dxa"/>
          </w:tcPr>
          <w:p w:rsidR="00F32CCD" w:rsidRPr="00BA7C9E" w:rsidRDefault="00F32CCD" w:rsidP="00F32CCD">
            <w:pPr>
              <w:spacing w:before="120" w:line="240" w:lineRule="auto"/>
              <w:jc w:val="right"/>
              <w:rPr>
                <w:b/>
                <w:bCs/>
                <w:szCs w:val="19"/>
              </w:rPr>
            </w:pPr>
            <w:r w:rsidRPr="00BA7C9E">
              <w:rPr>
                <w:b/>
                <w:bCs/>
                <w:szCs w:val="19"/>
              </w:rPr>
              <w:t>2011</w:t>
            </w:r>
          </w:p>
        </w:tc>
        <w:tc>
          <w:tcPr>
            <w:tcW w:w="907" w:type="dxa"/>
          </w:tcPr>
          <w:p w:rsidR="00F32CCD" w:rsidRPr="00BA7C9E" w:rsidRDefault="00F32CCD" w:rsidP="00F32CCD">
            <w:pPr>
              <w:spacing w:before="120" w:line="240" w:lineRule="auto"/>
              <w:jc w:val="right"/>
              <w:rPr>
                <w:b/>
                <w:bCs/>
                <w:szCs w:val="19"/>
              </w:rPr>
            </w:pPr>
            <w:r w:rsidRPr="00BA7C9E">
              <w:rPr>
                <w:b/>
                <w:bCs/>
                <w:szCs w:val="19"/>
              </w:rPr>
              <w:t>2010</w:t>
            </w:r>
          </w:p>
        </w:tc>
        <w:tc>
          <w:tcPr>
            <w:tcW w:w="907" w:type="dxa"/>
          </w:tcPr>
          <w:p w:rsidR="00F32CCD" w:rsidRPr="00BA7C9E" w:rsidRDefault="00F32CCD" w:rsidP="00F32CCD">
            <w:pPr>
              <w:spacing w:before="120" w:line="240" w:lineRule="auto"/>
              <w:jc w:val="right"/>
              <w:rPr>
                <w:b/>
                <w:bCs/>
                <w:szCs w:val="19"/>
              </w:rPr>
            </w:pPr>
          </w:p>
        </w:tc>
      </w:tr>
      <w:tr w:rsidR="00F32CCD" w:rsidRPr="00BA7C9E" w:rsidTr="00F32CCD">
        <w:tc>
          <w:tcPr>
            <w:tcW w:w="792" w:type="dxa"/>
          </w:tcPr>
          <w:p w:rsidR="00F32CCD" w:rsidRPr="00BA7C9E" w:rsidRDefault="00F32CCD" w:rsidP="00F32CCD">
            <w:pPr>
              <w:spacing w:before="0"/>
            </w:pPr>
          </w:p>
        </w:tc>
        <w:tc>
          <w:tcPr>
            <w:tcW w:w="3600" w:type="dxa"/>
          </w:tcPr>
          <w:p w:rsidR="00F32CCD" w:rsidRPr="00BA7C9E" w:rsidRDefault="00F32CCD" w:rsidP="00F32CCD">
            <w:pPr>
              <w:spacing w:before="0" w:line="240" w:lineRule="auto"/>
              <w:jc w:val="left"/>
              <w:rPr>
                <w:szCs w:val="19"/>
              </w:rPr>
            </w:pPr>
            <w:r w:rsidRPr="00BA7C9E">
              <w:rPr>
                <w:szCs w:val="19"/>
              </w:rPr>
              <w:t>Intäkter av uppdragsverksamhet</w:t>
            </w:r>
          </w:p>
        </w:tc>
        <w:tc>
          <w:tcPr>
            <w:tcW w:w="907" w:type="dxa"/>
            <w:vAlign w:val="bottom"/>
          </w:tcPr>
          <w:p w:rsidR="00F32CCD" w:rsidRPr="00BA7C9E" w:rsidRDefault="00F32CCD" w:rsidP="00F32CCD">
            <w:pPr>
              <w:spacing w:before="0" w:line="240" w:lineRule="auto"/>
              <w:jc w:val="right"/>
              <w:rPr>
                <w:szCs w:val="19"/>
              </w:rPr>
            </w:pPr>
            <w:r w:rsidRPr="00BA7C9E">
              <w:rPr>
                <w:szCs w:val="19"/>
              </w:rPr>
              <w:t>59</w:t>
            </w:r>
          </w:p>
        </w:tc>
        <w:tc>
          <w:tcPr>
            <w:tcW w:w="907" w:type="dxa"/>
            <w:vAlign w:val="bottom"/>
          </w:tcPr>
          <w:p w:rsidR="00F32CCD" w:rsidRPr="00BA7C9E" w:rsidRDefault="00F32CCD" w:rsidP="00F32CCD">
            <w:pPr>
              <w:spacing w:before="0" w:line="240" w:lineRule="auto"/>
              <w:jc w:val="right"/>
              <w:rPr>
                <w:szCs w:val="19"/>
              </w:rPr>
            </w:pPr>
            <w:r w:rsidRPr="00BA7C9E">
              <w:rPr>
                <w:szCs w:val="19"/>
              </w:rPr>
              <w:t>105</w:t>
            </w:r>
          </w:p>
        </w:tc>
        <w:tc>
          <w:tcPr>
            <w:tcW w:w="907" w:type="dxa"/>
            <w:vAlign w:val="bottom"/>
          </w:tcPr>
          <w:p w:rsidR="00F32CCD" w:rsidRPr="00BA7C9E" w:rsidRDefault="00F32CCD" w:rsidP="00F32CCD">
            <w:pPr>
              <w:spacing w:before="0" w:line="240" w:lineRule="auto"/>
              <w:jc w:val="right"/>
              <w:rPr>
                <w:szCs w:val="19"/>
              </w:rPr>
            </w:pPr>
          </w:p>
        </w:tc>
      </w:tr>
      <w:tr w:rsidR="00F32CCD" w:rsidRPr="00BA7C9E" w:rsidTr="00F32CCD">
        <w:tc>
          <w:tcPr>
            <w:tcW w:w="792" w:type="dxa"/>
          </w:tcPr>
          <w:p w:rsidR="00F32CCD" w:rsidRPr="00BA7C9E" w:rsidRDefault="00F32CCD" w:rsidP="00F32CCD">
            <w:pPr>
              <w:spacing w:before="0"/>
            </w:pPr>
          </w:p>
        </w:tc>
        <w:tc>
          <w:tcPr>
            <w:tcW w:w="3600" w:type="dxa"/>
          </w:tcPr>
          <w:p w:rsidR="00F32CCD" w:rsidRPr="00BA7C9E" w:rsidRDefault="00F32CCD" w:rsidP="00F32CCD">
            <w:pPr>
              <w:spacing w:before="0" w:line="240" w:lineRule="auto"/>
              <w:rPr>
                <w:szCs w:val="19"/>
              </w:rPr>
            </w:pPr>
            <w:r w:rsidRPr="00BA7C9E">
              <w:rPr>
                <w:szCs w:val="19"/>
              </w:rPr>
              <w:t>Intäkter enligt 18 § ekonomiadministr</w:t>
            </w:r>
            <w:r w:rsidRPr="00BA7C9E">
              <w:rPr>
                <w:szCs w:val="19"/>
              </w:rPr>
              <w:t>a</w:t>
            </w:r>
            <w:r w:rsidRPr="00BA7C9E">
              <w:rPr>
                <w:szCs w:val="19"/>
              </w:rPr>
              <w:t>tionslagen</w:t>
            </w:r>
          </w:p>
        </w:tc>
        <w:tc>
          <w:tcPr>
            <w:tcW w:w="907" w:type="dxa"/>
            <w:vAlign w:val="bottom"/>
          </w:tcPr>
          <w:p w:rsidR="00F32CCD" w:rsidRPr="00BA7C9E" w:rsidRDefault="00F32CCD" w:rsidP="00F32CCD">
            <w:pPr>
              <w:spacing w:before="0" w:line="240" w:lineRule="auto"/>
              <w:jc w:val="right"/>
              <w:rPr>
                <w:szCs w:val="19"/>
              </w:rPr>
            </w:pPr>
            <w:r w:rsidRPr="00BA7C9E">
              <w:rPr>
                <w:szCs w:val="19"/>
              </w:rPr>
              <w:t>91</w:t>
            </w:r>
          </w:p>
        </w:tc>
        <w:tc>
          <w:tcPr>
            <w:tcW w:w="907" w:type="dxa"/>
            <w:vAlign w:val="bottom"/>
          </w:tcPr>
          <w:p w:rsidR="00F32CCD" w:rsidRPr="00BA7C9E" w:rsidRDefault="00F32CCD" w:rsidP="00F32CCD">
            <w:pPr>
              <w:spacing w:before="0" w:line="240" w:lineRule="auto"/>
              <w:jc w:val="right"/>
              <w:rPr>
                <w:szCs w:val="19"/>
              </w:rPr>
            </w:pPr>
            <w:r w:rsidRPr="00BA7C9E">
              <w:rPr>
                <w:szCs w:val="19"/>
              </w:rPr>
              <w:t>0</w:t>
            </w:r>
          </w:p>
        </w:tc>
        <w:tc>
          <w:tcPr>
            <w:tcW w:w="907" w:type="dxa"/>
            <w:vAlign w:val="bottom"/>
          </w:tcPr>
          <w:p w:rsidR="00F32CCD" w:rsidRPr="00BA7C9E" w:rsidRDefault="00F32CCD" w:rsidP="00F32CCD">
            <w:pPr>
              <w:spacing w:before="0" w:line="240" w:lineRule="auto"/>
              <w:jc w:val="right"/>
              <w:rPr>
                <w:szCs w:val="19"/>
              </w:rPr>
            </w:pPr>
          </w:p>
        </w:tc>
      </w:tr>
      <w:tr w:rsidR="00F32CCD" w:rsidRPr="00BA7C9E" w:rsidTr="00F32CCD">
        <w:tc>
          <w:tcPr>
            <w:tcW w:w="792" w:type="dxa"/>
          </w:tcPr>
          <w:p w:rsidR="00F32CCD" w:rsidRPr="00BA7C9E" w:rsidRDefault="00F32CCD" w:rsidP="00F32CCD">
            <w:pPr>
              <w:spacing w:before="0"/>
            </w:pPr>
          </w:p>
        </w:tc>
        <w:tc>
          <w:tcPr>
            <w:tcW w:w="3600" w:type="dxa"/>
          </w:tcPr>
          <w:p w:rsidR="00F32CCD" w:rsidRPr="00BA7C9E" w:rsidRDefault="00F32CCD" w:rsidP="00F32CCD">
            <w:pPr>
              <w:spacing w:before="0" w:line="240" w:lineRule="auto"/>
              <w:rPr>
                <w:szCs w:val="19"/>
              </w:rPr>
            </w:pPr>
            <w:r w:rsidRPr="00BA7C9E">
              <w:rPr>
                <w:szCs w:val="19"/>
              </w:rPr>
              <w:t>Övriga intäkter av avgifter och andra ersät</w:t>
            </w:r>
            <w:r w:rsidRPr="00BA7C9E">
              <w:rPr>
                <w:szCs w:val="19"/>
              </w:rPr>
              <w:t>t</w:t>
            </w:r>
            <w:r w:rsidRPr="00BA7C9E">
              <w:rPr>
                <w:szCs w:val="19"/>
              </w:rPr>
              <w:t>ningar</w:t>
            </w:r>
          </w:p>
        </w:tc>
        <w:tc>
          <w:tcPr>
            <w:tcW w:w="907" w:type="dxa"/>
            <w:vAlign w:val="bottom"/>
          </w:tcPr>
          <w:p w:rsidR="00F32CCD" w:rsidRPr="00BA7C9E" w:rsidRDefault="00F32CCD" w:rsidP="00F32CCD">
            <w:pPr>
              <w:spacing w:before="0" w:line="240" w:lineRule="auto"/>
              <w:jc w:val="right"/>
              <w:rPr>
                <w:szCs w:val="19"/>
              </w:rPr>
            </w:pPr>
            <w:r w:rsidRPr="00BA7C9E">
              <w:rPr>
                <w:szCs w:val="19"/>
              </w:rPr>
              <w:t>423</w:t>
            </w:r>
          </w:p>
        </w:tc>
        <w:tc>
          <w:tcPr>
            <w:tcW w:w="907" w:type="dxa"/>
            <w:vAlign w:val="bottom"/>
          </w:tcPr>
          <w:p w:rsidR="00F32CCD" w:rsidRPr="00BA7C9E" w:rsidRDefault="00F32CCD" w:rsidP="00F32CCD">
            <w:pPr>
              <w:spacing w:before="0" w:line="240" w:lineRule="auto"/>
              <w:jc w:val="right"/>
              <w:rPr>
                <w:szCs w:val="19"/>
              </w:rPr>
            </w:pPr>
            <w:r w:rsidRPr="00BA7C9E">
              <w:rPr>
                <w:szCs w:val="19"/>
              </w:rPr>
              <w:t>503</w:t>
            </w:r>
          </w:p>
        </w:tc>
        <w:tc>
          <w:tcPr>
            <w:tcW w:w="907" w:type="dxa"/>
            <w:vAlign w:val="bottom"/>
          </w:tcPr>
          <w:p w:rsidR="00F32CCD" w:rsidRPr="00BA7C9E" w:rsidRDefault="00F32CCD" w:rsidP="00F32CCD">
            <w:pPr>
              <w:spacing w:before="0" w:line="240" w:lineRule="auto"/>
              <w:jc w:val="right"/>
              <w:rPr>
                <w:szCs w:val="19"/>
              </w:rPr>
            </w:pPr>
          </w:p>
        </w:tc>
      </w:tr>
      <w:tr w:rsidR="00F32CCD" w:rsidRPr="00BA7C9E" w:rsidTr="00F32CCD">
        <w:tc>
          <w:tcPr>
            <w:tcW w:w="792" w:type="dxa"/>
          </w:tcPr>
          <w:p w:rsidR="00F32CCD" w:rsidRPr="00BA7C9E" w:rsidRDefault="00F32CCD" w:rsidP="00F32CCD">
            <w:pPr>
              <w:spacing w:before="0"/>
            </w:pPr>
          </w:p>
        </w:tc>
        <w:tc>
          <w:tcPr>
            <w:tcW w:w="3600" w:type="dxa"/>
          </w:tcPr>
          <w:p w:rsidR="00F32CCD" w:rsidRPr="00BA7C9E" w:rsidRDefault="00F32CCD" w:rsidP="00F32CCD">
            <w:pPr>
              <w:spacing w:before="0" w:line="240" w:lineRule="auto"/>
              <w:rPr>
                <w:szCs w:val="19"/>
              </w:rPr>
            </w:pPr>
            <w:r w:rsidRPr="00BA7C9E">
              <w:rPr>
                <w:szCs w:val="19"/>
              </w:rPr>
              <w:t>Reavinst från försäljning av materiella anläggningstillgångar</w:t>
            </w:r>
          </w:p>
        </w:tc>
        <w:tc>
          <w:tcPr>
            <w:tcW w:w="907" w:type="dxa"/>
            <w:vAlign w:val="bottom"/>
          </w:tcPr>
          <w:p w:rsidR="00F32CCD" w:rsidRPr="00BA7C9E" w:rsidRDefault="00F32CCD" w:rsidP="00F32CCD">
            <w:pPr>
              <w:spacing w:before="0" w:line="240" w:lineRule="auto"/>
              <w:jc w:val="right"/>
              <w:rPr>
                <w:szCs w:val="19"/>
              </w:rPr>
            </w:pPr>
            <w:r w:rsidRPr="00BA7C9E">
              <w:rPr>
                <w:szCs w:val="19"/>
              </w:rPr>
              <w:t>0</w:t>
            </w:r>
          </w:p>
        </w:tc>
        <w:tc>
          <w:tcPr>
            <w:tcW w:w="907" w:type="dxa"/>
            <w:vAlign w:val="bottom"/>
          </w:tcPr>
          <w:p w:rsidR="00F32CCD" w:rsidRPr="00BA7C9E" w:rsidRDefault="00F32CCD" w:rsidP="00F32CCD">
            <w:pPr>
              <w:spacing w:before="0" w:line="240" w:lineRule="auto"/>
              <w:jc w:val="right"/>
              <w:rPr>
                <w:szCs w:val="19"/>
              </w:rPr>
            </w:pPr>
            <w:r w:rsidRPr="00BA7C9E">
              <w:rPr>
                <w:szCs w:val="19"/>
              </w:rPr>
              <w:t>261</w:t>
            </w:r>
          </w:p>
        </w:tc>
        <w:tc>
          <w:tcPr>
            <w:tcW w:w="907" w:type="dxa"/>
            <w:vAlign w:val="bottom"/>
          </w:tcPr>
          <w:p w:rsidR="00F32CCD" w:rsidRPr="00BA7C9E" w:rsidRDefault="00F32CCD" w:rsidP="00F32CCD">
            <w:pPr>
              <w:spacing w:before="0" w:line="240" w:lineRule="auto"/>
              <w:jc w:val="right"/>
              <w:rPr>
                <w:szCs w:val="19"/>
              </w:rPr>
            </w:pPr>
          </w:p>
        </w:tc>
      </w:tr>
      <w:tr w:rsidR="00F32CCD" w:rsidRPr="00BA7C9E" w:rsidTr="00F32CCD">
        <w:tc>
          <w:tcPr>
            <w:tcW w:w="792" w:type="dxa"/>
          </w:tcPr>
          <w:p w:rsidR="00F32CCD" w:rsidRPr="00BA7C9E" w:rsidRDefault="00F32CCD" w:rsidP="00F32CCD">
            <w:pPr>
              <w:rPr>
                <w:b/>
                <w:i/>
              </w:rPr>
            </w:pPr>
          </w:p>
        </w:tc>
        <w:tc>
          <w:tcPr>
            <w:tcW w:w="3600" w:type="dxa"/>
          </w:tcPr>
          <w:p w:rsidR="00F32CCD" w:rsidRPr="00BA7C9E" w:rsidRDefault="00F32CCD" w:rsidP="00F32CCD">
            <w:pPr>
              <w:rPr>
                <w:b/>
                <w:i/>
              </w:rPr>
            </w:pPr>
            <w:r w:rsidRPr="00BA7C9E">
              <w:rPr>
                <w:b/>
                <w:i/>
              </w:rPr>
              <w:t>Summa</w:t>
            </w:r>
          </w:p>
        </w:tc>
        <w:tc>
          <w:tcPr>
            <w:tcW w:w="907" w:type="dxa"/>
            <w:vAlign w:val="bottom"/>
          </w:tcPr>
          <w:p w:rsidR="00F32CCD" w:rsidRPr="00BA7C9E" w:rsidRDefault="00F32CCD" w:rsidP="00F32CCD">
            <w:pPr>
              <w:jc w:val="right"/>
              <w:rPr>
                <w:b/>
                <w:i/>
              </w:rPr>
            </w:pPr>
            <w:r w:rsidRPr="00BA7C9E">
              <w:rPr>
                <w:b/>
                <w:i/>
              </w:rPr>
              <w:t>573</w:t>
            </w:r>
          </w:p>
        </w:tc>
        <w:tc>
          <w:tcPr>
            <w:tcW w:w="907" w:type="dxa"/>
            <w:vAlign w:val="bottom"/>
          </w:tcPr>
          <w:p w:rsidR="00F32CCD" w:rsidRPr="00BA7C9E" w:rsidRDefault="00F32CCD" w:rsidP="00F32CCD">
            <w:pPr>
              <w:jc w:val="right"/>
              <w:rPr>
                <w:b/>
                <w:i/>
              </w:rPr>
            </w:pPr>
            <w:r w:rsidRPr="00BA7C9E">
              <w:rPr>
                <w:b/>
                <w:i/>
              </w:rPr>
              <w:t>869</w:t>
            </w:r>
          </w:p>
        </w:tc>
        <w:tc>
          <w:tcPr>
            <w:tcW w:w="907" w:type="dxa"/>
            <w:vAlign w:val="bottom"/>
          </w:tcPr>
          <w:p w:rsidR="00F32CCD" w:rsidRPr="00BA7C9E" w:rsidRDefault="00F32CCD" w:rsidP="00F32CCD">
            <w:pPr>
              <w:jc w:val="right"/>
              <w:rPr>
                <w:b/>
                <w:i/>
              </w:rPr>
            </w:pPr>
          </w:p>
        </w:tc>
      </w:tr>
    </w:tbl>
    <w:p w:rsidR="00F32CCD" w:rsidRPr="00BA7C9E" w:rsidRDefault="00F32CCD" w:rsidP="00F32CCD">
      <w:pPr>
        <w:spacing w:before="0"/>
        <w:rPr>
          <w:sz w:val="16"/>
        </w:rPr>
      </w:pPr>
    </w:p>
    <w:tbl>
      <w:tblPr>
        <w:tblW w:w="6210" w:type="dxa"/>
        <w:tblLayout w:type="fixed"/>
        <w:tblLook w:val="01E0" w:firstRow="1" w:lastRow="1" w:firstColumn="1" w:lastColumn="1" w:noHBand="0" w:noVBand="0"/>
      </w:tblPr>
      <w:tblGrid>
        <w:gridCol w:w="794"/>
        <w:gridCol w:w="3599"/>
        <w:gridCol w:w="908"/>
        <w:gridCol w:w="909"/>
      </w:tblGrid>
      <w:tr w:rsidR="00F32CCD" w:rsidRPr="00BA7C9E" w:rsidTr="00F32CCD">
        <w:tc>
          <w:tcPr>
            <w:tcW w:w="794" w:type="dxa"/>
            <w:shd w:val="clear" w:color="000000" w:fill="FFFFFF"/>
          </w:tcPr>
          <w:p w:rsidR="00F32CCD" w:rsidRPr="00BA7C9E" w:rsidRDefault="00F32CCD" w:rsidP="00F32CCD">
            <w:pPr>
              <w:rPr>
                <w:b/>
              </w:rPr>
            </w:pPr>
            <w:r w:rsidRPr="00BA7C9E">
              <w:rPr>
                <w:b/>
              </w:rPr>
              <w:t>Not 2</w:t>
            </w:r>
          </w:p>
        </w:tc>
        <w:tc>
          <w:tcPr>
            <w:tcW w:w="3599" w:type="dxa"/>
            <w:shd w:val="clear" w:color="000000" w:fill="FFFFFF"/>
          </w:tcPr>
          <w:p w:rsidR="00F32CCD" w:rsidRPr="00BA7C9E" w:rsidRDefault="00F32CCD" w:rsidP="00F32CCD">
            <w:pPr>
              <w:rPr>
                <w:b/>
              </w:rPr>
            </w:pPr>
            <w:r w:rsidRPr="00BA7C9E">
              <w:rPr>
                <w:b/>
              </w:rPr>
              <w:t>Finansiella intäkter</w:t>
            </w:r>
          </w:p>
        </w:tc>
        <w:tc>
          <w:tcPr>
            <w:tcW w:w="908" w:type="dxa"/>
            <w:shd w:val="clear" w:color="000000" w:fill="FFFFFF"/>
          </w:tcPr>
          <w:p w:rsidR="00F32CCD" w:rsidRPr="00BA7C9E" w:rsidRDefault="00F32CCD" w:rsidP="00F32CCD">
            <w:pPr>
              <w:jc w:val="right"/>
              <w:rPr>
                <w:b/>
              </w:rPr>
            </w:pPr>
            <w:r w:rsidRPr="00BA7C9E">
              <w:rPr>
                <w:b/>
              </w:rPr>
              <w:t>2011</w:t>
            </w:r>
          </w:p>
        </w:tc>
        <w:tc>
          <w:tcPr>
            <w:tcW w:w="909" w:type="dxa"/>
            <w:shd w:val="clear" w:color="000000" w:fill="FFFFFF"/>
          </w:tcPr>
          <w:p w:rsidR="00F32CCD" w:rsidRPr="00BA7C9E" w:rsidRDefault="00F32CCD" w:rsidP="00F32CCD">
            <w:pPr>
              <w:jc w:val="right"/>
              <w:rPr>
                <w:b/>
              </w:rPr>
            </w:pPr>
            <w:r w:rsidRPr="00BA7C9E">
              <w:rPr>
                <w:b/>
              </w:rPr>
              <w:t>2010</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vAlign w:val="bottom"/>
          </w:tcPr>
          <w:p w:rsidR="00F32CCD" w:rsidRPr="00BA7C9E" w:rsidRDefault="00F32CCD" w:rsidP="00F32CCD">
            <w:pPr>
              <w:jc w:val="left"/>
            </w:pPr>
            <w:r w:rsidRPr="00BA7C9E">
              <w:t>Ränteintäkter avseende räntekontot i Rik</w:t>
            </w:r>
            <w:r w:rsidRPr="00BA7C9E">
              <w:t>s</w:t>
            </w:r>
            <w:r w:rsidRPr="00BA7C9E">
              <w:t>gäldskontoret</w:t>
            </w:r>
          </w:p>
        </w:tc>
        <w:tc>
          <w:tcPr>
            <w:tcW w:w="908" w:type="dxa"/>
            <w:shd w:val="clear" w:color="000000" w:fill="FFFFFF"/>
            <w:vAlign w:val="bottom"/>
          </w:tcPr>
          <w:p w:rsidR="00F32CCD" w:rsidRPr="00BA7C9E" w:rsidRDefault="00F32CCD" w:rsidP="00F32CCD">
            <w:pPr>
              <w:jc w:val="right"/>
              <w:rPr>
                <w:szCs w:val="19"/>
              </w:rPr>
            </w:pPr>
            <w:r w:rsidRPr="00BA7C9E">
              <w:rPr>
                <w:szCs w:val="19"/>
              </w:rPr>
              <w:t>788</w:t>
            </w:r>
          </w:p>
        </w:tc>
        <w:tc>
          <w:tcPr>
            <w:tcW w:w="909" w:type="dxa"/>
            <w:shd w:val="clear" w:color="000000" w:fill="FFFFFF"/>
            <w:vAlign w:val="bottom"/>
          </w:tcPr>
          <w:p w:rsidR="00F32CCD" w:rsidRPr="00BA7C9E" w:rsidRDefault="00F32CCD" w:rsidP="00F32CCD">
            <w:pPr>
              <w:jc w:val="right"/>
              <w:rPr>
                <w:szCs w:val="19"/>
              </w:rPr>
            </w:pPr>
            <w:r w:rsidRPr="00BA7C9E">
              <w:rPr>
                <w:szCs w:val="19"/>
              </w:rPr>
              <w:t>174</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vAlign w:val="bottom"/>
          </w:tcPr>
          <w:p w:rsidR="00F32CCD" w:rsidRPr="00BA7C9E" w:rsidRDefault="00F32CCD" w:rsidP="00F32CCD">
            <w:pPr>
              <w:jc w:val="left"/>
            </w:pPr>
            <w:r w:rsidRPr="00BA7C9E">
              <w:t>Övriga finansiella intäkter</w:t>
            </w:r>
          </w:p>
        </w:tc>
        <w:tc>
          <w:tcPr>
            <w:tcW w:w="908" w:type="dxa"/>
            <w:shd w:val="clear" w:color="000000" w:fill="FFFFFF"/>
            <w:vAlign w:val="bottom"/>
          </w:tcPr>
          <w:p w:rsidR="00F32CCD" w:rsidRPr="00BA7C9E" w:rsidRDefault="00F32CCD" w:rsidP="00F32CCD">
            <w:pPr>
              <w:jc w:val="right"/>
              <w:rPr>
                <w:szCs w:val="19"/>
              </w:rPr>
            </w:pPr>
            <w:r w:rsidRPr="00BA7C9E">
              <w:rPr>
                <w:szCs w:val="19"/>
              </w:rPr>
              <w:t>108</w:t>
            </w:r>
          </w:p>
        </w:tc>
        <w:tc>
          <w:tcPr>
            <w:tcW w:w="909" w:type="dxa"/>
            <w:shd w:val="clear" w:color="000000" w:fill="FFFFFF"/>
            <w:vAlign w:val="bottom"/>
          </w:tcPr>
          <w:p w:rsidR="00F32CCD" w:rsidRPr="00BA7C9E" w:rsidRDefault="00F32CCD" w:rsidP="00F32CCD">
            <w:pPr>
              <w:jc w:val="right"/>
              <w:rPr>
                <w:szCs w:val="19"/>
              </w:rPr>
            </w:pPr>
            <w:r w:rsidRPr="00BA7C9E">
              <w:rPr>
                <w:szCs w:val="19"/>
              </w:rPr>
              <w:t>192</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vAlign w:val="bottom"/>
          </w:tcPr>
          <w:p w:rsidR="00F32CCD" w:rsidRPr="00BA7C9E" w:rsidRDefault="00F32CCD" w:rsidP="00F32CCD">
            <w:pPr>
              <w:jc w:val="left"/>
            </w:pPr>
            <w:r w:rsidRPr="00BA7C9E">
              <w:rPr>
                <w:b/>
                <w:i/>
              </w:rPr>
              <w:t>Summa</w:t>
            </w:r>
          </w:p>
        </w:tc>
        <w:tc>
          <w:tcPr>
            <w:tcW w:w="908" w:type="dxa"/>
            <w:shd w:val="clear" w:color="000000" w:fill="FFFFFF"/>
            <w:vAlign w:val="bottom"/>
          </w:tcPr>
          <w:p w:rsidR="00F32CCD" w:rsidRPr="00BA7C9E" w:rsidRDefault="00F32CCD" w:rsidP="00F32CCD">
            <w:pPr>
              <w:jc w:val="right"/>
              <w:rPr>
                <w:b/>
                <w:bCs/>
                <w:i/>
                <w:szCs w:val="19"/>
              </w:rPr>
            </w:pPr>
            <w:r w:rsidRPr="00BA7C9E">
              <w:rPr>
                <w:b/>
                <w:bCs/>
                <w:i/>
                <w:szCs w:val="19"/>
              </w:rPr>
              <w:t>896</w:t>
            </w:r>
          </w:p>
        </w:tc>
        <w:tc>
          <w:tcPr>
            <w:tcW w:w="909" w:type="dxa"/>
            <w:shd w:val="clear" w:color="000000" w:fill="FFFFFF"/>
            <w:vAlign w:val="bottom"/>
          </w:tcPr>
          <w:p w:rsidR="00F32CCD" w:rsidRPr="00BA7C9E" w:rsidRDefault="00F32CCD" w:rsidP="00F32CCD">
            <w:pPr>
              <w:jc w:val="right"/>
              <w:rPr>
                <w:b/>
                <w:bCs/>
                <w:i/>
                <w:szCs w:val="19"/>
              </w:rPr>
            </w:pPr>
            <w:r w:rsidRPr="00BA7C9E">
              <w:rPr>
                <w:b/>
                <w:bCs/>
                <w:i/>
                <w:szCs w:val="19"/>
              </w:rPr>
              <w:t>366</w:t>
            </w:r>
          </w:p>
        </w:tc>
      </w:tr>
      <w:tr w:rsidR="00F32CCD" w:rsidRPr="00BA7C9E" w:rsidTr="00F32CCD">
        <w:tc>
          <w:tcPr>
            <w:tcW w:w="794" w:type="dxa"/>
            <w:shd w:val="clear" w:color="000000" w:fill="FFFFFF"/>
          </w:tcPr>
          <w:p w:rsidR="00F32CCD" w:rsidRPr="00BA7C9E" w:rsidRDefault="00F32CCD" w:rsidP="00F32CCD">
            <w:pPr>
              <w:spacing w:before="0"/>
              <w:rPr>
                <w:color w:val="FF0000"/>
              </w:rPr>
            </w:pPr>
          </w:p>
        </w:tc>
        <w:tc>
          <w:tcPr>
            <w:tcW w:w="5416" w:type="dxa"/>
            <w:gridSpan w:val="3"/>
            <w:shd w:val="clear" w:color="000000" w:fill="FFFFFF"/>
          </w:tcPr>
          <w:p w:rsidR="00F32CCD" w:rsidRPr="00BA7C9E" w:rsidRDefault="00F32CCD" w:rsidP="00F32CCD">
            <w:pPr>
              <w:rPr>
                <w:sz w:val="16"/>
                <w:szCs w:val="16"/>
              </w:rPr>
            </w:pPr>
          </w:p>
        </w:tc>
      </w:tr>
      <w:tr w:rsidR="00F32CCD" w:rsidRPr="00BA7C9E" w:rsidTr="00F32CCD">
        <w:tc>
          <w:tcPr>
            <w:tcW w:w="794" w:type="dxa"/>
            <w:shd w:val="clear" w:color="000000" w:fill="FFFFFF"/>
          </w:tcPr>
          <w:p w:rsidR="00F32CCD" w:rsidRPr="00BA7C9E" w:rsidRDefault="00F32CCD" w:rsidP="00F32CCD">
            <w:pPr>
              <w:rPr>
                <w:b/>
              </w:rPr>
            </w:pPr>
            <w:r w:rsidRPr="00BA7C9E">
              <w:rPr>
                <w:b/>
              </w:rPr>
              <w:t>Not 3</w:t>
            </w:r>
          </w:p>
        </w:tc>
        <w:tc>
          <w:tcPr>
            <w:tcW w:w="3599" w:type="dxa"/>
            <w:shd w:val="clear" w:color="000000" w:fill="FFFFFF"/>
          </w:tcPr>
          <w:p w:rsidR="00F32CCD" w:rsidRPr="00BA7C9E" w:rsidRDefault="00F32CCD" w:rsidP="00F32CCD">
            <w:pPr>
              <w:rPr>
                <w:b/>
              </w:rPr>
            </w:pPr>
            <w:r w:rsidRPr="00BA7C9E">
              <w:rPr>
                <w:b/>
              </w:rPr>
              <w:t xml:space="preserve">Kostnader för personal </w:t>
            </w:r>
          </w:p>
        </w:tc>
        <w:tc>
          <w:tcPr>
            <w:tcW w:w="908" w:type="dxa"/>
            <w:shd w:val="clear" w:color="000000" w:fill="FFFFFF"/>
          </w:tcPr>
          <w:p w:rsidR="00F32CCD" w:rsidRPr="00BA7C9E" w:rsidRDefault="00F32CCD" w:rsidP="00F32CCD">
            <w:pPr>
              <w:jc w:val="right"/>
              <w:rPr>
                <w:b/>
              </w:rPr>
            </w:pPr>
            <w:r w:rsidRPr="00BA7C9E">
              <w:rPr>
                <w:b/>
              </w:rPr>
              <w:t>2011</w:t>
            </w:r>
          </w:p>
        </w:tc>
        <w:tc>
          <w:tcPr>
            <w:tcW w:w="909" w:type="dxa"/>
            <w:shd w:val="clear" w:color="000000" w:fill="FFFFFF"/>
          </w:tcPr>
          <w:p w:rsidR="00F32CCD" w:rsidRPr="00BA7C9E" w:rsidRDefault="00F32CCD" w:rsidP="00F32CCD">
            <w:pPr>
              <w:jc w:val="right"/>
              <w:rPr>
                <w:b/>
              </w:rPr>
            </w:pPr>
            <w:r w:rsidRPr="00BA7C9E">
              <w:rPr>
                <w:b/>
              </w:rPr>
              <w:t>2010</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tcPr>
          <w:p w:rsidR="00F32CCD" w:rsidRPr="00BA7C9E" w:rsidRDefault="00F32CCD" w:rsidP="00F32CCD">
            <w:pPr>
              <w:jc w:val="left"/>
            </w:pPr>
            <w:r w:rsidRPr="00BA7C9E">
              <w:t>Lönekostnader exklusive arbetsgivaravgi</w:t>
            </w:r>
            <w:r w:rsidRPr="00BA7C9E">
              <w:t>f</w:t>
            </w:r>
            <w:r w:rsidRPr="00BA7C9E">
              <w:t>ter, pensionspremier och andra avgifter enligt lag och avtal</w:t>
            </w:r>
          </w:p>
        </w:tc>
        <w:tc>
          <w:tcPr>
            <w:tcW w:w="908" w:type="dxa"/>
            <w:shd w:val="clear" w:color="000000" w:fill="FFFFFF"/>
            <w:vAlign w:val="bottom"/>
          </w:tcPr>
          <w:p w:rsidR="00F32CCD" w:rsidRPr="00BA7C9E" w:rsidRDefault="00F32CCD" w:rsidP="00F32CCD">
            <w:pPr>
              <w:jc w:val="right"/>
              <w:rPr>
                <w:szCs w:val="19"/>
              </w:rPr>
            </w:pPr>
            <w:r w:rsidRPr="00BA7C9E">
              <w:rPr>
                <w:szCs w:val="19"/>
              </w:rPr>
              <w:t>151 762</w:t>
            </w:r>
          </w:p>
        </w:tc>
        <w:tc>
          <w:tcPr>
            <w:tcW w:w="909" w:type="dxa"/>
            <w:shd w:val="clear" w:color="000000" w:fill="FFFFFF"/>
            <w:vAlign w:val="bottom"/>
          </w:tcPr>
          <w:p w:rsidR="00F32CCD" w:rsidRPr="00BA7C9E" w:rsidRDefault="00F32CCD" w:rsidP="00F32CCD">
            <w:pPr>
              <w:jc w:val="right"/>
              <w:rPr>
                <w:szCs w:val="19"/>
              </w:rPr>
            </w:pPr>
            <w:r w:rsidRPr="00BA7C9E">
              <w:rPr>
                <w:szCs w:val="19"/>
              </w:rPr>
              <w:t>152 142</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tcPr>
          <w:p w:rsidR="00F32CCD" w:rsidRPr="00BA7C9E" w:rsidRDefault="00F32CCD" w:rsidP="00F32CCD">
            <w:pPr>
              <w:jc w:val="left"/>
            </w:pPr>
            <w:r w:rsidRPr="00BA7C9E">
              <w:t>Arbetsgivaravgifter, pensionspremier, andra avgifter enligt lag och avtal samt övriga personalkostnader</w:t>
            </w:r>
          </w:p>
        </w:tc>
        <w:tc>
          <w:tcPr>
            <w:tcW w:w="908" w:type="dxa"/>
            <w:shd w:val="clear" w:color="000000" w:fill="FFFFFF"/>
            <w:vAlign w:val="bottom"/>
          </w:tcPr>
          <w:p w:rsidR="00F32CCD" w:rsidRPr="00BA7C9E" w:rsidRDefault="00F32CCD" w:rsidP="00F32CCD">
            <w:pPr>
              <w:jc w:val="right"/>
            </w:pPr>
            <w:r w:rsidRPr="00BA7C9E">
              <w:t>88 106</w:t>
            </w:r>
          </w:p>
        </w:tc>
        <w:tc>
          <w:tcPr>
            <w:tcW w:w="909" w:type="dxa"/>
            <w:shd w:val="clear" w:color="000000" w:fill="FFFFFF"/>
            <w:vAlign w:val="bottom"/>
          </w:tcPr>
          <w:p w:rsidR="00F32CCD" w:rsidRPr="00BA7C9E" w:rsidRDefault="00F32CCD" w:rsidP="00F32CCD">
            <w:pPr>
              <w:jc w:val="right"/>
            </w:pPr>
            <w:r w:rsidRPr="00BA7C9E">
              <w:t>92 345</w:t>
            </w:r>
          </w:p>
        </w:tc>
      </w:tr>
      <w:tr w:rsidR="00F32CCD" w:rsidRPr="00BA7C9E" w:rsidTr="00F32CCD">
        <w:tc>
          <w:tcPr>
            <w:tcW w:w="794" w:type="dxa"/>
            <w:shd w:val="clear" w:color="000000" w:fill="FFFFFF"/>
          </w:tcPr>
          <w:p w:rsidR="00F32CCD" w:rsidRPr="00BA7C9E" w:rsidRDefault="00F32CCD" w:rsidP="00F32CCD">
            <w:pPr>
              <w:spacing w:before="0"/>
            </w:pPr>
          </w:p>
        </w:tc>
        <w:tc>
          <w:tcPr>
            <w:tcW w:w="3599" w:type="dxa"/>
            <w:shd w:val="clear" w:color="000000" w:fill="FFFFFF"/>
          </w:tcPr>
          <w:p w:rsidR="00F32CCD" w:rsidRPr="00BA7C9E" w:rsidRDefault="00F32CCD" w:rsidP="00F32CCD">
            <w:pPr>
              <w:jc w:val="left"/>
            </w:pPr>
            <w:r w:rsidRPr="00BA7C9E">
              <w:rPr>
                <w:b/>
                <w:i/>
              </w:rPr>
              <w:t>Summa</w:t>
            </w:r>
          </w:p>
        </w:tc>
        <w:tc>
          <w:tcPr>
            <w:tcW w:w="908" w:type="dxa"/>
            <w:shd w:val="clear" w:color="000000" w:fill="FFFFFF"/>
            <w:vAlign w:val="bottom"/>
          </w:tcPr>
          <w:p w:rsidR="00F32CCD" w:rsidRPr="00BA7C9E" w:rsidRDefault="00F32CCD" w:rsidP="00F32CCD">
            <w:pPr>
              <w:jc w:val="right"/>
              <w:rPr>
                <w:b/>
                <w:i/>
              </w:rPr>
            </w:pPr>
            <w:r w:rsidRPr="00BA7C9E">
              <w:rPr>
                <w:b/>
                <w:i/>
              </w:rPr>
              <w:t>239 868</w:t>
            </w:r>
          </w:p>
        </w:tc>
        <w:tc>
          <w:tcPr>
            <w:tcW w:w="909" w:type="dxa"/>
            <w:shd w:val="clear" w:color="000000" w:fill="FFFFFF"/>
            <w:vAlign w:val="bottom"/>
          </w:tcPr>
          <w:p w:rsidR="00F32CCD" w:rsidRPr="00BA7C9E" w:rsidRDefault="00F32CCD" w:rsidP="00F32CCD">
            <w:pPr>
              <w:jc w:val="right"/>
              <w:rPr>
                <w:b/>
                <w:i/>
              </w:rPr>
            </w:pPr>
            <w:r w:rsidRPr="00BA7C9E">
              <w:rPr>
                <w:b/>
                <w:i/>
              </w:rPr>
              <w:t>244 487</w:t>
            </w:r>
          </w:p>
        </w:tc>
      </w:tr>
      <w:tr w:rsidR="00F32CCD" w:rsidRPr="00BA7C9E" w:rsidTr="00F32CCD">
        <w:trPr>
          <w:trHeight w:val="20"/>
        </w:trPr>
        <w:tc>
          <w:tcPr>
            <w:tcW w:w="794" w:type="dxa"/>
            <w:shd w:val="clear" w:color="000000" w:fill="FFFFFF"/>
          </w:tcPr>
          <w:p w:rsidR="00F32CCD" w:rsidRPr="00BA7C9E" w:rsidRDefault="00F32CCD" w:rsidP="00F32CCD">
            <w:pPr>
              <w:spacing w:before="0"/>
            </w:pPr>
          </w:p>
        </w:tc>
        <w:tc>
          <w:tcPr>
            <w:tcW w:w="5416" w:type="dxa"/>
            <w:gridSpan w:val="3"/>
            <w:shd w:val="clear" w:color="000000" w:fill="FFFFFF"/>
          </w:tcPr>
          <w:p w:rsidR="00F32CCD" w:rsidRPr="00BA7C9E" w:rsidRDefault="00F32CCD" w:rsidP="00F32CCD">
            <w:pPr>
              <w:jc w:val="left"/>
              <w:rPr>
                <w:sz w:val="16"/>
                <w:szCs w:val="16"/>
              </w:rPr>
            </w:pPr>
            <w:r w:rsidRPr="00BA7C9E">
              <w:t xml:space="preserve"> </w:t>
            </w:r>
          </w:p>
        </w:tc>
      </w:tr>
      <w:tr w:rsidR="00F32CCD" w:rsidRPr="00BA7C9E" w:rsidTr="00F32CCD">
        <w:tc>
          <w:tcPr>
            <w:tcW w:w="794" w:type="dxa"/>
            <w:shd w:val="clear" w:color="000000" w:fill="FFFFFF"/>
          </w:tcPr>
          <w:p w:rsidR="00F32CCD" w:rsidRPr="00BA7C9E" w:rsidRDefault="00F32CCD" w:rsidP="00F32CCD">
            <w:pPr>
              <w:rPr>
                <w:b/>
                <w:sz w:val="18"/>
              </w:rPr>
            </w:pPr>
            <w:r w:rsidRPr="00BA7C9E">
              <w:br w:type="page"/>
            </w:r>
            <w:r w:rsidRPr="00BA7C9E">
              <w:br w:type="page"/>
            </w:r>
            <w:r w:rsidRPr="00BA7C9E">
              <w:rPr>
                <w:b/>
                <w:sz w:val="18"/>
              </w:rPr>
              <w:t>Not 4</w:t>
            </w:r>
          </w:p>
        </w:tc>
        <w:tc>
          <w:tcPr>
            <w:tcW w:w="3599" w:type="dxa"/>
            <w:shd w:val="clear" w:color="000000" w:fill="FFFFFF"/>
          </w:tcPr>
          <w:p w:rsidR="00F32CCD" w:rsidRPr="00BA7C9E" w:rsidRDefault="00F32CCD" w:rsidP="00F32CCD">
            <w:pPr>
              <w:rPr>
                <w:b/>
                <w:sz w:val="18"/>
              </w:rPr>
            </w:pPr>
            <w:r w:rsidRPr="00BA7C9E">
              <w:rPr>
                <w:b/>
                <w:sz w:val="18"/>
              </w:rPr>
              <w:t xml:space="preserve">Finansiella kostnader </w:t>
            </w:r>
          </w:p>
        </w:tc>
        <w:tc>
          <w:tcPr>
            <w:tcW w:w="908" w:type="dxa"/>
            <w:shd w:val="clear" w:color="000000" w:fill="FFFFFF"/>
          </w:tcPr>
          <w:p w:rsidR="00F32CCD" w:rsidRPr="00BA7C9E" w:rsidRDefault="00F32CCD" w:rsidP="00F32CCD">
            <w:pPr>
              <w:jc w:val="right"/>
              <w:rPr>
                <w:b/>
                <w:sz w:val="18"/>
              </w:rPr>
            </w:pPr>
            <w:r w:rsidRPr="00BA7C9E">
              <w:rPr>
                <w:b/>
                <w:sz w:val="18"/>
              </w:rPr>
              <w:t>2011</w:t>
            </w:r>
          </w:p>
        </w:tc>
        <w:tc>
          <w:tcPr>
            <w:tcW w:w="909" w:type="dxa"/>
            <w:shd w:val="clear" w:color="000000" w:fill="FFFFFF"/>
          </w:tcPr>
          <w:p w:rsidR="00F32CCD" w:rsidRPr="00BA7C9E" w:rsidRDefault="00F32CCD" w:rsidP="00F32CCD">
            <w:pPr>
              <w:jc w:val="right"/>
              <w:rPr>
                <w:b/>
                <w:sz w:val="18"/>
              </w:rPr>
            </w:pPr>
            <w:r w:rsidRPr="00BA7C9E">
              <w:rPr>
                <w:b/>
                <w:sz w:val="18"/>
              </w:rPr>
              <w:t>2010</w:t>
            </w:r>
          </w:p>
        </w:tc>
      </w:tr>
      <w:tr w:rsidR="00F32CCD" w:rsidRPr="00BA7C9E" w:rsidTr="00F32CCD">
        <w:tc>
          <w:tcPr>
            <w:tcW w:w="794" w:type="dxa"/>
            <w:shd w:val="clear" w:color="000000" w:fill="FFFFFF"/>
          </w:tcPr>
          <w:p w:rsidR="00F32CCD" w:rsidRPr="00BA7C9E" w:rsidRDefault="00F32CCD" w:rsidP="00F32CCD">
            <w:pPr>
              <w:spacing w:before="0"/>
              <w:rPr>
                <w:sz w:val="18"/>
              </w:rPr>
            </w:pPr>
          </w:p>
        </w:tc>
        <w:tc>
          <w:tcPr>
            <w:tcW w:w="3599" w:type="dxa"/>
            <w:shd w:val="clear" w:color="000000" w:fill="FFFFFF"/>
          </w:tcPr>
          <w:p w:rsidR="00F32CCD" w:rsidRPr="00BA7C9E" w:rsidRDefault="00F32CCD" w:rsidP="00F32CCD">
            <w:pPr>
              <w:jc w:val="left"/>
              <w:rPr>
                <w:sz w:val="18"/>
              </w:rPr>
            </w:pPr>
            <w:r w:rsidRPr="00BA7C9E">
              <w:rPr>
                <w:sz w:val="18"/>
              </w:rPr>
              <w:t xml:space="preserve">Räntekostnader avseende lån i </w:t>
            </w:r>
            <w:r w:rsidRPr="00BA7C9E">
              <w:rPr>
                <w:sz w:val="18"/>
              </w:rPr>
              <w:br/>
              <w:t>Riksgäldskontoret</w:t>
            </w:r>
          </w:p>
        </w:tc>
        <w:tc>
          <w:tcPr>
            <w:tcW w:w="908" w:type="dxa"/>
            <w:shd w:val="clear" w:color="000000" w:fill="FFFFFF"/>
            <w:vAlign w:val="bottom"/>
          </w:tcPr>
          <w:p w:rsidR="00F32CCD" w:rsidRPr="00BA7C9E" w:rsidRDefault="00F32CCD" w:rsidP="00F32CCD">
            <w:pPr>
              <w:jc w:val="right"/>
              <w:rPr>
                <w:szCs w:val="19"/>
              </w:rPr>
            </w:pPr>
            <w:r w:rsidRPr="00BA7C9E">
              <w:rPr>
                <w:szCs w:val="19"/>
              </w:rPr>
              <w:t>133</w:t>
            </w:r>
          </w:p>
        </w:tc>
        <w:tc>
          <w:tcPr>
            <w:tcW w:w="909" w:type="dxa"/>
            <w:shd w:val="clear" w:color="000000" w:fill="FFFFFF"/>
            <w:vAlign w:val="bottom"/>
          </w:tcPr>
          <w:p w:rsidR="00F32CCD" w:rsidRPr="00BA7C9E" w:rsidRDefault="00F32CCD" w:rsidP="00F32CCD">
            <w:pPr>
              <w:jc w:val="right"/>
              <w:rPr>
                <w:szCs w:val="19"/>
              </w:rPr>
            </w:pPr>
            <w:r w:rsidRPr="00BA7C9E">
              <w:rPr>
                <w:szCs w:val="19"/>
              </w:rPr>
              <w:t>28</w:t>
            </w:r>
          </w:p>
        </w:tc>
      </w:tr>
      <w:tr w:rsidR="00F32CCD" w:rsidRPr="00BA7C9E" w:rsidTr="00F32CCD">
        <w:tc>
          <w:tcPr>
            <w:tcW w:w="794" w:type="dxa"/>
            <w:shd w:val="clear" w:color="000000" w:fill="FFFFFF"/>
          </w:tcPr>
          <w:p w:rsidR="00F32CCD" w:rsidRPr="00BA7C9E" w:rsidRDefault="00F32CCD" w:rsidP="00F32CCD">
            <w:pPr>
              <w:spacing w:before="0"/>
              <w:rPr>
                <w:sz w:val="18"/>
              </w:rPr>
            </w:pPr>
          </w:p>
        </w:tc>
        <w:tc>
          <w:tcPr>
            <w:tcW w:w="3599" w:type="dxa"/>
            <w:shd w:val="clear" w:color="000000" w:fill="FFFFFF"/>
          </w:tcPr>
          <w:p w:rsidR="00F32CCD" w:rsidRPr="00BA7C9E" w:rsidRDefault="00F32CCD" w:rsidP="00F32CCD">
            <w:pPr>
              <w:rPr>
                <w:sz w:val="18"/>
              </w:rPr>
            </w:pPr>
            <w:r w:rsidRPr="00BA7C9E">
              <w:rPr>
                <w:sz w:val="18"/>
              </w:rPr>
              <w:t>Övriga finansiella kostnader</w:t>
            </w:r>
          </w:p>
        </w:tc>
        <w:tc>
          <w:tcPr>
            <w:tcW w:w="908" w:type="dxa"/>
            <w:shd w:val="clear" w:color="000000" w:fill="FFFFFF"/>
            <w:vAlign w:val="bottom"/>
          </w:tcPr>
          <w:p w:rsidR="00F32CCD" w:rsidRPr="00BA7C9E" w:rsidRDefault="00F32CCD" w:rsidP="00F32CCD">
            <w:pPr>
              <w:jc w:val="right"/>
              <w:rPr>
                <w:szCs w:val="19"/>
              </w:rPr>
            </w:pPr>
            <w:r w:rsidRPr="00BA7C9E">
              <w:rPr>
                <w:szCs w:val="19"/>
              </w:rPr>
              <w:t>147</w:t>
            </w:r>
          </w:p>
        </w:tc>
        <w:tc>
          <w:tcPr>
            <w:tcW w:w="909" w:type="dxa"/>
            <w:shd w:val="clear" w:color="000000" w:fill="FFFFFF"/>
            <w:vAlign w:val="bottom"/>
          </w:tcPr>
          <w:p w:rsidR="00F32CCD" w:rsidRPr="00BA7C9E" w:rsidRDefault="00F32CCD" w:rsidP="00F32CCD">
            <w:pPr>
              <w:jc w:val="right"/>
              <w:rPr>
                <w:szCs w:val="19"/>
              </w:rPr>
            </w:pPr>
            <w:r w:rsidRPr="00BA7C9E">
              <w:rPr>
                <w:szCs w:val="19"/>
              </w:rPr>
              <w:t>372</w:t>
            </w:r>
          </w:p>
        </w:tc>
      </w:tr>
      <w:tr w:rsidR="00F32CCD" w:rsidRPr="00BA7C9E" w:rsidTr="00F32CCD">
        <w:tc>
          <w:tcPr>
            <w:tcW w:w="794" w:type="dxa"/>
            <w:shd w:val="clear" w:color="000000" w:fill="FFFFFF"/>
          </w:tcPr>
          <w:p w:rsidR="00F32CCD" w:rsidRPr="00BA7C9E" w:rsidRDefault="00F32CCD" w:rsidP="00F32CCD">
            <w:pPr>
              <w:spacing w:before="0"/>
              <w:rPr>
                <w:sz w:val="18"/>
              </w:rPr>
            </w:pPr>
          </w:p>
        </w:tc>
        <w:tc>
          <w:tcPr>
            <w:tcW w:w="3599" w:type="dxa"/>
            <w:shd w:val="clear" w:color="000000" w:fill="FFFFFF"/>
          </w:tcPr>
          <w:p w:rsidR="00F32CCD" w:rsidRPr="00BA7C9E" w:rsidRDefault="00F32CCD" w:rsidP="00F32CCD">
            <w:pPr>
              <w:rPr>
                <w:b/>
                <w:i/>
                <w:sz w:val="18"/>
              </w:rPr>
            </w:pPr>
            <w:r w:rsidRPr="00BA7C9E">
              <w:rPr>
                <w:b/>
                <w:i/>
                <w:szCs w:val="19"/>
              </w:rPr>
              <w:t>Summa</w:t>
            </w:r>
          </w:p>
        </w:tc>
        <w:tc>
          <w:tcPr>
            <w:tcW w:w="908" w:type="dxa"/>
            <w:shd w:val="clear" w:color="000000" w:fill="FFFFFF"/>
            <w:vAlign w:val="bottom"/>
          </w:tcPr>
          <w:p w:rsidR="00F32CCD" w:rsidRPr="00BA7C9E" w:rsidRDefault="00F32CCD" w:rsidP="00F32CCD">
            <w:pPr>
              <w:jc w:val="right"/>
              <w:rPr>
                <w:b/>
                <w:bCs/>
                <w:i/>
                <w:szCs w:val="19"/>
              </w:rPr>
            </w:pPr>
            <w:r w:rsidRPr="00BA7C9E">
              <w:rPr>
                <w:b/>
                <w:bCs/>
                <w:i/>
                <w:szCs w:val="19"/>
              </w:rPr>
              <w:t>280</w:t>
            </w:r>
          </w:p>
        </w:tc>
        <w:tc>
          <w:tcPr>
            <w:tcW w:w="909" w:type="dxa"/>
            <w:shd w:val="clear" w:color="000000" w:fill="FFFFFF"/>
            <w:vAlign w:val="bottom"/>
          </w:tcPr>
          <w:p w:rsidR="00F32CCD" w:rsidRPr="00BA7C9E" w:rsidRDefault="00F32CCD" w:rsidP="00F32CCD">
            <w:pPr>
              <w:jc w:val="right"/>
              <w:rPr>
                <w:b/>
                <w:bCs/>
                <w:i/>
                <w:szCs w:val="19"/>
              </w:rPr>
            </w:pPr>
            <w:r w:rsidRPr="00BA7C9E">
              <w:rPr>
                <w:b/>
                <w:bCs/>
                <w:i/>
                <w:szCs w:val="19"/>
              </w:rPr>
              <w:t>400</w:t>
            </w:r>
          </w:p>
        </w:tc>
      </w:tr>
    </w:tbl>
    <w:p w:rsidR="00F32CCD" w:rsidRPr="00BA7C9E" w:rsidRDefault="00F32CCD" w:rsidP="00F32CCD">
      <w:pPr>
        <w:spacing w:before="0"/>
        <w:ind w:firstLine="227"/>
      </w:pPr>
    </w:p>
    <w:p w:rsidR="00F32CCD" w:rsidRPr="00BA7C9E" w:rsidRDefault="00F32CCD" w:rsidP="00F32CCD">
      <w:r w:rsidRPr="00BA7C9E">
        <w:br w:type="page"/>
      </w:r>
    </w:p>
    <w:tbl>
      <w:tblPr>
        <w:tblW w:w="6207" w:type="dxa"/>
        <w:tblLayout w:type="fixed"/>
        <w:tblLook w:val="01E0" w:firstRow="1" w:lastRow="1" w:firstColumn="1" w:lastColumn="1" w:noHBand="0" w:noVBand="0"/>
      </w:tblPr>
      <w:tblGrid>
        <w:gridCol w:w="791"/>
        <w:gridCol w:w="3591"/>
        <w:gridCol w:w="912"/>
        <w:gridCol w:w="913"/>
      </w:tblGrid>
      <w:tr w:rsidR="009F241A" w:rsidRPr="00BA7C9E" w:rsidTr="009F241A">
        <w:tc>
          <w:tcPr>
            <w:tcW w:w="791" w:type="dxa"/>
          </w:tcPr>
          <w:p w:rsidR="009F241A" w:rsidRPr="00BA7C9E" w:rsidRDefault="009F241A" w:rsidP="00F741AA">
            <w:pPr>
              <w:rPr>
                <w:b/>
              </w:rPr>
            </w:pPr>
            <w:r w:rsidRPr="00BA7C9E">
              <w:rPr>
                <w:b/>
              </w:rPr>
              <w:t xml:space="preserve">Not </w:t>
            </w:r>
            <w:r w:rsidR="00F741AA" w:rsidRPr="00BA7C9E">
              <w:rPr>
                <w:b/>
              </w:rPr>
              <w:t>5</w:t>
            </w:r>
          </w:p>
        </w:tc>
        <w:tc>
          <w:tcPr>
            <w:tcW w:w="3591" w:type="dxa"/>
          </w:tcPr>
          <w:p w:rsidR="009F241A" w:rsidRPr="00BA7C9E" w:rsidRDefault="009F241A" w:rsidP="00F32CCD">
            <w:pPr>
              <w:rPr>
                <w:b/>
              </w:rPr>
            </w:pPr>
            <w:r w:rsidRPr="00BA7C9E">
              <w:rPr>
                <w:b/>
              </w:rPr>
              <w:t>Uppbördsverksamhet</w:t>
            </w:r>
          </w:p>
        </w:tc>
        <w:tc>
          <w:tcPr>
            <w:tcW w:w="912" w:type="dxa"/>
          </w:tcPr>
          <w:p w:rsidR="009F241A" w:rsidRPr="00BA7C9E" w:rsidRDefault="009F241A" w:rsidP="00F32CCD">
            <w:pPr>
              <w:jc w:val="right"/>
              <w:rPr>
                <w:b/>
              </w:rPr>
            </w:pPr>
            <w:r w:rsidRPr="00BA7C9E">
              <w:rPr>
                <w:b/>
              </w:rPr>
              <w:t>2011</w:t>
            </w:r>
          </w:p>
        </w:tc>
        <w:tc>
          <w:tcPr>
            <w:tcW w:w="913" w:type="dxa"/>
          </w:tcPr>
          <w:p w:rsidR="009F241A" w:rsidRPr="00BA7C9E" w:rsidRDefault="009F241A" w:rsidP="00F32CCD">
            <w:pPr>
              <w:jc w:val="right"/>
              <w:rPr>
                <w:b/>
              </w:rPr>
            </w:pPr>
            <w:r w:rsidRPr="00BA7C9E">
              <w:rPr>
                <w:b/>
              </w:rPr>
              <w:t>2010</w:t>
            </w:r>
          </w:p>
        </w:tc>
      </w:tr>
      <w:tr w:rsidR="009F241A" w:rsidRPr="00BA7C9E" w:rsidTr="009F241A">
        <w:tc>
          <w:tcPr>
            <w:tcW w:w="791" w:type="dxa"/>
          </w:tcPr>
          <w:p w:rsidR="009F241A" w:rsidRPr="00BA7C9E" w:rsidRDefault="009F241A" w:rsidP="00F32CCD">
            <w:pPr>
              <w:spacing w:before="0"/>
            </w:pPr>
          </w:p>
        </w:tc>
        <w:tc>
          <w:tcPr>
            <w:tcW w:w="3591" w:type="dxa"/>
            <w:vAlign w:val="bottom"/>
          </w:tcPr>
          <w:p w:rsidR="009F241A" w:rsidRPr="00BA7C9E" w:rsidRDefault="0030306D" w:rsidP="0030306D">
            <w:pPr>
              <w:jc w:val="left"/>
            </w:pPr>
            <w:r w:rsidRPr="00BA7C9E">
              <w:t>Intäkter av a</w:t>
            </w:r>
            <w:r w:rsidR="009F241A" w:rsidRPr="00BA7C9E">
              <w:t xml:space="preserve">vgifter för årlig revision </w:t>
            </w:r>
            <w:bookmarkStart w:id="139" w:name="OLE_LINK2"/>
            <w:bookmarkStart w:id="140" w:name="OLE_LINK3"/>
            <w:r w:rsidR="009F241A" w:rsidRPr="00BA7C9E">
              <w:t>enligt lagen (2002:1022) om revision av statlig verksamhet m.m.</w:t>
            </w:r>
            <w:bookmarkEnd w:id="139"/>
            <w:bookmarkEnd w:id="140"/>
          </w:p>
        </w:tc>
        <w:tc>
          <w:tcPr>
            <w:tcW w:w="912" w:type="dxa"/>
            <w:vAlign w:val="bottom"/>
          </w:tcPr>
          <w:p w:rsidR="009F241A" w:rsidRPr="00BA7C9E" w:rsidRDefault="009F241A" w:rsidP="00F32CCD">
            <w:pPr>
              <w:jc w:val="right"/>
              <w:rPr>
                <w:szCs w:val="19"/>
              </w:rPr>
            </w:pPr>
            <w:r w:rsidRPr="00BA7C9E">
              <w:rPr>
                <w:szCs w:val="19"/>
              </w:rPr>
              <w:t>120 168</w:t>
            </w:r>
          </w:p>
        </w:tc>
        <w:tc>
          <w:tcPr>
            <w:tcW w:w="913" w:type="dxa"/>
            <w:vAlign w:val="bottom"/>
          </w:tcPr>
          <w:p w:rsidR="009F241A" w:rsidRPr="00BA7C9E" w:rsidRDefault="009F241A" w:rsidP="00F32CCD">
            <w:pPr>
              <w:jc w:val="right"/>
              <w:rPr>
                <w:szCs w:val="19"/>
              </w:rPr>
            </w:pPr>
            <w:r w:rsidRPr="00BA7C9E">
              <w:rPr>
                <w:szCs w:val="19"/>
              </w:rPr>
              <w:t>120 692</w:t>
            </w:r>
          </w:p>
        </w:tc>
      </w:tr>
      <w:tr w:rsidR="009F241A" w:rsidRPr="00BA7C9E" w:rsidTr="009F241A">
        <w:tc>
          <w:tcPr>
            <w:tcW w:w="791" w:type="dxa"/>
          </w:tcPr>
          <w:p w:rsidR="009F241A" w:rsidRPr="00BA7C9E" w:rsidRDefault="009F241A" w:rsidP="00F32CCD">
            <w:pPr>
              <w:spacing w:before="0"/>
              <w:rPr>
                <w:i/>
              </w:rPr>
            </w:pPr>
          </w:p>
        </w:tc>
        <w:tc>
          <w:tcPr>
            <w:tcW w:w="3591" w:type="dxa"/>
            <w:vAlign w:val="bottom"/>
          </w:tcPr>
          <w:p w:rsidR="009F241A" w:rsidRPr="00BA7C9E" w:rsidRDefault="009F241A" w:rsidP="00F32CCD">
            <w:pPr>
              <w:jc w:val="left"/>
              <w:rPr>
                <w:b/>
                <w:i/>
              </w:rPr>
            </w:pPr>
            <w:r w:rsidRPr="00BA7C9E">
              <w:rPr>
                <w:b/>
                <w:i/>
              </w:rPr>
              <w:t>Summa</w:t>
            </w:r>
          </w:p>
        </w:tc>
        <w:tc>
          <w:tcPr>
            <w:tcW w:w="912" w:type="dxa"/>
          </w:tcPr>
          <w:p w:rsidR="009F241A" w:rsidRPr="00BA7C9E" w:rsidRDefault="009F241A" w:rsidP="00F32CCD">
            <w:pPr>
              <w:jc w:val="right"/>
              <w:rPr>
                <w:b/>
                <w:i/>
                <w:szCs w:val="19"/>
              </w:rPr>
            </w:pPr>
            <w:r w:rsidRPr="00BA7C9E">
              <w:rPr>
                <w:b/>
                <w:i/>
                <w:szCs w:val="19"/>
              </w:rPr>
              <w:t>120 168</w:t>
            </w:r>
          </w:p>
        </w:tc>
        <w:tc>
          <w:tcPr>
            <w:tcW w:w="913" w:type="dxa"/>
          </w:tcPr>
          <w:p w:rsidR="009F241A" w:rsidRPr="00BA7C9E" w:rsidRDefault="009F241A" w:rsidP="00F32CCD">
            <w:pPr>
              <w:jc w:val="right"/>
              <w:rPr>
                <w:b/>
                <w:i/>
                <w:szCs w:val="19"/>
              </w:rPr>
            </w:pPr>
            <w:r w:rsidRPr="00BA7C9E">
              <w:rPr>
                <w:b/>
                <w:i/>
                <w:szCs w:val="19"/>
              </w:rPr>
              <w:t>120 692</w:t>
            </w:r>
          </w:p>
        </w:tc>
      </w:tr>
      <w:tr w:rsidR="009F241A" w:rsidRPr="00BA7C9E" w:rsidTr="009F241A">
        <w:tc>
          <w:tcPr>
            <w:tcW w:w="791" w:type="dxa"/>
          </w:tcPr>
          <w:p w:rsidR="009F241A" w:rsidRPr="00BA7C9E" w:rsidRDefault="009F241A" w:rsidP="00F32CCD">
            <w:pPr>
              <w:spacing w:before="0"/>
              <w:rPr>
                <w:i/>
              </w:rPr>
            </w:pPr>
          </w:p>
        </w:tc>
        <w:tc>
          <w:tcPr>
            <w:tcW w:w="3591" w:type="dxa"/>
            <w:vAlign w:val="bottom"/>
          </w:tcPr>
          <w:p w:rsidR="009F241A" w:rsidRPr="00BA7C9E" w:rsidRDefault="009F241A" w:rsidP="00F32CCD">
            <w:pPr>
              <w:jc w:val="left"/>
              <w:rPr>
                <w:b/>
                <w:i/>
              </w:rPr>
            </w:pPr>
          </w:p>
        </w:tc>
        <w:tc>
          <w:tcPr>
            <w:tcW w:w="912" w:type="dxa"/>
          </w:tcPr>
          <w:p w:rsidR="009F241A" w:rsidRPr="00BA7C9E" w:rsidRDefault="009F241A" w:rsidP="00F32CCD">
            <w:pPr>
              <w:jc w:val="right"/>
              <w:rPr>
                <w:b/>
                <w:i/>
                <w:szCs w:val="19"/>
              </w:rPr>
            </w:pPr>
          </w:p>
        </w:tc>
        <w:tc>
          <w:tcPr>
            <w:tcW w:w="913" w:type="dxa"/>
          </w:tcPr>
          <w:p w:rsidR="009F241A" w:rsidRPr="00BA7C9E" w:rsidRDefault="009F241A" w:rsidP="00F32CCD">
            <w:pPr>
              <w:jc w:val="right"/>
              <w:rPr>
                <w:b/>
                <w:i/>
                <w:szCs w:val="19"/>
              </w:rPr>
            </w:pPr>
          </w:p>
        </w:tc>
      </w:tr>
      <w:tr w:rsidR="009F241A" w:rsidRPr="00BA7C9E" w:rsidTr="009F241A">
        <w:tc>
          <w:tcPr>
            <w:tcW w:w="791" w:type="dxa"/>
          </w:tcPr>
          <w:p w:rsidR="009F241A" w:rsidRPr="00BA7C9E" w:rsidRDefault="009F241A" w:rsidP="00F741AA">
            <w:pPr>
              <w:rPr>
                <w:b/>
              </w:rPr>
            </w:pPr>
            <w:r w:rsidRPr="00BA7C9E">
              <w:rPr>
                <w:b/>
              </w:rPr>
              <w:t xml:space="preserve">Not </w:t>
            </w:r>
            <w:r w:rsidR="00F741AA" w:rsidRPr="00BA7C9E">
              <w:rPr>
                <w:b/>
              </w:rPr>
              <w:t>6</w:t>
            </w:r>
          </w:p>
        </w:tc>
        <w:tc>
          <w:tcPr>
            <w:tcW w:w="3591" w:type="dxa"/>
          </w:tcPr>
          <w:p w:rsidR="009F241A" w:rsidRPr="00BA7C9E" w:rsidRDefault="009F241A" w:rsidP="00F32CCD">
            <w:pPr>
              <w:rPr>
                <w:b/>
              </w:rPr>
            </w:pPr>
            <w:r w:rsidRPr="00BA7C9E">
              <w:rPr>
                <w:b/>
              </w:rPr>
              <w:t xml:space="preserve">Årets kapitalförändring </w:t>
            </w:r>
          </w:p>
        </w:tc>
        <w:tc>
          <w:tcPr>
            <w:tcW w:w="912" w:type="dxa"/>
          </w:tcPr>
          <w:p w:rsidR="009F241A" w:rsidRPr="00BA7C9E" w:rsidRDefault="009F241A" w:rsidP="00F32CCD">
            <w:pPr>
              <w:jc w:val="right"/>
              <w:rPr>
                <w:b/>
              </w:rPr>
            </w:pPr>
            <w:r w:rsidRPr="00BA7C9E">
              <w:rPr>
                <w:b/>
              </w:rPr>
              <w:t>2011</w:t>
            </w:r>
          </w:p>
        </w:tc>
        <w:tc>
          <w:tcPr>
            <w:tcW w:w="913" w:type="dxa"/>
          </w:tcPr>
          <w:p w:rsidR="009F241A" w:rsidRPr="00BA7C9E" w:rsidRDefault="009F241A" w:rsidP="00F32CCD">
            <w:pPr>
              <w:jc w:val="right"/>
              <w:rPr>
                <w:b/>
              </w:rPr>
            </w:pPr>
            <w:r w:rsidRPr="00BA7C9E">
              <w:rPr>
                <w:b/>
              </w:rPr>
              <w:t>2010</w:t>
            </w:r>
          </w:p>
        </w:tc>
      </w:tr>
      <w:tr w:rsidR="009F241A" w:rsidRPr="00BA7C9E" w:rsidTr="009F241A">
        <w:tc>
          <w:tcPr>
            <w:tcW w:w="791" w:type="dxa"/>
          </w:tcPr>
          <w:p w:rsidR="009F241A" w:rsidRPr="00BA7C9E" w:rsidRDefault="009F241A" w:rsidP="00F32CCD">
            <w:pPr>
              <w:spacing w:before="38"/>
            </w:pPr>
          </w:p>
        </w:tc>
        <w:tc>
          <w:tcPr>
            <w:tcW w:w="3591" w:type="dxa"/>
          </w:tcPr>
          <w:p w:rsidR="009F241A" w:rsidRPr="00BA7C9E" w:rsidRDefault="009F241A" w:rsidP="00F32CCD">
            <w:pPr>
              <w:spacing w:before="38"/>
            </w:pPr>
            <w:r w:rsidRPr="00BA7C9E">
              <w:t>Uppdragsverksamhet</w:t>
            </w:r>
          </w:p>
        </w:tc>
        <w:tc>
          <w:tcPr>
            <w:tcW w:w="912" w:type="dxa"/>
          </w:tcPr>
          <w:p w:rsidR="009F241A" w:rsidRPr="00BA7C9E" w:rsidRDefault="009F241A" w:rsidP="00F32CCD">
            <w:pPr>
              <w:jc w:val="right"/>
              <w:rPr>
                <w:szCs w:val="19"/>
              </w:rPr>
            </w:pPr>
          </w:p>
        </w:tc>
        <w:tc>
          <w:tcPr>
            <w:tcW w:w="913" w:type="dxa"/>
          </w:tcPr>
          <w:p w:rsidR="009F241A" w:rsidRPr="00BA7C9E" w:rsidRDefault="009F241A" w:rsidP="00F32CCD">
            <w:pPr>
              <w:jc w:val="right"/>
              <w:rPr>
                <w:szCs w:val="19"/>
              </w:rPr>
            </w:pPr>
          </w:p>
        </w:tc>
      </w:tr>
      <w:tr w:rsidR="009F241A" w:rsidRPr="00BA7C9E" w:rsidTr="009F241A">
        <w:tc>
          <w:tcPr>
            <w:tcW w:w="791" w:type="dxa"/>
          </w:tcPr>
          <w:p w:rsidR="009F241A" w:rsidRPr="00BA7C9E" w:rsidRDefault="009F241A" w:rsidP="00F32CCD">
            <w:pPr>
              <w:spacing w:before="38"/>
            </w:pPr>
          </w:p>
        </w:tc>
        <w:tc>
          <w:tcPr>
            <w:tcW w:w="3591" w:type="dxa"/>
          </w:tcPr>
          <w:p w:rsidR="009F241A" w:rsidRPr="00BA7C9E" w:rsidRDefault="009F241A" w:rsidP="00F32CCD">
            <w:pPr>
              <w:spacing w:before="38"/>
            </w:pPr>
            <w:r w:rsidRPr="00BA7C9E">
              <w:t xml:space="preserve">– internationella uppdrag </w:t>
            </w:r>
          </w:p>
        </w:tc>
        <w:tc>
          <w:tcPr>
            <w:tcW w:w="912" w:type="dxa"/>
          </w:tcPr>
          <w:p w:rsidR="009F241A" w:rsidRPr="00BA7C9E" w:rsidRDefault="009F241A" w:rsidP="00F32CCD">
            <w:pPr>
              <w:jc w:val="right"/>
              <w:rPr>
                <w:szCs w:val="19"/>
              </w:rPr>
            </w:pPr>
            <w:r w:rsidRPr="00BA7C9E">
              <w:rPr>
                <w:szCs w:val="19"/>
              </w:rPr>
              <w:t>–108</w:t>
            </w:r>
          </w:p>
        </w:tc>
        <w:tc>
          <w:tcPr>
            <w:tcW w:w="913" w:type="dxa"/>
          </w:tcPr>
          <w:p w:rsidR="009F241A" w:rsidRPr="00BA7C9E" w:rsidRDefault="009F241A" w:rsidP="00F32CCD">
            <w:pPr>
              <w:jc w:val="right"/>
              <w:rPr>
                <w:szCs w:val="19"/>
              </w:rPr>
            </w:pPr>
            <w:r w:rsidRPr="00BA7C9E">
              <w:rPr>
                <w:szCs w:val="19"/>
              </w:rPr>
              <w:t>–5</w:t>
            </w:r>
          </w:p>
        </w:tc>
      </w:tr>
      <w:tr w:rsidR="009F241A" w:rsidRPr="00BA7C9E" w:rsidTr="009F241A">
        <w:tc>
          <w:tcPr>
            <w:tcW w:w="791" w:type="dxa"/>
          </w:tcPr>
          <w:p w:rsidR="009F241A" w:rsidRPr="00BA7C9E" w:rsidRDefault="009F241A" w:rsidP="00F32CCD">
            <w:pPr>
              <w:spacing w:before="38"/>
            </w:pPr>
          </w:p>
        </w:tc>
        <w:tc>
          <w:tcPr>
            <w:tcW w:w="3591" w:type="dxa"/>
          </w:tcPr>
          <w:p w:rsidR="009F241A" w:rsidRPr="00BA7C9E" w:rsidRDefault="009F241A" w:rsidP="00F32CCD">
            <w:pPr>
              <w:spacing w:before="38"/>
            </w:pPr>
            <w:r w:rsidRPr="00BA7C9E">
              <w:t>Periodiseringsdifferenser</w:t>
            </w:r>
          </w:p>
        </w:tc>
        <w:tc>
          <w:tcPr>
            <w:tcW w:w="912" w:type="dxa"/>
          </w:tcPr>
          <w:p w:rsidR="009F241A" w:rsidRPr="00BA7C9E" w:rsidRDefault="009F241A" w:rsidP="00F32CCD">
            <w:pPr>
              <w:jc w:val="right"/>
              <w:rPr>
                <w:szCs w:val="19"/>
              </w:rPr>
            </w:pPr>
          </w:p>
        </w:tc>
        <w:tc>
          <w:tcPr>
            <w:tcW w:w="913" w:type="dxa"/>
          </w:tcPr>
          <w:p w:rsidR="009F241A" w:rsidRPr="00BA7C9E" w:rsidRDefault="009F241A" w:rsidP="00F32CCD">
            <w:pPr>
              <w:jc w:val="right"/>
              <w:rPr>
                <w:szCs w:val="19"/>
              </w:rPr>
            </w:pPr>
          </w:p>
        </w:tc>
      </w:tr>
      <w:tr w:rsidR="009F241A" w:rsidRPr="00BA7C9E" w:rsidTr="009F241A">
        <w:tc>
          <w:tcPr>
            <w:tcW w:w="791" w:type="dxa"/>
          </w:tcPr>
          <w:p w:rsidR="009F241A" w:rsidRPr="00BA7C9E" w:rsidRDefault="009F241A" w:rsidP="00F32CCD">
            <w:pPr>
              <w:spacing w:before="38"/>
            </w:pPr>
          </w:p>
        </w:tc>
        <w:tc>
          <w:tcPr>
            <w:tcW w:w="3591" w:type="dxa"/>
          </w:tcPr>
          <w:p w:rsidR="009F241A" w:rsidRPr="00BA7C9E" w:rsidRDefault="009F241A" w:rsidP="00F32CCD">
            <w:pPr>
              <w:spacing w:before="38"/>
            </w:pPr>
            <w:r w:rsidRPr="00BA7C9E">
              <w:t>– uppbördsverksamhet</w:t>
            </w:r>
          </w:p>
        </w:tc>
        <w:tc>
          <w:tcPr>
            <w:tcW w:w="912" w:type="dxa"/>
          </w:tcPr>
          <w:p w:rsidR="009F241A" w:rsidRPr="00BA7C9E" w:rsidRDefault="009F241A" w:rsidP="00F32CCD">
            <w:pPr>
              <w:jc w:val="right"/>
              <w:rPr>
                <w:szCs w:val="19"/>
              </w:rPr>
            </w:pPr>
            <w:r w:rsidRPr="00BA7C9E">
              <w:rPr>
                <w:szCs w:val="19"/>
              </w:rPr>
              <w:t>7 476</w:t>
            </w:r>
          </w:p>
        </w:tc>
        <w:tc>
          <w:tcPr>
            <w:tcW w:w="913" w:type="dxa"/>
          </w:tcPr>
          <w:p w:rsidR="009F241A" w:rsidRPr="00BA7C9E" w:rsidRDefault="009F241A" w:rsidP="00F32CCD">
            <w:pPr>
              <w:jc w:val="right"/>
              <w:rPr>
                <w:szCs w:val="19"/>
              </w:rPr>
            </w:pPr>
            <w:r w:rsidRPr="00BA7C9E">
              <w:rPr>
                <w:szCs w:val="19"/>
              </w:rPr>
              <w:t>–1 293</w:t>
            </w:r>
          </w:p>
        </w:tc>
      </w:tr>
      <w:tr w:rsidR="009F241A" w:rsidRPr="00BA7C9E" w:rsidTr="009F241A">
        <w:tc>
          <w:tcPr>
            <w:tcW w:w="791" w:type="dxa"/>
          </w:tcPr>
          <w:p w:rsidR="009F241A" w:rsidRPr="00BA7C9E" w:rsidRDefault="009F241A" w:rsidP="00F32CCD">
            <w:pPr>
              <w:spacing w:before="38"/>
              <w:rPr>
                <w:i/>
              </w:rPr>
            </w:pPr>
          </w:p>
        </w:tc>
        <w:tc>
          <w:tcPr>
            <w:tcW w:w="3591" w:type="dxa"/>
          </w:tcPr>
          <w:p w:rsidR="009F241A" w:rsidRPr="00BA7C9E" w:rsidRDefault="009F241A" w:rsidP="00F32CCD">
            <w:pPr>
              <w:spacing w:before="38"/>
              <w:rPr>
                <w:b/>
                <w:i/>
              </w:rPr>
            </w:pPr>
            <w:r w:rsidRPr="00BA7C9E">
              <w:rPr>
                <w:b/>
                <w:i/>
              </w:rPr>
              <w:t>Summa</w:t>
            </w:r>
          </w:p>
        </w:tc>
        <w:tc>
          <w:tcPr>
            <w:tcW w:w="912" w:type="dxa"/>
          </w:tcPr>
          <w:p w:rsidR="009F241A" w:rsidRPr="00BA7C9E" w:rsidRDefault="009F241A" w:rsidP="00F32CCD">
            <w:pPr>
              <w:jc w:val="right"/>
              <w:rPr>
                <w:b/>
                <w:bCs/>
                <w:i/>
                <w:szCs w:val="19"/>
              </w:rPr>
            </w:pPr>
            <w:r w:rsidRPr="00BA7C9E">
              <w:rPr>
                <w:b/>
                <w:bCs/>
                <w:i/>
                <w:szCs w:val="19"/>
              </w:rPr>
              <w:t>7 368</w:t>
            </w:r>
          </w:p>
        </w:tc>
        <w:tc>
          <w:tcPr>
            <w:tcW w:w="913" w:type="dxa"/>
          </w:tcPr>
          <w:p w:rsidR="009F241A" w:rsidRPr="00BA7C9E" w:rsidRDefault="009F241A" w:rsidP="00F32CCD">
            <w:pPr>
              <w:jc w:val="right"/>
              <w:rPr>
                <w:b/>
                <w:bCs/>
                <w:i/>
                <w:szCs w:val="19"/>
              </w:rPr>
            </w:pPr>
            <w:r w:rsidRPr="00BA7C9E">
              <w:rPr>
                <w:szCs w:val="19"/>
              </w:rPr>
              <w:t>–</w:t>
            </w:r>
            <w:r w:rsidRPr="00BA7C9E">
              <w:rPr>
                <w:b/>
                <w:bCs/>
                <w:i/>
                <w:szCs w:val="19"/>
              </w:rPr>
              <w:t>1 298</w:t>
            </w:r>
          </w:p>
        </w:tc>
      </w:tr>
      <w:tr w:rsidR="009F241A" w:rsidRPr="00BA7C9E" w:rsidTr="009F241A">
        <w:tc>
          <w:tcPr>
            <w:tcW w:w="791" w:type="dxa"/>
          </w:tcPr>
          <w:p w:rsidR="009F241A" w:rsidRPr="00BA7C9E" w:rsidRDefault="009F241A" w:rsidP="00F32CCD">
            <w:pPr>
              <w:spacing w:before="38"/>
              <w:rPr>
                <w:i/>
              </w:rPr>
            </w:pPr>
          </w:p>
        </w:tc>
        <w:tc>
          <w:tcPr>
            <w:tcW w:w="3591" w:type="dxa"/>
          </w:tcPr>
          <w:p w:rsidR="009F241A" w:rsidRPr="00BA7C9E" w:rsidRDefault="009F241A" w:rsidP="00F741AA">
            <w:pPr>
              <w:spacing w:line="240" w:lineRule="auto"/>
              <w:rPr>
                <w:szCs w:val="19"/>
              </w:rPr>
            </w:pPr>
            <w:r w:rsidRPr="00BA7C9E">
              <w:rPr>
                <w:sz w:val="16"/>
                <w:szCs w:val="16"/>
              </w:rPr>
              <w:t xml:space="preserve">Förändringen i årets uppbörd med 7 476 tkr beror främst på att brytdagen har tidigarelagts från den 10 till den 5 januari. </w:t>
            </w:r>
          </w:p>
        </w:tc>
        <w:tc>
          <w:tcPr>
            <w:tcW w:w="912" w:type="dxa"/>
          </w:tcPr>
          <w:p w:rsidR="009F241A" w:rsidRPr="00BA7C9E" w:rsidRDefault="009F241A" w:rsidP="00F32CCD">
            <w:pPr>
              <w:jc w:val="left"/>
              <w:rPr>
                <w:szCs w:val="19"/>
              </w:rPr>
            </w:pPr>
          </w:p>
        </w:tc>
        <w:tc>
          <w:tcPr>
            <w:tcW w:w="913" w:type="dxa"/>
          </w:tcPr>
          <w:p w:rsidR="009F241A" w:rsidRPr="00BA7C9E" w:rsidRDefault="009F241A" w:rsidP="00F32CCD">
            <w:pPr>
              <w:jc w:val="left"/>
              <w:rPr>
                <w:szCs w:val="19"/>
              </w:rPr>
            </w:pPr>
          </w:p>
        </w:tc>
      </w:tr>
    </w:tbl>
    <w:p w:rsidR="00F32CCD" w:rsidRPr="00BA7C9E" w:rsidRDefault="00F32CCD" w:rsidP="002F1DC1">
      <w:pPr>
        <w:pStyle w:val="R4"/>
      </w:pPr>
      <w:bookmarkStart w:id="141" w:name="_Toc190535516"/>
      <w:bookmarkStart w:id="142" w:name="_Toc190762633"/>
      <w:r w:rsidRPr="00BA7C9E">
        <w:t>Balansräkning</w:t>
      </w:r>
      <w:bookmarkEnd w:id="141"/>
      <w:bookmarkEnd w:id="142"/>
    </w:p>
    <w:tbl>
      <w:tblPr>
        <w:tblW w:w="6209" w:type="dxa"/>
        <w:tblLayout w:type="fixed"/>
        <w:tblCellMar>
          <w:left w:w="70" w:type="dxa"/>
          <w:right w:w="70" w:type="dxa"/>
        </w:tblCellMar>
        <w:tblLook w:val="0000" w:firstRow="0" w:lastRow="0" w:firstColumn="0" w:lastColumn="0" w:noHBand="0" w:noVBand="0"/>
      </w:tblPr>
      <w:tblGrid>
        <w:gridCol w:w="792"/>
        <w:gridCol w:w="3596"/>
        <w:gridCol w:w="906"/>
        <w:gridCol w:w="915"/>
      </w:tblGrid>
      <w:tr w:rsidR="00B813D4" w:rsidRPr="00BA7C9E" w:rsidTr="00B813D4">
        <w:tc>
          <w:tcPr>
            <w:tcW w:w="792" w:type="dxa"/>
          </w:tcPr>
          <w:p w:rsidR="00B813D4" w:rsidRPr="00BA7C9E" w:rsidRDefault="00B813D4" w:rsidP="00F32CCD">
            <w:pPr>
              <w:rPr>
                <w:b/>
              </w:rPr>
            </w:pPr>
          </w:p>
        </w:tc>
        <w:tc>
          <w:tcPr>
            <w:tcW w:w="3596" w:type="dxa"/>
          </w:tcPr>
          <w:p w:rsidR="00B813D4" w:rsidRPr="00BA7C9E" w:rsidRDefault="00B813D4" w:rsidP="00F32CCD">
            <w:pPr>
              <w:jc w:val="left"/>
              <w:rPr>
                <w:b/>
              </w:rPr>
            </w:pPr>
          </w:p>
        </w:tc>
        <w:tc>
          <w:tcPr>
            <w:tcW w:w="906" w:type="dxa"/>
          </w:tcPr>
          <w:p w:rsidR="00B813D4" w:rsidRPr="00BA7C9E" w:rsidRDefault="00B813D4" w:rsidP="00F32CCD">
            <w:pPr>
              <w:jc w:val="right"/>
              <w:rPr>
                <w:b/>
              </w:rPr>
            </w:pPr>
          </w:p>
        </w:tc>
        <w:tc>
          <w:tcPr>
            <w:tcW w:w="915" w:type="dxa"/>
          </w:tcPr>
          <w:p w:rsidR="00B813D4" w:rsidRPr="00BA7C9E" w:rsidRDefault="00B813D4" w:rsidP="00F32CCD">
            <w:pPr>
              <w:jc w:val="right"/>
              <w:rPr>
                <w:b/>
              </w:rPr>
            </w:pPr>
          </w:p>
        </w:tc>
      </w:tr>
      <w:tr w:rsidR="00B813D4" w:rsidRPr="00BA7C9E" w:rsidTr="00B813D4">
        <w:tc>
          <w:tcPr>
            <w:tcW w:w="792" w:type="dxa"/>
          </w:tcPr>
          <w:p w:rsidR="00B813D4" w:rsidRPr="00BA7C9E" w:rsidRDefault="00B813D4" w:rsidP="00F741AA">
            <w:r w:rsidRPr="00BA7C9E">
              <w:rPr>
                <w:b/>
              </w:rPr>
              <w:t xml:space="preserve">Not </w:t>
            </w:r>
            <w:r w:rsidR="00F741AA" w:rsidRPr="00BA7C9E">
              <w:rPr>
                <w:b/>
              </w:rPr>
              <w:t>7</w:t>
            </w:r>
          </w:p>
        </w:tc>
        <w:tc>
          <w:tcPr>
            <w:tcW w:w="3596" w:type="dxa"/>
          </w:tcPr>
          <w:p w:rsidR="00B813D4" w:rsidRPr="00BA7C9E" w:rsidRDefault="00B813D4" w:rsidP="00F32CCD">
            <w:pPr>
              <w:jc w:val="left"/>
              <w:rPr>
                <w:b/>
              </w:rPr>
            </w:pPr>
            <w:r w:rsidRPr="00BA7C9E">
              <w:rPr>
                <w:b/>
              </w:rPr>
              <w:t>Balanserade utgifter för utveckling</w:t>
            </w:r>
          </w:p>
        </w:tc>
        <w:tc>
          <w:tcPr>
            <w:tcW w:w="906" w:type="dxa"/>
          </w:tcPr>
          <w:p w:rsidR="00B813D4" w:rsidRPr="00BA7C9E" w:rsidRDefault="00B813D4" w:rsidP="00F32CCD">
            <w:pPr>
              <w:jc w:val="right"/>
              <w:rPr>
                <w:b/>
              </w:rPr>
            </w:pPr>
            <w:r w:rsidRPr="00BA7C9E">
              <w:rPr>
                <w:b/>
              </w:rPr>
              <w:t>2011</w:t>
            </w:r>
          </w:p>
        </w:tc>
        <w:tc>
          <w:tcPr>
            <w:tcW w:w="915" w:type="dxa"/>
          </w:tcPr>
          <w:p w:rsidR="00B813D4" w:rsidRPr="00BA7C9E" w:rsidRDefault="00B813D4" w:rsidP="00F32CCD">
            <w:pPr>
              <w:jc w:val="right"/>
              <w:rPr>
                <w:b/>
              </w:rPr>
            </w:pPr>
            <w:r w:rsidRPr="00BA7C9E">
              <w:rPr>
                <w:b/>
              </w:rPr>
              <w:t>2010</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Ingående anskaffningsvärde</w:t>
            </w:r>
          </w:p>
        </w:tc>
        <w:tc>
          <w:tcPr>
            <w:tcW w:w="906" w:type="dxa"/>
          </w:tcPr>
          <w:p w:rsidR="00B813D4" w:rsidRPr="00BA7C9E" w:rsidRDefault="00B813D4" w:rsidP="00F32CCD">
            <w:pPr>
              <w:jc w:val="right"/>
            </w:pPr>
            <w:r w:rsidRPr="00BA7C9E">
              <w:t>21 482</w:t>
            </w:r>
          </w:p>
        </w:tc>
        <w:tc>
          <w:tcPr>
            <w:tcW w:w="915" w:type="dxa"/>
          </w:tcPr>
          <w:p w:rsidR="00B813D4" w:rsidRPr="00BA7C9E" w:rsidRDefault="00B813D4" w:rsidP="00F32CCD">
            <w:pPr>
              <w:jc w:val="right"/>
            </w:pPr>
            <w:r w:rsidRPr="00BA7C9E">
              <w:t>21 874</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Årets anskaffningar</w:t>
            </w:r>
          </w:p>
        </w:tc>
        <w:tc>
          <w:tcPr>
            <w:tcW w:w="906" w:type="dxa"/>
          </w:tcPr>
          <w:p w:rsidR="00B813D4" w:rsidRPr="00BA7C9E" w:rsidRDefault="00B813D4" w:rsidP="00F32CCD">
            <w:pPr>
              <w:jc w:val="right"/>
            </w:pPr>
            <w:r w:rsidRPr="00BA7C9E">
              <w:t>45</w:t>
            </w:r>
          </w:p>
        </w:tc>
        <w:tc>
          <w:tcPr>
            <w:tcW w:w="915" w:type="dxa"/>
          </w:tcPr>
          <w:p w:rsidR="00B813D4" w:rsidRPr="00BA7C9E" w:rsidRDefault="00B813D4" w:rsidP="00F32CCD">
            <w:pPr>
              <w:jc w:val="right"/>
            </w:pPr>
            <w:r w:rsidRPr="00BA7C9E">
              <w:t>663</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Utrangering</w:t>
            </w:r>
          </w:p>
        </w:tc>
        <w:tc>
          <w:tcPr>
            <w:tcW w:w="906" w:type="dxa"/>
          </w:tcPr>
          <w:p w:rsidR="00B813D4" w:rsidRPr="00BA7C9E" w:rsidRDefault="00B813D4" w:rsidP="00F32CCD">
            <w:pPr>
              <w:jc w:val="right"/>
            </w:pPr>
            <w:r w:rsidRPr="00BA7C9E">
              <w:t>0</w:t>
            </w:r>
          </w:p>
        </w:tc>
        <w:tc>
          <w:tcPr>
            <w:tcW w:w="915" w:type="dxa"/>
          </w:tcPr>
          <w:p w:rsidR="00B813D4" w:rsidRPr="00BA7C9E" w:rsidRDefault="00B813D4" w:rsidP="00F32CCD">
            <w:pPr>
              <w:jc w:val="right"/>
            </w:pPr>
            <w:r w:rsidRPr="00BA7C9E">
              <w:rPr>
                <w:szCs w:val="19"/>
              </w:rPr>
              <w:t>–1 055</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pPr>
              <w:rPr>
                <w:b/>
              </w:rPr>
            </w:pPr>
            <w:r w:rsidRPr="00BA7C9E">
              <w:rPr>
                <w:b/>
              </w:rPr>
              <w:t xml:space="preserve">Utgående anskaffningsvärde </w:t>
            </w:r>
          </w:p>
        </w:tc>
        <w:tc>
          <w:tcPr>
            <w:tcW w:w="906" w:type="dxa"/>
          </w:tcPr>
          <w:p w:rsidR="00B813D4" w:rsidRPr="00BA7C9E" w:rsidRDefault="00B813D4" w:rsidP="00F32CCD">
            <w:pPr>
              <w:jc w:val="right"/>
              <w:rPr>
                <w:b/>
              </w:rPr>
            </w:pPr>
            <w:r w:rsidRPr="00BA7C9E">
              <w:rPr>
                <w:b/>
              </w:rPr>
              <w:t>21 527</w:t>
            </w:r>
          </w:p>
        </w:tc>
        <w:tc>
          <w:tcPr>
            <w:tcW w:w="915" w:type="dxa"/>
          </w:tcPr>
          <w:p w:rsidR="00B813D4" w:rsidRPr="00BA7C9E" w:rsidRDefault="00B813D4" w:rsidP="00F32CCD">
            <w:pPr>
              <w:jc w:val="right"/>
              <w:rPr>
                <w:b/>
              </w:rPr>
            </w:pPr>
            <w:r w:rsidRPr="00BA7C9E">
              <w:rPr>
                <w:b/>
              </w:rPr>
              <w:t>21 482</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Ingående ackumulerade avskrivningar</w:t>
            </w:r>
          </w:p>
        </w:tc>
        <w:tc>
          <w:tcPr>
            <w:tcW w:w="906" w:type="dxa"/>
          </w:tcPr>
          <w:p w:rsidR="00B813D4" w:rsidRPr="00BA7C9E" w:rsidRDefault="00B813D4" w:rsidP="00F32CCD">
            <w:pPr>
              <w:jc w:val="right"/>
            </w:pPr>
            <w:r w:rsidRPr="00BA7C9E">
              <w:rPr>
                <w:szCs w:val="19"/>
              </w:rPr>
              <w:t>–</w:t>
            </w:r>
            <w:r w:rsidRPr="00BA7C9E">
              <w:t>18 547</w:t>
            </w:r>
          </w:p>
        </w:tc>
        <w:tc>
          <w:tcPr>
            <w:tcW w:w="915" w:type="dxa"/>
          </w:tcPr>
          <w:p w:rsidR="00B813D4" w:rsidRPr="00BA7C9E" w:rsidRDefault="00B813D4" w:rsidP="00F32CCD">
            <w:pPr>
              <w:jc w:val="right"/>
            </w:pPr>
            <w:r w:rsidRPr="00BA7C9E">
              <w:rPr>
                <w:szCs w:val="19"/>
              </w:rPr>
              <w:t>–</w:t>
            </w:r>
            <w:r w:rsidRPr="00BA7C9E">
              <w:t>18 447</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Årets avskrivningar</w:t>
            </w:r>
          </w:p>
        </w:tc>
        <w:tc>
          <w:tcPr>
            <w:tcW w:w="906" w:type="dxa"/>
          </w:tcPr>
          <w:p w:rsidR="00B813D4" w:rsidRPr="00BA7C9E" w:rsidRDefault="00B813D4" w:rsidP="00F32CCD">
            <w:pPr>
              <w:jc w:val="right"/>
            </w:pPr>
            <w:r w:rsidRPr="00BA7C9E">
              <w:rPr>
                <w:szCs w:val="19"/>
              </w:rPr>
              <w:t>–</w:t>
            </w:r>
            <w:r w:rsidRPr="00BA7C9E">
              <w:t>555</w:t>
            </w:r>
          </w:p>
        </w:tc>
        <w:tc>
          <w:tcPr>
            <w:tcW w:w="915" w:type="dxa"/>
          </w:tcPr>
          <w:p w:rsidR="00B813D4" w:rsidRPr="00BA7C9E" w:rsidRDefault="00B813D4" w:rsidP="00F32CCD">
            <w:pPr>
              <w:jc w:val="right"/>
            </w:pPr>
            <w:r w:rsidRPr="00BA7C9E">
              <w:rPr>
                <w:szCs w:val="19"/>
              </w:rPr>
              <w:t>–117</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Årets nedskrivningar</w:t>
            </w:r>
          </w:p>
        </w:tc>
        <w:tc>
          <w:tcPr>
            <w:tcW w:w="906" w:type="dxa"/>
          </w:tcPr>
          <w:p w:rsidR="00B813D4" w:rsidRPr="00BA7C9E" w:rsidRDefault="00B813D4" w:rsidP="00F32CCD">
            <w:pPr>
              <w:jc w:val="right"/>
            </w:pPr>
            <w:r w:rsidRPr="00BA7C9E">
              <w:rPr>
                <w:szCs w:val="19"/>
              </w:rPr>
              <w:t>–</w:t>
            </w:r>
            <w:r w:rsidRPr="00BA7C9E">
              <w:t>2 425</w:t>
            </w:r>
          </w:p>
        </w:tc>
        <w:tc>
          <w:tcPr>
            <w:tcW w:w="915" w:type="dxa"/>
          </w:tcPr>
          <w:p w:rsidR="00B813D4" w:rsidRPr="00BA7C9E" w:rsidRDefault="00B813D4" w:rsidP="00F32CCD">
            <w:pPr>
              <w:jc w:val="right"/>
            </w:pPr>
            <w:r w:rsidRPr="00BA7C9E">
              <w:t>0</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r w:rsidRPr="00BA7C9E">
              <w:t>Korrigering av tidigare års avskrivningar</w:t>
            </w:r>
          </w:p>
        </w:tc>
        <w:tc>
          <w:tcPr>
            <w:tcW w:w="906" w:type="dxa"/>
          </w:tcPr>
          <w:p w:rsidR="00B813D4" w:rsidRPr="00BA7C9E" w:rsidRDefault="00B813D4" w:rsidP="00F32CCD">
            <w:pPr>
              <w:jc w:val="right"/>
            </w:pPr>
            <w:r w:rsidRPr="00BA7C9E">
              <w:t>0</w:t>
            </w:r>
          </w:p>
        </w:tc>
        <w:tc>
          <w:tcPr>
            <w:tcW w:w="915" w:type="dxa"/>
          </w:tcPr>
          <w:p w:rsidR="00B813D4" w:rsidRPr="00BA7C9E" w:rsidRDefault="00B813D4" w:rsidP="00F32CCD">
            <w:pPr>
              <w:jc w:val="right"/>
            </w:pPr>
            <w:r w:rsidRPr="00BA7C9E">
              <w:t>18</w:t>
            </w:r>
          </w:p>
        </w:tc>
      </w:tr>
      <w:tr w:rsidR="00B813D4" w:rsidRPr="00BA7C9E" w:rsidTr="00B813D4">
        <w:tc>
          <w:tcPr>
            <w:tcW w:w="792" w:type="dxa"/>
          </w:tcPr>
          <w:p w:rsidR="00B813D4" w:rsidRPr="00BA7C9E" w:rsidRDefault="00B813D4" w:rsidP="00F32CCD">
            <w:pPr>
              <w:spacing w:before="0"/>
            </w:pPr>
          </w:p>
        </w:tc>
        <w:tc>
          <w:tcPr>
            <w:tcW w:w="3596" w:type="dxa"/>
          </w:tcPr>
          <w:p w:rsidR="00B813D4" w:rsidRPr="00BA7C9E" w:rsidRDefault="00B813D4" w:rsidP="00F32CCD">
            <w:pPr>
              <w:rPr>
                <w:b/>
              </w:rPr>
            </w:pPr>
            <w:r w:rsidRPr="00BA7C9E">
              <w:rPr>
                <w:b/>
              </w:rPr>
              <w:t>Utgående ackumulerade avskrivningar</w:t>
            </w:r>
          </w:p>
        </w:tc>
        <w:tc>
          <w:tcPr>
            <w:tcW w:w="906" w:type="dxa"/>
          </w:tcPr>
          <w:p w:rsidR="00B813D4" w:rsidRPr="00BA7C9E" w:rsidRDefault="00B813D4" w:rsidP="00F32CCD">
            <w:pPr>
              <w:jc w:val="right"/>
              <w:rPr>
                <w:b/>
              </w:rPr>
            </w:pPr>
            <w:r w:rsidRPr="00BA7C9E">
              <w:rPr>
                <w:b/>
                <w:szCs w:val="19"/>
              </w:rPr>
              <w:t>–</w:t>
            </w:r>
            <w:r w:rsidRPr="00BA7C9E">
              <w:rPr>
                <w:b/>
              </w:rPr>
              <w:t>21 527</w:t>
            </w:r>
          </w:p>
        </w:tc>
        <w:tc>
          <w:tcPr>
            <w:tcW w:w="915" w:type="dxa"/>
          </w:tcPr>
          <w:p w:rsidR="00B813D4" w:rsidRPr="00BA7C9E" w:rsidRDefault="00B813D4" w:rsidP="00F32CCD">
            <w:pPr>
              <w:jc w:val="right"/>
              <w:rPr>
                <w:b/>
              </w:rPr>
            </w:pPr>
            <w:r w:rsidRPr="00BA7C9E">
              <w:rPr>
                <w:b/>
                <w:szCs w:val="19"/>
              </w:rPr>
              <w:t>–</w:t>
            </w:r>
            <w:r w:rsidRPr="00BA7C9E">
              <w:rPr>
                <w:b/>
              </w:rPr>
              <w:t>18 547</w:t>
            </w:r>
          </w:p>
        </w:tc>
      </w:tr>
      <w:tr w:rsidR="00B813D4" w:rsidRPr="00BA7C9E" w:rsidTr="00B813D4">
        <w:tc>
          <w:tcPr>
            <w:tcW w:w="792" w:type="dxa"/>
          </w:tcPr>
          <w:p w:rsidR="00B813D4" w:rsidRPr="00BA7C9E" w:rsidRDefault="00B813D4" w:rsidP="00F32CCD">
            <w:pPr>
              <w:spacing w:before="0"/>
              <w:rPr>
                <w:i/>
              </w:rPr>
            </w:pPr>
          </w:p>
        </w:tc>
        <w:tc>
          <w:tcPr>
            <w:tcW w:w="3596" w:type="dxa"/>
          </w:tcPr>
          <w:p w:rsidR="00B813D4" w:rsidRPr="00BA7C9E" w:rsidRDefault="00B813D4" w:rsidP="00F32CCD">
            <w:pPr>
              <w:rPr>
                <w:b/>
                <w:i/>
              </w:rPr>
            </w:pPr>
            <w:r w:rsidRPr="00BA7C9E">
              <w:rPr>
                <w:b/>
                <w:i/>
              </w:rPr>
              <w:t>Summa</w:t>
            </w:r>
          </w:p>
        </w:tc>
        <w:tc>
          <w:tcPr>
            <w:tcW w:w="906" w:type="dxa"/>
          </w:tcPr>
          <w:p w:rsidR="00B813D4" w:rsidRPr="00BA7C9E" w:rsidRDefault="00B813D4" w:rsidP="00F32CCD">
            <w:pPr>
              <w:jc w:val="right"/>
              <w:rPr>
                <w:b/>
                <w:i/>
              </w:rPr>
            </w:pPr>
            <w:r w:rsidRPr="00BA7C9E">
              <w:rPr>
                <w:b/>
                <w:i/>
              </w:rPr>
              <w:t>0</w:t>
            </w:r>
          </w:p>
        </w:tc>
        <w:tc>
          <w:tcPr>
            <w:tcW w:w="915" w:type="dxa"/>
          </w:tcPr>
          <w:p w:rsidR="00B813D4" w:rsidRPr="00BA7C9E" w:rsidRDefault="00B813D4" w:rsidP="00F32CCD">
            <w:pPr>
              <w:jc w:val="right"/>
              <w:rPr>
                <w:b/>
                <w:i/>
              </w:rPr>
            </w:pPr>
            <w:r w:rsidRPr="00BA7C9E">
              <w:rPr>
                <w:b/>
                <w:i/>
              </w:rPr>
              <w:t>2 935</w:t>
            </w:r>
          </w:p>
        </w:tc>
      </w:tr>
    </w:tbl>
    <w:p w:rsidR="00F32CCD" w:rsidRPr="00BA7C9E" w:rsidRDefault="00F32CCD" w:rsidP="00F32CCD"/>
    <w:p w:rsidR="00F32CCD" w:rsidRPr="00BA7C9E" w:rsidRDefault="00F32CCD" w:rsidP="00F32CCD">
      <w:r w:rsidRPr="00BA7C9E">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F32CCD" w:rsidRPr="00BA7C9E" w:rsidTr="00F32CCD">
        <w:tc>
          <w:tcPr>
            <w:tcW w:w="794" w:type="dxa"/>
          </w:tcPr>
          <w:p w:rsidR="00F32CCD" w:rsidRPr="00BA7C9E" w:rsidRDefault="00F32CCD" w:rsidP="00F741AA">
            <w:pPr>
              <w:rPr>
                <w:b/>
              </w:rPr>
            </w:pPr>
            <w:r w:rsidRPr="00BA7C9E">
              <w:rPr>
                <w:b/>
              </w:rPr>
              <w:t xml:space="preserve">Not </w:t>
            </w:r>
            <w:r w:rsidR="00F741AA" w:rsidRPr="00BA7C9E">
              <w:rPr>
                <w:b/>
              </w:rPr>
              <w:t>8</w:t>
            </w:r>
          </w:p>
        </w:tc>
        <w:tc>
          <w:tcPr>
            <w:tcW w:w="3600" w:type="dxa"/>
          </w:tcPr>
          <w:p w:rsidR="00F32CCD" w:rsidRPr="00BA7C9E" w:rsidRDefault="00F32CCD" w:rsidP="00F32CCD">
            <w:pPr>
              <w:jc w:val="left"/>
              <w:rPr>
                <w:b/>
              </w:rPr>
            </w:pPr>
            <w:r w:rsidRPr="00BA7C9E">
              <w:rPr>
                <w:b/>
              </w:rPr>
              <w:t>Rättigheter och andra immateriella a</w:t>
            </w:r>
            <w:r w:rsidRPr="00BA7C9E">
              <w:rPr>
                <w:b/>
              </w:rPr>
              <w:t>n</w:t>
            </w:r>
            <w:r w:rsidRPr="00BA7C9E">
              <w:rPr>
                <w:b/>
              </w:rPr>
              <w:t>läggningstillgångar</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Ingående anskaffningsvärde</w:t>
            </w:r>
          </w:p>
        </w:tc>
        <w:tc>
          <w:tcPr>
            <w:tcW w:w="907" w:type="dxa"/>
          </w:tcPr>
          <w:p w:rsidR="00F32CCD" w:rsidRPr="00BA7C9E" w:rsidRDefault="00F32CCD" w:rsidP="00F32CCD">
            <w:pPr>
              <w:jc w:val="right"/>
            </w:pPr>
            <w:r w:rsidRPr="00BA7C9E">
              <w:t>2 200</w:t>
            </w:r>
          </w:p>
        </w:tc>
        <w:tc>
          <w:tcPr>
            <w:tcW w:w="907" w:type="dxa"/>
          </w:tcPr>
          <w:p w:rsidR="00F32CCD" w:rsidRPr="00BA7C9E" w:rsidRDefault="00F32CCD" w:rsidP="00F32CCD">
            <w:pPr>
              <w:jc w:val="right"/>
            </w:pPr>
            <w:r w:rsidRPr="00BA7C9E">
              <w:t>2 177</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anskaffningar</w:t>
            </w:r>
          </w:p>
        </w:tc>
        <w:tc>
          <w:tcPr>
            <w:tcW w:w="907" w:type="dxa"/>
          </w:tcPr>
          <w:p w:rsidR="00F32CCD" w:rsidRPr="00BA7C9E" w:rsidRDefault="00F32CCD" w:rsidP="00F32CCD">
            <w:pPr>
              <w:jc w:val="right"/>
            </w:pPr>
            <w:r w:rsidRPr="00BA7C9E">
              <w:t>0</w:t>
            </w:r>
          </w:p>
        </w:tc>
        <w:tc>
          <w:tcPr>
            <w:tcW w:w="907" w:type="dxa"/>
          </w:tcPr>
          <w:p w:rsidR="00F32CCD" w:rsidRPr="00BA7C9E" w:rsidRDefault="00F32CCD" w:rsidP="00F32CCD">
            <w:pPr>
              <w:jc w:val="right"/>
            </w:pPr>
            <w:r w:rsidRPr="00BA7C9E">
              <w:t>23</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rPr>
            </w:pPr>
            <w:r w:rsidRPr="00BA7C9E">
              <w:rPr>
                <w:b/>
              </w:rPr>
              <w:t>Utgående anskaffningsvärde</w:t>
            </w:r>
          </w:p>
        </w:tc>
        <w:tc>
          <w:tcPr>
            <w:tcW w:w="907" w:type="dxa"/>
          </w:tcPr>
          <w:p w:rsidR="00F32CCD" w:rsidRPr="00BA7C9E" w:rsidRDefault="00F32CCD" w:rsidP="00F32CCD">
            <w:pPr>
              <w:jc w:val="right"/>
              <w:rPr>
                <w:b/>
              </w:rPr>
            </w:pPr>
            <w:r w:rsidRPr="00BA7C9E">
              <w:rPr>
                <w:b/>
              </w:rPr>
              <w:t>2 200</w:t>
            </w:r>
          </w:p>
        </w:tc>
        <w:tc>
          <w:tcPr>
            <w:tcW w:w="907" w:type="dxa"/>
          </w:tcPr>
          <w:p w:rsidR="00F32CCD" w:rsidRPr="00BA7C9E" w:rsidRDefault="00F32CCD" w:rsidP="00F32CCD">
            <w:pPr>
              <w:jc w:val="right"/>
              <w:rPr>
                <w:b/>
              </w:rPr>
            </w:pPr>
            <w:r w:rsidRPr="00BA7C9E">
              <w:rPr>
                <w:b/>
              </w:rPr>
              <w:t>2 200</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Ingående ackumulerade avskrivningar</w:t>
            </w:r>
          </w:p>
        </w:tc>
        <w:tc>
          <w:tcPr>
            <w:tcW w:w="907" w:type="dxa"/>
          </w:tcPr>
          <w:p w:rsidR="00F32CCD" w:rsidRPr="00BA7C9E" w:rsidRDefault="00F32CCD" w:rsidP="00F32CCD">
            <w:pPr>
              <w:jc w:val="right"/>
            </w:pPr>
            <w:r w:rsidRPr="00BA7C9E">
              <w:rPr>
                <w:szCs w:val="19"/>
              </w:rPr>
              <w:t>–</w:t>
            </w:r>
            <w:r w:rsidRPr="00BA7C9E">
              <w:t>1 914</w:t>
            </w:r>
          </w:p>
        </w:tc>
        <w:tc>
          <w:tcPr>
            <w:tcW w:w="907" w:type="dxa"/>
          </w:tcPr>
          <w:p w:rsidR="00F32CCD" w:rsidRPr="00BA7C9E" w:rsidRDefault="00F32CCD" w:rsidP="00F32CCD">
            <w:pPr>
              <w:jc w:val="right"/>
            </w:pPr>
            <w:r w:rsidRPr="00BA7C9E">
              <w:rPr>
                <w:szCs w:val="19"/>
              </w:rPr>
              <w:t>–1 809</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avskrivningar</w:t>
            </w:r>
          </w:p>
        </w:tc>
        <w:tc>
          <w:tcPr>
            <w:tcW w:w="907" w:type="dxa"/>
          </w:tcPr>
          <w:p w:rsidR="00F32CCD" w:rsidRPr="00BA7C9E" w:rsidRDefault="00F32CCD" w:rsidP="00F32CCD">
            <w:pPr>
              <w:jc w:val="right"/>
            </w:pPr>
            <w:r w:rsidRPr="00BA7C9E">
              <w:t>–106</w:t>
            </w:r>
          </w:p>
        </w:tc>
        <w:tc>
          <w:tcPr>
            <w:tcW w:w="907" w:type="dxa"/>
          </w:tcPr>
          <w:p w:rsidR="00F32CCD" w:rsidRPr="00BA7C9E" w:rsidRDefault="00F32CCD" w:rsidP="00F32CCD">
            <w:pPr>
              <w:jc w:val="right"/>
            </w:pPr>
            <w:r w:rsidRPr="00BA7C9E">
              <w:t>–105</w:t>
            </w:r>
          </w:p>
        </w:tc>
      </w:tr>
      <w:tr w:rsidR="00F32CCD" w:rsidRPr="00BA7C9E" w:rsidTr="00F32CCD">
        <w:tc>
          <w:tcPr>
            <w:tcW w:w="794" w:type="dxa"/>
          </w:tcPr>
          <w:p w:rsidR="00F32CCD" w:rsidRPr="00BA7C9E" w:rsidRDefault="00F32CCD" w:rsidP="00F32CCD">
            <w:pPr>
              <w:spacing w:before="0"/>
            </w:pPr>
            <w:r w:rsidRPr="00BA7C9E">
              <w:t xml:space="preserve"> </w:t>
            </w:r>
          </w:p>
        </w:tc>
        <w:tc>
          <w:tcPr>
            <w:tcW w:w="3600" w:type="dxa"/>
          </w:tcPr>
          <w:p w:rsidR="00F32CCD" w:rsidRPr="00BA7C9E" w:rsidRDefault="00F32CCD" w:rsidP="00F32CCD">
            <w:pPr>
              <w:rPr>
                <w:b/>
              </w:rPr>
            </w:pPr>
            <w:r w:rsidRPr="00BA7C9E">
              <w:rPr>
                <w:b/>
              </w:rPr>
              <w:t>Utgående ackumulerade avskrivningar</w:t>
            </w:r>
          </w:p>
        </w:tc>
        <w:tc>
          <w:tcPr>
            <w:tcW w:w="907" w:type="dxa"/>
          </w:tcPr>
          <w:p w:rsidR="00F32CCD" w:rsidRPr="00BA7C9E" w:rsidRDefault="00F32CCD" w:rsidP="00F32CCD">
            <w:pPr>
              <w:jc w:val="right"/>
              <w:rPr>
                <w:b/>
              </w:rPr>
            </w:pPr>
            <w:r w:rsidRPr="00BA7C9E">
              <w:rPr>
                <w:b/>
                <w:szCs w:val="19"/>
              </w:rPr>
              <w:t>–</w:t>
            </w:r>
            <w:r w:rsidRPr="00BA7C9E">
              <w:rPr>
                <w:b/>
              </w:rPr>
              <w:t>2 020</w:t>
            </w:r>
          </w:p>
        </w:tc>
        <w:tc>
          <w:tcPr>
            <w:tcW w:w="907" w:type="dxa"/>
          </w:tcPr>
          <w:p w:rsidR="00F32CCD" w:rsidRPr="00BA7C9E" w:rsidRDefault="00F32CCD" w:rsidP="00F32CCD">
            <w:pPr>
              <w:jc w:val="right"/>
              <w:rPr>
                <w:b/>
              </w:rPr>
            </w:pPr>
            <w:r w:rsidRPr="00BA7C9E">
              <w:rPr>
                <w:b/>
                <w:szCs w:val="19"/>
              </w:rPr>
              <w:t>–</w:t>
            </w:r>
            <w:r w:rsidRPr="00BA7C9E">
              <w:rPr>
                <w:b/>
              </w:rPr>
              <w:t>1 914</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i/>
              </w:rPr>
            </w:pPr>
            <w:r w:rsidRPr="00BA7C9E">
              <w:rPr>
                <w:b/>
                <w:i/>
              </w:rPr>
              <w:t>Summa</w:t>
            </w:r>
          </w:p>
        </w:tc>
        <w:tc>
          <w:tcPr>
            <w:tcW w:w="907" w:type="dxa"/>
          </w:tcPr>
          <w:p w:rsidR="00F32CCD" w:rsidRPr="00BA7C9E" w:rsidRDefault="00F32CCD" w:rsidP="00F32CCD">
            <w:pPr>
              <w:jc w:val="right"/>
              <w:rPr>
                <w:b/>
                <w:i/>
              </w:rPr>
            </w:pPr>
            <w:r w:rsidRPr="00BA7C9E">
              <w:rPr>
                <w:b/>
                <w:i/>
              </w:rPr>
              <w:t>180</w:t>
            </w:r>
          </w:p>
        </w:tc>
        <w:tc>
          <w:tcPr>
            <w:tcW w:w="907" w:type="dxa"/>
          </w:tcPr>
          <w:p w:rsidR="00F32CCD" w:rsidRPr="00BA7C9E" w:rsidRDefault="00F32CCD" w:rsidP="00F32CCD">
            <w:pPr>
              <w:jc w:val="right"/>
              <w:rPr>
                <w:b/>
                <w:i/>
              </w:rPr>
            </w:pPr>
            <w:r w:rsidRPr="00BA7C9E">
              <w:rPr>
                <w:b/>
                <w:i/>
              </w:rPr>
              <w:t>286</w:t>
            </w:r>
          </w:p>
        </w:tc>
      </w:tr>
    </w:tbl>
    <w:p w:rsidR="00F32CCD" w:rsidRPr="00BA7C9E" w:rsidRDefault="00F32CCD" w:rsidP="00F32CCD">
      <w:pPr>
        <w:spacing w:before="0" w:line="20" w:lineRule="exact"/>
        <w:ind w:firstLine="227"/>
        <w:rPr>
          <w:highlight w:val="yellow"/>
        </w:rPr>
      </w:pPr>
    </w:p>
    <w:p w:rsidR="00F32CCD" w:rsidRPr="00BA7C9E" w:rsidRDefault="00F32CCD" w:rsidP="00F32CCD"/>
    <w:tbl>
      <w:tblPr>
        <w:tblW w:w="7115" w:type="dxa"/>
        <w:tblLayout w:type="fixed"/>
        <w:tblCellMar>
          <w:left w:w="70" w:type="dxa"/>
          <w:right w:w="70" w:type="dxa"/>
        </w:tblCellMar>
        <w:tblLook w:val="0000" w:firstRow="0" w:lastRow="0" w:firstColumn="0" w:lastColumn="0" w:noHBand="0" w:noVBand="0"/>
      </w:tblPr>
      <w:tblGrid>
        <w:gridCol w:w="794"/>
        <w:gridCol w:w="3600"/>
        <w:gridCol w:w="907"/>
        <w:gridCol w:w="907"/>
        <w:gridCol w:w="907"/>
      </w:tblGrid>
      <w:tr w:rsidR="00F32CCD" w:rsidRPr="00BA7C9E" w:rsidTr="00F32CCD">
        <w:tc>
          <w:tcPr>
            <w:tcW w:w="794" w:type="dxa"/>
          </w:tcPr>
          <w:p w:rsidR="00F32CCD" w:rsidRPr="00BA7C9E" w:rsidRDefault="00F32CCD" w:rsidP="00F741AA">
            <w:pPr>
              <w:rPr>
                <w:b/>
              </w:rPr>
            </w:pPr>
            <w:r w:rsidRPr="00BA7C9E">
              <w:rPr>
                <w:b/>
              </w:rPr>
              <w:t xml:space="preserve">Not </w:t>
            </w:r>
            <w:r w:rsidR="00F741AA" w:rsidRPr="00BA7C9E">
              <w:rPr>
                <w:b/>
              </w:rPr>
              <w:t>9</w:t>
            </w:r>
            <w:r w:rsidRPr="00BA7C9E">
              <w:rPr>
                <w:b/>
              </w:rPr>
              <w:t xml:space="preserve"> </w:t>
            </w:r>
          </w:p>
        </w:tc>
        <w:tc>
          <w:tcPr>
            <w:tcW w:w="3600" w:type="dxa"/>
          </w:tcPr>
          <w:p w:rsidR="00F32CCD" w:rsidRPr="00BA7C9E" w:rsidRDefault="00F32CCD" w:rsidP="00F32CCD">
            <w:pPr>
              <w:rPr>
                <w:b/>
              </w:rPr>
            </w:pPr>
            <w:r w:rsidRPr="00BA7C9E">
              <w:rPr>
                <w:b/>
              </w:rPr>
              <w:t>Förbättringsutgifter på annans fastighet</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tc>
        <w:tc>
          <w:tcPr>
            <w:tcW w:w="3600" w:type="dxa"/>
          </w:tcPr>
          <w:p w:rsidR="00F32CCD" w:rsidRPr="00BA7C9E" w:rsidRDefault="00F32CCD" w:rsidP="00F32CCD">
            <w:r w:rsidRPr="00BA7C9E">
              <w:t>Ingående anskaffningsvärde</w:t>
            </w:r>
          </w:p>
        </w:tc>
        <w:tc>
          <w:tcPr>
            <w:tcW w:w="907" w:type="dxa"/>
          </w:tcPr>
          <w:p w:rsidR="00F32CCD" w:rsidRPr="00BA7C9E" w:rsidRDefault="00F32CCD" w:rsidP="00F32CCD">
            <w:pPr>
              <w:jc w:val="right"/>
            </w:pPr>
            <w:r w:rsidRPr="00BA7C9E">
              <w:t>16 164</w:t>
            </w:r>
          </w:p>
        </w:tc>
        <w:tc>
          <w:tcPr>
            <w:tcW w:w="907" w:type="dxa"/>
          </w:tcPr>
          <w:p w:rsidR="00F32CCD" w:rsidRPr="00BA7C9E" w:rsidRDefault="00F32CCD" w:rsidP="00F32CCD">
            <w:pPr>
              <w:jc w:val="right"/>
            </w:pPr>
            <w:r w:rsidRPr="00BA7C9E">
              <w:t>15 846</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anskaffning</w:t>
            </w:r>
          </w:p>
        </w:tc>
        <w:tc>
          <w:tcPr>
            <w:tcW w:w="907" w:type="dxa"/>
          </w:tcPr>
          <w:p w:rsidR="00F32CCD" w:rsidRPr="00BA7C9E" w:rsidRDefault="00F32CCD" w:rsidP="00F32CCD">
            <w:pPr>
              <w:jc w:val="right"/>
            </w:pPr>
            <w:r w:rsidRPr="00BA7C9E">
              <w:t>0</w:t>
            </w:r>
          </w:p>
        </w:tc>
        <w:tc>
          <w:tcPr>
            <w:tcW w:w="907" w:type="dxa"/>
          </w:tcPr>
          <w:p w:rsidR="00F32CCD" w:rsidRPr="00BA7C9E" w:rsidRDefault="00F32CCD" w:rsidP="00F32CCD">
            <w:pPr>
              <w:jc w:val="right"/>
            </w:pPr>
            <w:r w:rsidRPr="00BA7C9E">
              <w:t>318</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rPr>
            </w:pPr>
            <w:r w:rsidRPr="00BA7C9E">
              <w:rPr>
                <w:b/>
              </w:rPr>
              <w:t>Utgående anskaffningsvärde</w:t>
            </w:r>
          </w:p>
        </w:tc>
        <w:tc>
          <w:tcPr>
            <w:tcW w:w="907" w:type="dxa"/>
          </w:tcPr>
          <w:p w:rsidR="00F32CCD" w:rsidRPr="00BA7C9E" w:rsidRDefault="00F32CCD" w:rsidP="00F32CCD">
            <w:pPr>
              <w:jc w:val="right"/>
              <w:rPr>
                <w:b/>
              </w:rPr>
            </w:pPr>
            <w:r w:rsidRPr="00BA7C9E">
              <w:rPr>
                <w:b/>
              </w:rPr>
              <w:t>16 164</w:t>
            </w:r>
          </w:p>
        </w:tc>
        <w:tc>
          <w:tcPr>
            <w:tcW w:w="907" w:type="dxa"/>
          </w:tcPr>
          <w:p w:rsidR="00F32CCD" w:rsidRPr="00BA7C9E" w:rsidRDefault="00F32CCD" w:rsidP="00F32CCD">
            <w:pPr>
              <w:jc w:val="right"/>
              <w:rPr>
                <w:b/>
              </w:rPr>
            </w:pPr>
            <w:r w:rsidRPr="00BA7C9E">
              <w:rPr>
                <w:b/>
              </w:rPr>
              <w:t>16 164</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Ingående ackumulerade avskrivningar</w:t>
            </w:r>
          </w:p>
        </w:tc>
        <w:tc>
          <w:tcPr>
            <w:tcW w:w="907" w:type="dxa"/>
          </w:tcPr>
          <w:p w:rsidR="00F32CCD" w:rsidRPr="00BA7C9E" w:rsidRDefault="00F32CCD" w:rsidP="00F32CCD">
            <w:pPr>
              <w:jc w:val="right"/>
            </w:pPr>
            <w:r w:rsidRPr="00BA7C9E">
              <w:rPr>
                <w:szCs w:val="19"/>
              </w:rPr>
              <w:t>–</w:t>
            </w:r>
            <w:r w:rsidRPr="00BA7C9E">
              <w:t>15 522</w:t>
            </w:r>
          </w:p>
        </w:tc>
        <w:tc>
          <w:tcPr>
            <w:tcW w:w="907" w:type="dxa"/>
          </w:tcPr>
          <w:p w:rsidR="00F32CCD" w:rsidRPr="00BA7C9E" w:rsidRDefault="00F32CCD" w:rsidP="00F32CCD">
            <w:pPr>
              <w:jc w:val="right"/>
            </w:pPr>
            <w:r w:rsidRPr="00BA7C9E">
              <w:rPr>
                <w:szCs w:val="19"/>
              </w:rPr>
              <w:t>–</w:t>
            </w:r>
            <w:r w:rsidRPr="00BA7C9E">
              <w:t>15 387</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avskrivningar</w:t>
            </w:r>
          </w:p>
        </w:tc>
        <w:tc>
          <w:tcPr>
            <w:tcW w:w="907" w:type="dxa"/>
          </w:tcPr>
          <w:p w:rsidR="00F32CCD" w:rsidRPr="00BA7C9E" w:rsidRDefault="00F32CCD" w:rsidP="00F32CCD">
            <w:pPr>
              <w:jc w:val="right"/>
            </w:pPr>
            <w:r w:rsidRPr="00BA7C9E">
              <w:rPr>
                <w:szCs w:val="19"/>
              </w:rPr>
              <w:t>–</w:t>
            </w:r>
            <w:r w:rsidRPr="00BA7C9E">
              <w:t>192</w:t>
            </w:r>
          </w:p>
        </w:tc>
        <w:tc>
          <w:tcPr>
            <w:tcW w:w="907" w:type="dxa"/>
          </w:tcPr>
          <w:p w:rsidR="00F32CCD" w:rsidRPr="00BA7C9E" w:rsidRDefault="00F32CCD" w:rsidP="00F32CCD">
            <w:pPr>
              <w:jc w:val="right"/>
            </w:pPr>
            <w:r w:rsidRPr="00BA7C9E">
              <w:rPr>
                <w:szCs w:val="19"/>
              </w:rPr>
              <w:t>–135</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tc>
        <w:tc>
          <w:tcPr>
            <w:tcW w:w="3600" w:type="dxa"/>
          </w:tcPr>
          <w:p w:rsidR="00F32CCD" w:rsidRPr="00BA7C9E" w:rsidRDefault="00F32CCD" w:rsidP="00F32CCD">
            <w:pPr>
              <w:rPr>
                <w:b/>
              </w:rPr>
            </w:pPr>
            <w:r w:rsidRPr="00BA7C9E">
              <w:rPr>
                <w:b/>
              </w:rPr>
              <w:t>Utgående ackumulerade avskrivningar</w:t>
            </w:r>
          </w:p>
        </w:tc>
        <w:tc>
          <w:tcPr>
            <w:tcW w:w="907" w:type="dxa"/>
          </w:tcPr>
          <w:p w:rsidR="00F32CCD" w:rsidRPr="00BA7C9E" w:rsidRDefault="00F32CCD" w:rsidP="00F32CCD">
            <w:pPr>
              <w:jc w:val="right"/>
              <w:rPr>
                <w:b/>
              </w:rPr>
            </w:pPr>
            <w:r w:rsidRPr="00BA7C9E">
              <w:rPr>
                <w:b/>
                <w:szCs w:val="19"/>
              </w:rPr>
              <w:t>–</w:t>
            </w:r>
            <w:r w:rsidRPr="00BA7C9E">
              <w:rPr>
                <w:b/>
              </w:rPr>
              <w:t>15 715</w:t>
            </w:r>
          </w:p>
        </w:tc>
        <w:tc>
          <w:tcPr>
            <w:tcW w:w="907" w:type="dxa"/>
          </w:tcPr>
          <w:p w:rsidR="00F32CCD" w:rsidRPr="00BA7C9E" w:rsidRDefault="00F32CCD" w:rsidP="00F32CCD">
            <w:pPr>
              <w:jc w:val="right"/>
              <w:rPr>
                <w:b/>
              </w:rPr>
            </w:pPr>
            <w:r w:rsidRPr="00BA7C9E">
              <w:rPr>
                <w:b/>
                <w:szCs w:val="19"/>
              </w:rPr>
              <w:t>–</w:t>
            </w:r>
            <w:r w:rsidRPr="00BA7C9E">
              <w:rPr>
                <w:b/>
              </w:rPr>
              <w:t>15 522</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tc>
        <w:tc>
          <w:tcPr>
            <w:tcW w:w="3600" w:type="dxa"/>
          </w:tcPr>
          <w:p w:rsidR="00F32CCD" w:rsidRPr="00BA7C9E" w:rsidRDefault="00F32CCD" w:rsidP="00F32CCD">
            <w:pPr>
              <w:rPr>
                <w:b/>
                <w:i/>
              </w:rPr>
            </w:pPr>
            <w:r w:rsidRPr="00BA7C9E">
              <w:rPr>
                <w:b/>
                <w:i/>
              </w:rPr>
              <w:t>Summa</w:t>
            </w:r>
          </w:p>
        </w:tc>
        <w:tc>
          <w:tcPr>
            <w:tcW w:w="907" w:type="dxa"/>
          </w:tcPr>
          <w:p w:rsidR="00F32CCD" w:rsidRPr="00BA7C9E" w:rsidRDefault="00F32CCD" w:rsidP="00F32CCD">
            <w:pPr>
              <w:jc w:val="right"/>
              <w:rPr>
                <w:b/>
                <w:i/>
              </w:rPr>
            </w:pPr>
            <w:r w:rsidRPr="00BA7C9E">
              <w:rPr>
                <w:b/>
                <w:i/>
              </w:rPr>
              <w:t>449</w:t>
            </w:r>
          </w:p>
        </w:tc>
        <w:tc>
          <w:tcPr>
            <w:tcW w:w="907" w:type="dxa"/>
          </w:tcPr>
          <w:p w:rsidR="00F32CCD" w:rsidRPr="00BA7C9E" w:rsidRDefault="00F32CCD" w:rsidP="00F32CCD">
            <w:pPr>
              <w:jc w:val="right"/>
              <w:rPr>
                <w:b/>
                <w:i/>
              </w:rPr>
            </w:pPr>
            <w:r w:rsidRPr="00BA7C9E">
              <w:rPr>
                <w:b/>
                <w:i/>
              </w:rPr>
              <w:t>642</w:t>
            </w:r>
          </w:p>
        </w:tc>
        <w:tc>
          <w:tcPr>
            <w:tcW w:w="907" w:type="dxa"/>
          </w:tcPr>
          <w:p w:rsidR="00F32CCD" w:rsidRPr="00BA7C9E" w:rsidRDefault="00F32CCD" w:rsidP="00F32CCD">
            <w:pPr>
              <w:jc w:val="right"/>
              <w:rPr>
                <w:b/>
                <w:i/>
              </w:rPr>
            </w:pPr>
          </w:p>
        </w:tc>
      </w:tr>
    </w:tbl>
    <w:p w:rsidR="00F32CCD" w:rsidRPr="00BA7C9E" w:rsidRDefault="00F32CCD" w:rsidP="00F32CCD">
      <w:pPr>
        <w:rPr>
          <w:highlight w:val="yellow"/>
        </w:rPr>
      </w:pPr>
    </w:p>
    <w:tbl>
      <w:tblPr>
        <w:tblW w:w="7115" w:type="dxa"/>
        <w:tblLayout w:type="fixed"/>
        <w:tblCellMar>
          <w:left w:w="70" w:type="dxa"/>
          <w:right w:w="70" w:type="dxa"/>
        </w:tblCellMar>
        <w:tblLook w:val="0000" w:firstRow="0" w:lastRow="0" w:firstColumn="0" w:lastColumn="0" w:noHBand="0" w:noVBand="0"/>
      </w:tblPr>
      <w:tblGrid>
        <w:gridCol w:w="794"/>
        <w:gridCol w:w="3600"/>
        <w:gridCol w:w="907"/>
        <w:gridCol w:w="907"/>
        <w:gridCol w:w="907"/>
      </w:tblGrid>
      <w:tr w:rsidR="00F32CCD" w:rsidRPr="00BA7C9E" w:rsidTr="00F32CCD">
        <w:tc>
          <w:tcPr>
            <w:tcW w:w="794" w:type="dxa"/>
          </w:tcPr>
          <w:p w:rsidR="00F32CCD" w:rsidRPr="00BA7C9E" w:rsidRDefault="00F32CCD" w:rsidP="00F741AA">
            <w:pPr>
              <w:rPr>
                <w:b/>
              </w:rPr>
            </w:pPr>
            <w:r w:rsidRPr="00BA7C9E">
              <w:br w:type="page"/>
            </w:r>
            <w:r w:rsidRPr="00BA7C9E">
              <w:rPr>
                <w:b/>
              </w:rPr>
              <w:t>Not 1</w:t>
            </w:r>
            <w:r w:rsidR="00F741AA" w:rsidRPr="00BA7C9E">
              <w:rPr>
                <w:b/>
              </w:rPr>
              <w:t>0</w:t>
            </w:r>
          </w:p>
        </w:tc>
        <w:tc>
          <w:tcPr>
            <w:tcW w:w="3600" w:type="dxa"/>
          </w:tcPr>
          <w:p w:rsidR="00F32CCD" w:rsidRPr="00BA7C9E" w:rsidRDefault="00F32CCD" w:rsidP="00F32CCD">
            <w:pPr>
              <w:rPr>
                <w:b/>
              </w:rPr>
            </w:pPr>
            <w:r w:rsidRPr="00BA7C9E">
              <w:rPr>
                <w:b/>
              </w:rPr>
              <w:t>Maskiner, inventarier, installationer m.m.</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Ingående anskaffningsvärde</w:t>
            </w:r>
          </w:p>
        </w:tc>
        <w:tc>
          <w:tcPr>
            <w:tcW w:w="907" w:type="dxa"/>
          </w:tcPr>
          <w:p w:rsidR="00F32CCD" w:rsidRPr="00BA7C9E" w:rsidRDefault="00F32CCD" w:rsidP="00F32CCD">
            <w:pPr>
              <w:jc w:val="right"/>
            </w:pPr>
            <w:r w:rsidRPr="00BA7C9E">
              <w:t>25 595</w:t>
            </w:r>
          </w:p>
        </w:tc>
        <w:tc>
          <w:tcPr>
            <w:tcW w:w="907" w:type="dxa"/>
          </w:tcPr>
          <w:p w:rsidR="00F32CCD" w:rsidRPr="00BA7C9E" w:rsidRDefault="00F32CCD" w:rsidP="00F32CCD">
            <w:pPr>
              <w:jc w:val="right"/>
            </w:pPr>
            <w:r w:rsidRPr="00BA7C9E">
              <w:t>25 800</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anskaffning</w:t>
            </w:r>
          </w:p>
        </w:tc>
        <w:tc>
          <w:tcPr>
            <w:tcW w:w="907" w:type="dxa"/>
          </w:tcPr>
          <w:p w:rsidR="00F32CCD" w:rsidRPr="00BA7C9E" w:rsidRDefault="00F32CCD" w:rsidP="00F32CCD">
            <w:pPr>
              <w:jc w:val="right"/>
            </w:pPr>
            <w:r w:rsidRPr="00BA7C9E">
              <w:t>1 555</w:t>
            </w:r>
          </w:p>
        </w:tc>
        <w:tc>
          <w:tcPr>
            <w:tcW w:w="907" w:type="dxa"/>
          </w:tcPr>
          <w:p w:rsidR="00F32CCD" w:rsidRPr="00BA7C9E" w:rsidRDefault="00F32CCD" w:rsidP="00F32CCD">
            <w:pPr>
              <w:jc w:val="right"/>
            </w:pPr>
            <w:r w:rsidRPr="00BA7C9E">
              <w:t>2 060</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Avyttringar</w:t>
            </w:r>
          </w:p>
        </w:tc>
        <w:tc>
          <w:tcPr>
            <w:tcW w:w="907" w:type="dxa"/>
          </w:tcPr>
          <w:p w:rsidR="00F32CCD" w:rsidRPr="00BA7C9E" w:rsidRDefault="00F32CCD" w:rsidP="00F32CCD">
            <w:pPr>
              <w:jc w:val="right"/>
            </w:pPr>
            <w:r w:rsidRPr="00BA7C9E">
              <w:rPr>
                <w:szCs w:val="19"/>
              </w:rPr>
              <w:t>–1 624</w:t>
            </w:r>
          </w:p>
        </w:tc>
        <w:tc>
          <w:tcPr>
            <w:tcW w:w="907" w:type="dxa"/>
          </w:tcPr>
          <w:p w:rsidR="00F32CCD" w:rsidRPr="00BA7C9E" w:rsidRDefault="00F32CCD" w:rsidP="00F32CCD">
            <w:pPr>
              <w:jc w:val="right"/>
            </w:pPr>
            <w:r w:rsidRPr="00BA7C9E">
              <w:rPr>
                <w:szCs w:val="19"/>
              </w:rPr>
              <w:t>–2 265</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rPr>
            </w:pPr>
            <w:r w:rsidRPr="00BA7C9E">
              <w:rPr>
                <w:b/>
              </w:rPr>
              <w:t>Utgående anskaffningsvärde</w:t>
            </w:r>
          </w:p>
        </w:tc>
        <w:tc>
          <w:tcPr>
            <w:tcW w:w="907" w:type="dxa"/>
          </w:tcPr>
          <w:p w:rsidR="00F32CCD" w:rsidRPr="00BA7C9E" w:rsidRDefault="00F32CCD" w:rsidP="00F32CCD">
            <w:pPr>
              <w:jc w:val="right"/>
              <w:rPr>
                <w:b/>
              </w:rPr>
            </w:pPr>
            <w:r w:rsidRPr="00BA7C9E">
              <w:rPr>
                <w:b/>
              </w:rPr>
              <w:t>25 526</w:t>
            </w:r>
          </w:p>
        </w:tc>
        <w:tc>
          <w:tcPr>
            <w:tcW w:w="907" w:type="dxa"/>
          </w:tcPr>
          <w:p w:rsidR="00F32CCD" w:rsidRPr="00BA7C9E" w:rsidRDefault="00F32CCD" w:rsidP="00F32CCD">
            <w:pPr>
              <w:jc w:val="right"/>
              <w:rPr>
                <w:b/>
              </w:rPr>
            </w:pPr>
            <w:r w:rsidRPr="00BA7C9E">
              <w:rPr>
                <w:b/>
              </w:rPr>
              <w:t>25 595</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Ingående ackumulerade avskrivningar</w:t>
            </w:r>
          </w:p>
        </w:tc>
        <w:tc>
          <w:tcPr>
            <w:tcW w:w="907" w:type="dxa"/>
          </w:tcPr>
          <w:p w:rsidR="00F32CCD" w:rsidRPr="00BA7C9E" w:rsidRDefault="00F32CCD" w:rsidP="00F32CCD">
            <w:pPr>
              <w:jc w:val="right"/>
            </w:pPr>
            <w:r w:rsidRPr="00BA7C9E">
              <w:rPr>
                <w:szCs w:val="19"/>
              </w:rPr>
              <w:t>–</w:t>
            </w:r>
            <w:r w:rsidRPr="00BA7C9E">
              <w:t>21 221</w:t>
            </w:r>
          </w:p>
        </w:tc>
        <w:tc>
          <w:tcPr>
            <w:tcW w:w="907" w:type="dxa"/>
          </w:tcPr>
          <w:p w:rsidR="00F32CCD" w:rsidRPr="00BA7C9E" w:rsidRDefault="00F32CCD" w:rsidP="00F32CCD">
            <w:pPr>
              <w:jc w:val="right"/>
            </w:pPr>
            <w:r w:rsidRPr="00BA7C9E">
              <w:rPr>
                <w:szCs w:val="19"/>
              </w:rPr>
              <w:t>–21 152</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Årets avskrivningar</w:t>
            </w:r>
          </w:p>
        </w:tc>
        <w:tc>
          <w:tcPr>
            <w:tcW w:w="907" w:type="dxa"/>
          </w:tcPr>
          <w:p w:rsidR="00F32CCD" w:rsidRPr="00BA7C9E" w:rsidRDefault="00F32CCD" w:rsidP="00F32CCD">
            <w:pPr>
              <w:jc w:val="right"/>
            </w:pPr>
            <w:r w:rsidRPr="00BA7C9E">
              <w:rPr>
                <w:szCs w:val="19"/>
              </w:rPr>
              <w:t>–</w:t>
            </w:r>
            <w:r w:rsidRPr="00BA7C9E">
              <w:t>1 766</w:t>
            </w:r>
          </w:p>
        </w:tc>
        <w:tc>
          <w:tcPr>
            <w:tcW w:w="907" w:type="dxa"/>
          </w:tcPr>
          <w:p w:rsidR="00F32CCD" w:rsidRPr="00BA7C9E" w:rsidRDefault="00F32CCD" w:rsidP="00F32CCD">
            <w:pPr>
              <w:jc w:val="right"/>
            </w:pPr>
            <w:r w:rsidRPr="00BA7C9E">
              <w:rPr>
                <w:szCs w:val="19"/>
              </w:rPr>
              <w:t>–2 331</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Avyttring</w:t>
            </w:r>
          </w:p>
        </w:tc>
        <w:tc>
          <w:tcPr>
            <w:tcW w:w="907" w:type="dxa"/>
          </w:tcPr>
          <w:p w:rsidR="00F32CCD" w:rsidRPr="00BA7C9E" w:rsidRDefault="00F32CCD" w:rsidP="00F32CCD">
            <w:pPr>
              <w:jc w:val="right"/>
            </w:pPr>
            <w:r w:rsidRPr="00BA7C9E">
              <w:t>1 624</w:t>
            </w:r>
          </w:p>
        </w:tc>
        <w:tc>
          <w:tcPr>
            <w:tcW w:w="907" w:type="dxa"/>
          </w:tcPr>
          <w:p w:rsidR="00F32CCD" w:rsidRPr="00BA7C9E" w:rsidRDefault="00F32CCD" w:rsidP="00F32CCD">
            <w:pPr>
              <w:jc w:val="right"/>
            </w:pPr>
            <w:r w:rsidRPr="00BA7C9E">
              <w:t>2 262</w:t>
            </w:r>
          </w:p>
        </w:tc>
        <w:tc>
          <w:tcPr>
            <w:tcW w:w="907" w:type="dxa"/>
          </w:tcPr>
          <w:p w:rsidR="00F32CCD" w:rsidRPr="00BA7C9E" w:rsidRDefault="00F32CCD" w:rsidP="00F32CCD">
            <w:pPr>
              <w:jc w:val="right"/>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rPr>
            </w:pPr>
            <w:r w:rsidRPr="00BA7C9E">
              <w:rPr>
                <w:b/>
              </w:rPr>
              <w:t>Utgående ackumulerade avskrivningar</w:t>
            </w:r>
          </w:p>
        </w:tc>
        <w:tc>
          <w:tcPr>
            <w:tcW w:w="907" w:type="dxa"/>
          </w:tcPr>
          <w:p w:rsidR="00F32CCD" w:rsidRPr="00BA7C9E" w:rsidRDefault="00F32CCD" w:rsidP="00F32CCD">
            <w:pPr>
              <w:jc w:val="right"/>
              <w:rPr>
                <w:b/>
              </w:rPr>
            </w:pPr>
            <w:r w:rsidRPr="00BA7C9E">
              <w:rPr>
                <w:b/>
                <w:szCs w:val="19"/>
              </w:rPr>
              <w:t>–</w:t>
            </w:r>
            <w:r w:rsidRPr="00BA7C9E">
              <w:rPr>
                <w:b/>
              </w:rPr>
              <w:t>21 363</w:t>
            </w:r>
          </w:p>
        </w:tc>
        <w:tc>
          <w:tcPr>
            <w:tcW w:w="907" w:type="dxa"/>
          </w:tcPr>
          <w:p w:rsidR="00F32CCD" w:rsidRPr="00BA7C9E" w:rsidRDefault="00F32CCD" w:rsidP="00F32CCD">
            <w:pPr>
              <w:jc w:val="right"/>
              <w:rPr>
                <w:b/>
              </w:rPr>
            </w:pPr>
            <w:r w:rsidRPr="00BA7C9E">
              <w:rPr>
                <w:b/>
                <w:szCs w:val="19"/>
              </w:rPr>
              <w:t>–</w:t>
            </w:r>
            <w:r w:rsidRPr="00BA7C9E">
              <w:rPr>
                <w:b/>
              </w:rPr>
              <w:t>21 221</w:t>
            </w: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i/>
              </w:rPr>
            </w:pPr>
            <w:r w:rsidRPr="00BA7C9E">
              <w:rPr>
                <w:b/>
                <w:i/>
              </w:rPr>
              <w:t>Summa</w:t>
            </w:r>
          </w:p>
        </w:tc>
        <w:tc>
          <w:tcPr>
            <w:tcW w:w="907" w:type="dxa"/>
          </w:tcPr>
          <w:p w:rsidR="00F32CCD" w:rsidRPr="00BA7C9E" w:rsidRDefault="00F32CCD" w:rsidP="00F32CCD">
            <w:pPr>
              <w:jc w:val="right"/>
              <w:rPr>
                <w:b/>
                <w:i/>
              </w:rPr>
            </w:pPr>
            <w:r w:rsidRPr="00BA7C9E">
              <w:rPr>
                <w:b/>
                <w:i/>
              </w:rPr>
              <w:t>4 163</w:t>
            </w:r>
          </w:p>
        </w:tc>
        <w:tc>
          <w:tcPr>
            <w:tcW w:w="907" w:type="dxa"/>
          </w:tcPr>
          <w:p w:rsidR="00F32CCD" w:rsidRPr="00BA7C9E" w:rsidRDefault="00F32CCD" w:rsidP="00F741AA">
            <w:pPr>
              <w:jc w:val="right"/>
            </w:pPr>
            <w:r w:rsidRPr="00BA7C9E">
              <w:rPr>
                <w:b/>
                <w:i/>
              </w:rPr>
              <w:t>4 374</w:t>
            </w:r>
          </w:p>
        </w:tc>
        <w:tc>
          <w:tcPr>
            <w:tcW w:w="907" w:type="dxa"/>
          </w:tcPr>
          <w:p w:rsidR="00F32CCD" w:rsidRPr="00BA7C9E" w:rsidRDefault="00F32CCD" w:rsidP="00F32CCD">
            <w:pPr>
              <w:jc w:val="right"/>
              <w:rPr>
                <w:b/>
                <w:i/>
              </w:rPr>
            </w:pPr>
          </w:p>
        </w:tc>
      </w:tr>
      <w:tr w:rsidR="00576386" w:rsidRPr="00BA7C9E" w:rsidTr="00F32CCD">
        <w:trPr>
          <w:gridAfter w:val="1"/>
          <w:wAfter w:w="907" w:type="dxa"/>
        </w:trPr>
        <w:tc>
          <w:tcPr>
            <w:tcW w:w="794" w:type="dxa"/>
          </w:tcPr>
          <w:p w:rsidR="00576386" w:rsidRPr="00BA7C9E" w:rsidRDefault="00576386" w:rsidP="00F32CCD">
            <w:pPr>
              <w:rPr>
                <w:b/>
              </w:rPr>
            </w:pPr>
          </w:p>
        </w:tc>
        <w:tc>
          <w:tcPr>
            <w:tcW w:w="3600" w:type="dxa"/>
          </w:tcPr>
          <w:p w:rsidR="00576386" w:rsidRPr="00BA7C9E" w:rsidRDefault="00576386" w:rsidP="00F32CCD">
            <w:pPr>
              <w:jc w:val="left"/>
              <w:rPr>
                <w:b/>
              </w:rPr>
            </w:pPr>
          </w:p>
        </w:tc>
        <w:tc>
          <w:tcPr>
            <w:tcW w:w="907" w:type="dxa"/>
          </w:tcPr>
          <w:p w:rsidR="00576386" w:rsidRPr="00BA7C9E" w:rsidRDefault="00576386" w:rsidP="00F32CCD">
            <w:pPr>
              <w:jc w:val="right"/>
              <w:rPr>
                <w:b/>
              </w:rPr>
            </w:pPr>
          </w:p>
        </w:tc>
        <w:tc>
          <w:tcPr>
            <w:tcW w:w="907" w:type="dxa"/>
          </w:tcPr>
          <w:p w:rsidR="00576386" w:rsidRPr="00BA7C9E" w:rsidRDefault="00576386" w:rsidP="00F32CCD">
            <w:pPr>
              <w:jc w:val="right"/>
              <w:rPr>
                <w:b/>
              </w:rPr>
            </w:pPr>
          </w:p>
        </w:tc>
      </w:tr>
      <w:tr w:rsidR="00F741AA" w:rsidRPr="00BA7C9E" w:rsidTr="00F32CCD">
        <w:trPr>
          <w:gridAfter w:val="1"/>
          <w:wAfter w:w="907" w:type="dxa"/>
        </w:trPr>
        <w:tc>
          <w:tcPr>
            <w:tcW w:w="794" w:type="dxa"/>
          </w:tcPr>
          <w:p w:rsidR="00F741AA" w:rsidRPr="00BA7C9E" w:rsidRDefault="00F741AA" w:rsidP="00F32CCD">
            <w:pPr>
              <w:rPr>
                <w:b/>
              </w:rPr>
            </w:pPr>
          </w:p>
        </w:tc>
        <w:tc>
          <w:tcPr>
            <w:tcW w:w="3600" w:type="dxa"/>
          </w:tcPr>
          <w:p w:rsidR="00F741AA" w:rsidRPr="00BA7C9E" w:rsidRDefault="00F741AA" w:rsidP="00F32CCD">
            <w:pPr>
              <w:jc w:val="left"/>
              <w:rPr>
                <w:b/>
              </w:rPr>
            </w:pPr>
          </w:p>
        </w:tc>
        <w:tc>
          <w:tcPr>
            <w:tcW w:w="907" w:type="dxa"/>
          </w:tcPr>
          <w:p w:rsidR="00F741AA" w:rsidRPr="00BA7C9E" w:rsidRDefault="00F741AA" w:rsidP="00F32CCD">
            <w:pPr>
              <w:jc w:val="right"/>
              <w:rPr>
                <w:b/>
              </w:rPr>
            </w:pPr>
          </w:p>
        </w:tc>
        <w:tc>
          <w:tcPr>
            <w:tcW w:w="907" w:type="dxa"/>
          </w:tcPr>
          <w:p w:rsidR="00F741AA" w:rsidRPr="00BA7C9E" w:rsidRDefault="00F741AA" w:rsidP="00F32CCD">
            <w:pPr>
              <w:jc w:val="right"/>
              <w:rPr>
                <w:b/>
              </w:rPr>
            </w:pPr>
          </w:p>
        </w:tc>
      </w:tr>
      <w:tr w:rsidR="001F711E" w:rsidRPr="00BA7C9E" w:rsidTr="00F32CCD">
        <w:trPr>
          <w:gridAfter w:val="1"/>
          <w:wAfter w:w="907" w:type="dxa"/>
        </w:trPr>
        <w:tc>
          <w:tcPr>
            <w:tcW w:w="794" w:type="dxa"/>
          </w:tcPr>
          <w:p w:rsidR="001F711E" w:rsidRPr="00BA7C9E" w:rsidRDefault="001F711E" w:rsidP="00F32CCD">
            <w:pPr>
              <w:rPr>
                <w:b/>
              </w:rPr>
            </w:pPr>
          </w:p>
        </w:tc>
        <w:tc>
          <w:tcPr>
            <w:tcW w:w="3600" w:type="dxa"/>
          </w:tcPr>
          <w:p w:rsidR="001F711E" w:rsidRPr="00BA7C9E" w:rsidRDefault="001F711E" w:rsidP="00F32CCD">
            <w:pPr>
              <w:jc w:val="left"/>
              <w:rPr>
                <w:b/>
              </w:rPr>
            </w:pPr>
          </w:p>
        </w:tc>
        <w:tc>
          <w:tcPr>
            <w:tcW w:w="907" w:type="dxa"/>
          </w:tcPr>
          <w:p w:rsidR="001F711E" w:rsidRPr="00BA7C9E" w:rsidRDefault="001F711E" w:rsidP="00F32CCD">
            <w:pPr>
              <w:jc w:val="right"/>
              <w:rPr>
                <w:b/>
              </w:rPr>
            </w:pPr>
          </w:p>
        </w:tc>
        <w:tc>
          <w:tcPr>
            <w:tcW w:w="907" w:type="dxa"/>
          </w:tcPr>
          <w:p w:rsidR="001F711E" w:rsidRPr="00BA7C9E" w:rsidRDefault="001F711E" w:rsidP="00F32CCD">
            <w:pPr>
              <w:jc w:val="right"/>
              <w:rPr>
                <w:b/>
              </w:rPr>
            </w:pPr>
          </w:p>
        </w:tc>
      </w:tr>
      <w:tr w:rsidR="00F741AA" w:rsidRPr="00BA7C9E" w:rsidTr="00F32CCD">
        <w:trPr>
          <w:gridAfter w:val="1"/>
          <w:wAfter w:w="907" w:type="dxa"/>
        </w:trPr>
        <w:tc>
          <w:tcPr>
            <w:tcW w:w="794" w:type="dxa"/>
          </w:tcPr>
          <w:p w:rsidR="00F741AA" w:rsidRPr="00BA7C9E" w:rsidRDefault="00F741AA" w:rsidP="00F32CCD">
            <w:pPr>
              <w:rPr>
                <w:b/>
              </w:rPr>
            </w:pPr>
          </w:p>
        </w:tc>
        <w:tc>
          <w:tcPr>
            <w:tcW w:w="3600" w:type="dxa"/>
          </w:tcPr>
          <w:p w:rsidR="00F741AA" w:rsidRPr="00BA7C9E" w:rsidRDefault="00F741AA" w:rsidP="00F32CCD">
            <w:pPr>
              <w:jc w:val="left"/>
              <w:rPr>
                <w:b/>
              </w:rPr>
            </w:pPr>
          </w:p>
        </w:tc>
        <w:tc>
          <w:tcPr>
            <w:tcW w:w="907" w:type="dxa"/>
          </w:tcPr>
          <w:p w:rsidR="00F741AA" w:rsidRPr="00BA7C9E" w:rsidRDefault="00F741AA" w:rsidP="00F32CCD">
            <w:pPr>
              <w:jc w:val="right"/>
              <w:rPr>
                <w:b/>
              </w:rPr>
            </w:pPr>
          </w:p>
        </w:tc>
        <w:tc>
          <w:tcPr>
            <w:tcW w:w="907" w:type="dxa"/>
          </w:tcPr>
          <w:p w:rsidR="00F741AA" w:rsidRPr="00BA7C9E" w:rsidRDefault="00F741AA" w:rsidP="00F32CCD">
            <w:pPr>
              <w:jc w:val="right"/>
              <w:rPr>
                <w:b/>
              </w:rPr>
            </w:pPr>
          </w:p>
        </w:tc>
      </w:tr>
      <w:tr w:rsidR="00F741AA" w:rsidRPr="00BA7C9E" w:rsidTr="00F32CCD">
        <w:trPr>
          <w:gridAfter w:val="1"/>
          <w:wAfter w:w="907" w:type="dxa"/>
        </w:trPr>
        <w:tc>
          <w:tcPr>
            <w:tcW w:w="794" w:type="dxa"/>
          </w:tcPr>
          <w:p w:rsidR="00F741AA" w:rsidRPr="00BA7C9E" w:rsidRDefault="00F741AA" w:rsidP="00F32CCD">
            <w:pPr>
              <w:rPr>
                <w:b/>
              </w:rPr>
            </w:pPr>
          </w:p>
        </w:tc>
        <w:tc>
          <w:tcPr>
            <w:tcW w:w="3600" w:type="dxa"/>
          </w:tcPr>
          <w:p w:rsidR="00F741AA" w:rsidRPr="00BA7C9E" w:rsidRDefault="00F741AA" w:rsidP="00F32CCD">
            <w:pPr>
              <w:jc w:val="left"/>
              <w:rPr>
                <w:b/>
              </w:rPr>
            </w:pPr>
          </w:p>
        </w:tc>
        <w:tc>
          <w:tcPr>
            <w:tcW w:w="907" w:type="dxa"/>
          </w:tcPr>
          <w:p w:rsidR="00F741AA" w:rsidRPr="00BA7C9E" w:rsidRDefault="00F741AA" w:rsidP="00F32CCD">
            <w:pPr>
              <w:jc w:val="right"/>
              <w:rPr>
                <w:b/>
              </w:rPr>
            </w:pPr>
          </w:p>
        </w:tc>
        <w:tc>
          <w:tcPr>
            <w:tcW w:w="907" w:type="dxa"/>
          </w:tcPr>
          <w:p w:rsidR="00F741AA" w:rsidRPr="00BA7C9E" w:rsidRDefault="00F741AA" w:rsidP="00F32CCD">
            <w:pPr>
              <w:jc w:val="right"/>
              <w:rPr>
                <w:b/>
              </w:rPr>
            </w:pPr>
          </w:p>
        </w:tc>
      </w:tr>
      <w:tr w:rsidR="00F741AA" w:rsidRPr="00BA7C9E" w:rsidTr="00F32CCD">
        <w:trPr>
          <w:gridAfter w:val="1"/>
          <w:wAfter w:w="907" w:type="dxa"/>
        </w:trPr>
        <w:tc>
          <w:tcPr>
            <w:tcW w:w="794" w:type="dxa"/>
          </w:tcPr>
          <w:p w:rsidR="00F741AA" w:rsidRPr="00BA7C9E" w:rsidRDefault="00F741AA" w:rsidP="00F32CCD">
            <w:pPr>
              <w:rPr>
                <w:b/>
              </w:rPr>
            </w:pPr>
          </w:p>
        </w:tc>
        <w:tc>
          <w:tcPr>
            <w:tcW w:w="3600" w:type="dxa"/>
          </w:tcPr>
          <w:p w:rsidR="00F741AA" w:rsidRPr="00BA7C9E" w:rsidRDefault="00F741AA" w:rsidP="00F32CCD">
            <w:pPr>
              <w:jc w:val="left"/>
              <w:rPr>
                <w:b/>
              </w:rPr>
            </w:pPr>
          </w:p>
        </w:tc>
        <w:tc>
          <w:tcPr>
            <w:tcW w:w="907" w:type="dxa"/>
          </w:tcPr>
          <w:p w:rsidR="00F741AA" w:rsidRPr="00BA7C9E" w:rsidRDefault="00F741AA" w:rsidP="00F32CCD">
            <w:pPr>
              <w:jc w:val="right"/>
              <w:rPr>
                <w:b/>
              </w:rPr>
            </w:pPr>
          </w:p>
        </w:tc>
        <w:tc>
          <w:tcPr>
            <w:tcW w:w="907" w:type="dxa"/>
          </w:tcPr>
          <w:p w:rsidR="00F741AA" w:rsidRPr="00BA7C9E" w:rsidRDefault="00F741AA" w:rsidP="00F32CCD">
            <w:pPr>
              <w:jc w:val="right"/>
              <w:rPr>
                <w:b/>
              </w:rPr>
            </w:pPr>
          </w:p>
        </w:tc>
      </w:tr>
      <w:tr w:rsidR="00F741AA" w:rsidRPr="00BA7C9E" w:rsidTr="00F32CCD">
        <w:trPr>
          <w:gridAfter w:val="1"/>
          <w:wAfter w:w="907" w:type="dxa"/>
        </w:trPr>
        <w:tc>
          <w:tcPr>
            <w:tcW w:w="794" w:type="dxa"/>
          </w:tcPr>
          <w:p w:rsidR="00F741AA" w:rsidRPr="00BA7C9E" w:rsidRDefault="00F741AA" w:rsidP="00F32CCD">
            <w:pPr>
              <w:rPr>
                <w:b/>
              </w:rPr>
            </w:pPr>
          </w:p>
        </w:tc>
        <w:tc>
          <w:tcPr>
            <w:tcW w:w="3600" w:type="dxa"/>
          </w:tcPr>
          <w:p w:rsidR="00F741AA" w:rsidRPr="00BA7C9E" w:rsidRDefault="00F741AA" w:rsidP="00F32CCD">
            <w:pPr>
              <w:jc w:val="left"/>
              <w:rPr>
                <w:b/>
              </w:rPr>
            </w:pPr>
          </w:p>
        </w:tc>
        <w:tc>
          <w:tcPr>
            <w:tcW w:w="907" w:type="dxa"/>
          </w:tcPr>
          <w:p w:rsidR="00F741AA" w:rsidRPr="00BA7C9E" w:rsidRDefault="00F741AA" w:rsidP="00F32CCD">
            <w:pPr>
              <w:jc w:val="right"/>
              <w:rPr>
                <w:b/>
              </w:rPr>
            </w:pPr>
          </w:p>
        </w:tc>
        <w:tc>
          <w:tcPr>
            <w:tcW w:w="907" w:type="dxa"/>
          </w:tcPr>
          <w:p w:rsidR="00F741AA" w:rsidRPr="00BA7C9E" w:rsidRDefault="00F741AA" w:rsidP="00F32CCD">
            <w:pPr>
              <w:jc w:val="right"/>
              <w:rPr>
                <w:b/>
              </w:rPr>
            </w:pPr>
          </w:p>
        </w:tc>
      </w:tr>
      <w:tr w:rsidR="00F32CCD" w:rsidRPr="00BA7C9E" w:rsidTr="00F32CCD">
        <w:trPr>
          <w:gridAfter w:val="1"/>
          <w:wAfter w:w="907" w:type="dxa"/>
        </w:trPr>
        <w:tc>
          <w:tcPr>
            <w:tcW w:w="794" w:type="dxa"/>
          </w:tcPr>
          <w:p w:rsidR="00F32CCD" w:rsidRPr="00BA7C9E" w:rsidRDefault="00F741AA" w:rsidP="00F32CCD">
            <w:pPr>
              <w:rPr>
                <w:b/>
              </w:rPr>
            </w:pPr>
            <w:r w:rsidRPr="00BA7C9E">
              <w:rPr>
                <w:b/>
              </w:rPr>
              <w:t>Not 11</w:t>
            </w:r>
          </w:p>
        </w:tc>
        <w:tc>
          <w:tcPr>
            <w:tcW w:w="3600" w:type="dxa"/>
          </w:tcPr>
          <w:p w:rsidR="00F32CCD" w:rsidRPr="00BA7C9E" w:rsidRDefault="00F32CCD" w:rsidP="00F32CCD">
            <w:pPr>
              <w:jc w:val="left"/>
              <w:rPr>
                <w:b/>
              </w:rPr>
            </w:pPr>
            <w:r w:rsidRPr="00BA7C9E">
              <w:rPr>
                <w:b/>
              </w:rPr>
              <w:t xml:space="preserve">Periodavgränsningsposter </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r>
      <w:tr w:rsidR="00F32CCD" w:rsidRPr="00BA7C9E" w:rsidTr="00F32CCD">
        <w:trPr>
          <w:gridAfter w:val="1"/>
          <w:wAfter w:w="907" w:type="dxa"/>
        </w:trPr>
        <w:tc>
          <w:tcPr>
            <w:tcW w:w="794" w:type="dxa"/>
          </w:tcPr>
          <w:p w:rsidR="00F32CCD" w:rsidRPr="00BA7C9E" w:rsidRDefault="00F32CCD" w:rsidP="00F32CCD"/>
        </w:tc>
        <w:tc>
          <w:tcPr>
            <w:tcW w:w="3600" w:type="dxa"/>
          </w:tcPr>
          <w:p w:rsidR="00F32CCD" w:rsidRPr="00BA7C9E" w:rsidRDefault="00F32CCD" w:rsidP="00F32CCD">
            <w:r w:rsidRPr="00BA7C9E">
              <w:t>Förutbetalda hyreskostnader</w:t>
            </w:r>
          </w:p>
        </w:tc>
        <w:tc>
          <w:tcPr>
            <w:tcW w:w="907" w:type="dxa"/>
          </w:tcPr>
          <w:p w:rsidR="00F32CCD" w:rsidRPr="00BA7C9E" w:rsidRDefault="00F32CCD" w:rsidP="00F32CCD">
            <w:pPr>
              <w:jc w:val="right"/>
            </w:pPr>
            <w:r w:rsidRPr="00BA7C9E">
              <w:t>6 343</w:t>
            </w:r>
          </w:p>
        </w:tc>
        <w:tc>
          <w:tcPr>
            <w:tcW w:w="907" w:type="dxa"/>
          </w:tcPr>
          <w:p w:rsidR="00F32CCD" w:rsidRPr="00BA7C9E" w:rsidRDefault="00F32CCD" w:rsidP="00F32CCD">
            <w:pPr>
              <w:jc w:val="right"/>
            </w:pPr>
            <w:r w:rsidRPr="00BA7C9E">
              <w:t>6 339</w:t>
            </w:r>
          </w:p>
        </w:tc>
      </w:tr>
      <w:tr w:rsidR="00F32CCD" w:rsidRPr="00BA7C9E" w:rsidTr="00F32CCD">
        <w:trPr>
          <w:gridAfter w:val="1"/>
          <w:wAfter w:w="907" w:type="dxa"/>
        </w:trPr>
        <w:tc>
          <w:tcPr>
            <w:tcW w:w="794" w:type="dxa"/>
          </w:tcPr>
          <w:p w:rsidR="00F32CCD" w:rsidRPr="00BA7C9E" w:rsidRDefault="00F32CCD" w:rsidP="00F32CCD"/>
        </w:tc>
        <w:tc>
          <w:tcPr>
            <w:tcW w:w="3600" w:type="dxa"/>
          </w:tcPr>
          <w:p w:rsidR="00F32CCD" w:rsidRPr="00BA7C9E" w:rsidRDefault="00F32CCD" w:rsidP="00F32CCD">
            <w:r w:rsidRPr="00BA7C9E">
              <w:t xml:space="preserve">Övriga förutbetalda kostnader </w:t>
            </w:r>
          </w:p>
        </w:tc>
        <w:tc>
          <w:tcPr>
            <w:tcW w:w="907" w:type="dxa"/>
          </w:tcPr>
          <w:p w:rsidR="00F32CCD" w:rsidRPr="00BA7C9E" w:rsidRDefault="00F32CCD" w:rsidP="00F32CCD">
            <w:pPr>
              <w:jc w:val="right"/>
            </w:pPr>
            <w:r w:rsidRPr="00BA7C9E">
              <w:t>0</w:t>
            </w:r>
          </w:p>
        </w:tc>
        <w:tc>
          <w:tcPr>
            <w:tcW w:w="907" w:type="dxa"/>
          </w:tcPr>
          <w:p w:rsidR="00F32CCD" w:rsidRPr="00BA7C9E" w:rsidRDefault="00F32CCD" w:rsidP="00F32CCD">
            <w:pPr>
              <w:jc w:val="right"/>
            </w:pPr>
            <w:r w:rsidRPr="00BA7C9E">
              <w:t>232</w:t>
            </w:r>
          </w:p>
        </w:tc>
      </w:tr>
      <w:tr w:rsidR="00F32CCD" w:rsidRPr="00BA7C9E" w:rsidTr="00F32CCD">
        <w:trPr>
          <w:gridAfter w:val="1"/>
          <w:wAfter w:w="907" w:type="dxa"/>
        </w:trPr>
        <w:tc>
          <w:tcPr>
            <w:tcW w:w="794" w:type="dxa"/>
          </w:tcPr>
          <w:p w:rsidR="00F32CCD" w:rsidRPr="00BA7C9E" w:rsidRDefault="00F32CCD" w:rsidP="00F32CCD"/>
        </w:tc>
        <w:tc>
          <w:tcPr>
            <w:tcW w:w="3600" w:type="dxa"/>
          </w:tcPr>
          <w:p w:rsidR="00F32CCD" w:rsidRPr="00BA7C9E" w:rsidRDefault="00F32CCD" w:rsidP="00F32CCD">
            <w:r w:rsidRPr="00BA7C9E">
              <w:t>Upplupna intäkter årlig revision</w:t>
            </w:r>
          </w:p>
        </w:tc>
        <w:tc>
          <w:tcPr>
            <w:tcW w:w="907" w:type="dxa"/>
          </w:tcPr>
          <w:p w:rsidR="00F32CCD" w:rsidRPr="00BA7C9E" w:rsidRDefault="00F32CCD" w:rsidP="00F32CCD">
            <w:pPr>
              <w:jc w:val="right"/>
            </w:pPr>
            <w:r w:rsidRPr="00BA7C9E">
              <w:t xml:space="preserve">10 748 </w:t>
            </w:r>
          </w:p>
        </w:tc>
        <w:tc>
          <w:tcPr>
            <w:tcW w:w="907" w:type="dxa"/>
          </w:tcPr>
          <w:p w:rsidR="00F32CCD" w:rsidRPr="00BA7C9E" w:rsidRDefault="00F32CCD" w:rsidP="00F32CCD">
            <w:pPr>
              <w:jc w:val="right"/>
            </w:pPr>
            <w:r w:rsidRPr="00BA7C9E">
              <w:t>3 272</w:t>
            </w:r>
          </w:p>
        </w:tc>
      </w:tr>
      <w:tr w:rsidR="00F32CCD" w:rsidRPr="00BA7C9E" w:rsidTr="00F32CCD">
        <w:trPr>
          <w:gridAfter w:val="1"/>
          <w:wAfter w:w="907" w:type="dxa"/>
        </w:trPr>
        <w:tc>
          <w:tcPr>
            <w:tcW w:w="794" w:type="dxa"/>
          </w:tcPr>
          <w:p w:rsidR="00F32CCD" w:rsidRPr="00BA7C9E" w:rsidRDefault="00F32CCD" w:rsidP="00F32CCD"/>
        </w:tc>
        <w:tc>
          <w:tcPr>
            <w:tcW w:w="3600" w:type="dxa"/>
          </w:tcPr>
          <w:p w:rsidR="00F32CCD" w:rsidRPr="00BA7C9E" w:rsidRDefault="00F32CCD" w:rsidP="00F32CCD">
            <w:pPr>
              <w:rPr>
                <w:b/>
                <w:i/>
              </w:rPr>
            </w:pPr>
            <w:r w:rsidRPr="00BA7C9E">
              <w:rPr>
                <w:b/>
                <w:i/>
              </w:rPr>
              <w:t>Summa</w:t>
            </w:r>
          </w:p>
        </w:tc>
        <w:tc>
          <w:tcPr>
            <w:tcW w:w="907" w:type="dxa"/>
          </w:tcPr>
          <w:p w:rsidR="00F32CCD" w:rsidRPr="00BA7C9E" w:rsidRDefault="00F32CCD" w:rsidP="00F32CCD">
            <w:pPr>
              <w:jc w:val="right"/>
              <w:rPr>
                <w:b/>
                <w:i/>
              </w:rPr>
            </w:pPr>
            <w:r w:rsidRPr="00BA7C9E">
              <w:rPr>
                <w:b/>
                <w:i/>
              </w:rPr>
              <w:t xml:space="preserve">17 091 </w:t>
            </w:r>
          </w:p>
        </w:tc>
        <w:tc>
          <w:tcPr>
            <w:tcW w:w="907" w:type="dxa"/>
          </w:tcPr>
          <w:p w:rsidR="00F32CCD" w:rsidRPr="00BA7C9E" w:rsidRDefault="00F32CCD" w:rsidP="00F32CCD">
            <w:pPr>
              <w:jc w:val="right"/>
              <w:rPr>
                <w:b/>
                <w:i/>
              </w:rPr>
            </w:pPr>
            <w:r w:rsidRPr="00BA7C9E">
              <w:rPr>
                <w:b/>
                <w:i/>
              </w:rPr>
              <w:t>9 843</w:t>
            </w:r>
          </w:p>
        </w:tc>
      </w:tr>
      <w:tr w:rsidR="00F32CCD" w:rsidRPr="00BA7C9E" w:rsidTr="00F32CCD">
        <w:trPr>
          <w:gridAfter w:val="1"/>
          <w:wAfter w:w="907" w:type="dxa"/>
        </w:trPr>
        <w:tc>
          <w:tcPr>
            <w:tcW w:w="794" w:type="dxa"/>
          </w:tcPr>
          <w:p w:rsidR="00F32CCD" w:rsidRPr="00BA7C9E" w:rsidRDefault="00F32CCD" w:rsidP="00F32CCD">
            <w:pPr>
              <w:spacing w:line="240" w:lineRule="auto"/>
            </w:pPr>
          </w:p>
        </w:tc>
        <w:tc>
          <w:tcPr>
            <w:tcW w:w="5414" w:type="dxa"/>
            <w:gridSpan w:val="3"/>
          </w:tcPr>
          <w:p w:rsidR="00F32CCD" w:rsidRPr="00BA7C9E" w:rsidRDefault="00F32CCD" w:rsidP="00F32CCD">
            <w:pPr>
              <w:spacing w:before="0" w:line="240" w:lineRule="auto"/>
              <w:rPr>
                <w:b/>
                <w:i/>
              </w:rPr>
            </w:pPr>
            <w:r w:rsidRPr="00BA7C9E">
              <w:rPr>
                <w:sz w:val="16"/>
                <w:szCs w:val="16"/>
              </w:rPr>
              <w:t>Ökningen av posten beror på att de upplupna intäkterna för den årliga revisionen har ökat med 7 476 tkr, vilket beror på att brytdagen tidigarelagts från den 10 t</w:t>
            </w:r>
            <w:r w:rsidR="00124DC1" w:rsidRPr="00BA7C9E">
              <w:rPr>
                <w:sz w:val="16"/>
                <w:szCs w:val="16"/>
              </w:rPr>
              <w:t>ill den 5 januari. Se även not 6</w:t>
            </w:r>
            <w:r w:rsidR="001F711E" w:rsidRPr="00BA7C9E">
              <w:rPr>
                <w:sz w:val="16"/>
                <w:szCs w:val="16"/>
              </w:rPr>
              <w:t>.</w:t>
            </w:r>
            <w:r w:rsidRPr="00BA7C9E">
              <w:rPr>
                <w:sz w:val="16"/>
                <w:szCs w:val="16"/>
              </w:rPr>
              <w:t xml:space="preserve"> </w:t>
            </w:r>
          </w:p>
        </w:tc>
      </w:tr>
    </w:tbl>
    <w:p w:rsidR="00F32CCD" w:rsidRPr="00BA7C9E" w:rsidRDefault="00F32CCD" w:rsidP="00F32CCD"/>
    <w:tbl>
      <w:tblPr>
        <w:tblW w:w="6343" w:type="dxa"/>
        <w:tblLayout w:type="fixed"/>
        <w:tblCellMar>
          <w:left w:w="70" w:type="dxa"/>
          <w:right w:w="70" w:type="dxa"/>
        </w:tblCellMar>
        <w:tblLook w:val="0000" w:firstRow="0" w:lastRow="0" w:firstColumn="0" w:lastColumn="0" w:noHBand="0" w:noVBand="0"/>
      </w:tblPr>
      <w:tblGrid>
        <w:gridCol w:w="811"/>
        <w:gridCol w:w="3678"/>
        <w:gridCol w:w="927"/>
        <w:gridCol w:w="927"/>
      </w:tblGrid>
      <w:tr w:rsidR="00F32CCD" w:rsidRPr="00BA7C9E" w:rsidTr="00F32CCD">
        <w:trPr>
          <w:trHeight w:val="345"/>
        </w:trPr>
        <w:tc>
          <w:tcPr>
            <w:tcW w:w="811" w:type="dxa"/>
          </w:tcPr>
          <w:p w:rsidR="00F32CCD" w:rsidRPr="00BA7C9E" w:rsidRDefault="00F32CCD" w:rsidP="00F32CCD">
            <w:pPr>
              <w:rPr>
                <w:b/>
              </w:rPr>
            </w:pPr>
            <w:r w:rsidRPr="00BA7C9E">
              <w:rPr>
                <w:highlight w:val="yellow"/>
              </w:rPr>
              <w:br w:type="page"/>
            </w:r>
            <w:r w:rsidR="00F741AA" w:rsidRPr="00BA7C9E">
              <w:rPr>
                <w:b/>
              </w:rPr>
              <w:t>Not 12</w:t>
            </w:r>
          </w:p>
        </w:tc>
        <w:tc>
          <w:tcPr>
            <w:tcW w:w="3678" w:type="dxa"/>
          </w:tcPr>
          <w:p w:rsidR="00F32CCD" w:rsidRPr="00BA7C9E" w:rsidRDefault="00F32CCD" w:rsidP="00F32CCD">
            <w:pPr>
              <w:jc w:val="left"/>
              <w:rPr>
                <w:b/>
              </w:rPr>
            </w:pPr>
            <w:r w:rsidRPr="00BA7C9E">
              <w:rPr>
                <w:b/>
              </w:rPr>
              <w:t xml:space="preserve">Avräkning med statsverket </w:t>
            </w:r>
          </w:p>
        </w:tc>
        <w:tc>
          <w:tcPr>
            <w:tcW w:w="927" w:type="dxa"/>
          </w:tcPr>
          <w:p w:rsidR="00F32CCD" w:rsidRPr="00BA7C9E" w:rsidRDefault="00F32CCD" w:rsidP="00F32CCD">
            <w:pPr>
              <w:jc w:val="right"/>
              <w:rPr>
                <w:b/>
              </w:rPr>
            </w:pPr>
            <w:r w:rsidRPr="00BA7C9E">
              <w:rPr>
                <w:b/>
              </w:rPr>
              <w:t>2011</w:t>
            </w:r>
          </w:p>
        </w:tc>
        <w:tc>
          <w:tcPr>
            <w:tcW w:w="927" w:type="dxa"/>
          </w:tcPr>
          <w:p w:rsidR="00F32CCD" w:rsidRPr="00BA7C9E" w:rsidRDefault="00F32CCD" w:rsidP="00F32CCD">
            <w:pPr>
              <w:jc w:val="right"/>
              <w:rPr>
                <w:b/>
              </w:rPr>
            </w:pPr>
            <w:r w:rsidRPr="00BA7C9E">
              <w:rPr>
                <w:b/>
              </w:rPr>
              <w:t>2010</w:t>
            </w:r>
          </w:p>
        </w:tc>
      </w:tr>
      <w:tr w:rsidR="00F32CCD" w:rsidRPr="00BA7C9E" w:rsidTr="00F32CCD">
        <w:trPr>
          <w:trHeight w:val="345"/>
        </w:trPr>
        <w:tc>
          <w:tcPr>
            <w:tcW w:w="811" w:type="dxa"/>
          </w:tcPr>
          <w:p w:rsidR="00F32CCD" w:rsidRPr="00BA7C9E" w:rsidRDefault="00F32CCD" w:rsidP="00F32CCD">
            <w:pPr>
              <w:rPr>
                <w:b/>
              </w:rPr>
            </w:pPr>
          </w:p>
        </w:tc>
        <w:tc>
          <w:tcPr>
            <w:tcW w:w="3678" w:type="dxa"/>
          </w:tcPr>
          <w:p w:rsidR="00F32CCD" w:rsidRPr="00BA7C9E" w:rsidRDefault="00F32CCD" w:rsidP="00F32CCD">
            <w:pPr>
              <w:jc w:val="left"/>
              <w:rPr>
                <w:b/>
              </w:rPr>
            </w:pPr>
            <w:r w:rsidRPr="00BA7C9E">
              <w:rPr>
                <w:b/>
              </w:rPr>
              <w:t>Uppbörd</w:t>
            </w:r>
          </w:p>
        </w:tc>
        <w:tc>
          <w:tcPr>
            <w:tcW w:w="927" w:type="dxa"/>
          </w:tcPr>
          <w:p w:rsidR="00F32CCD" w:rsidRPr="00BA7C9E" w:rsidRDefault="00F32CCD" w:rsidP="00F32CCD">
            <w:pPr>
              <w:jc w:val="right"/>
              <w:rPr>
                <w:b/>
              </w:rPr>
            </w:pPr>
          </w:p>
        </w:tc>
        <w:tc>
          <w:tcPr>
            <w:tcW w:w="927" w:type="dxa"/>
          </w:tcPr>
          <w:p w:rsidR="00F32CCD" w:rsidRPr="00BA7C9E" w:rsidRDefault="00F32CCD" w:rsidP="00F32CCD">
            <w:pPr>
              <w:jc w:val="right"/>
              <w:rPr>
                <w:b/>
              </w:rPr>
            </w:pPr>
          </w:p>
        </w:tc>
      </w:tr>
      <w:tr w:rsidR="00F32CCD" w:rsidRPr="00BA7C9E" w:rsidTr="00F32CCD">
        <w:trPr>
          <w:trHeight w:val="345"/>
        </w:trPr>
        <w:tc>
          <w:tcPr>
            <w:tcW w:w="811" w:type="dxa"/>
          </w:tcPr>
          <w:p w:rsidR="00F32CCD" w:rsidRPr="00BA7C9E" w:rsidRDefault="00F32CCD" w:rsidP="00F32CCD">
            <w:pPr>
              <w:rPr>
                <w:i/>
              </w:rPr>
            </w:pPr>
          </w:p>
        </w:tc>
        <w:tc>
          <w:tcPr>
            <w:tcW w:w="3678" w:type="dxa"/>
          </w:tcPr>
          <w:p w:rsidR="00F32CCD" w:rsidRPr="00BA7C9E" w:rsidRDefault="00F32CCD" w:rsidP="00F32CCD">
            <w:pPr>
              <w:rPr>
                <w:i/>
              </w:rPr>
            </w:pPr>
            <w:r w:rsidRPr="00BA7C9E">
              <w:rPr>
                <w:i/>
              </w:rPr>
              <w:t>Ingående balans</w:t>
            </w:r>
          </w:p>
        </w:tc>
        <w:tc>
          <w:tcPr>
            <w:tcW w:w="927" w:type="dxa"/>
          </w:tcPr>
          <w:p w:rsidR="00F32CCD" w:rsidRPr="00BA7C9E" w:rsidRDefault="00F32CCD" w:rsidP="00F32CCD">
            <w:pPr>
              <w:jc w:val="right"/>
              <w:rPr>
                <w:i/>
                <w:szCs w:val="19"/>
              </w:rPr>
            </w:pPr>
            <w:r w:rsidRPr="00BA7C9E">
              <w:rPr>
                <w:szCs w:val="19"/>
              </w:rPr>
              <w:t>–</w:t>
            </w:r>
            <w:r w:rsidRPr="00BA7C9E">
              <w:rPr>
                <w:i/>
                <w:szCs w:val="19"/>
              </w:rPr>
              <w:t>20 950</w:t>
            </w:r>
          </w:p>
        </w:tc>
        <w:tc>
          <w:tcPr>
            <w:tcW w:w="927" w:type="dxa"/>
          </w:tcPr>
          <w:p w:rsidR="00F32CCD" w:rsidRPr="00BA7C9E" w:rsidRDefault="00F32CCD" w:rsidP="00F32CCD">
            <w:pPr>
              <w:jc w:val="right"/>
              <w:rPr>
                <w:i/>
                <w:szCs w:val="19"/>
              </w:rPr>
            </w:pPr>
            <w:r w:rsidRPr="00BA7C9E">
              <w:rPr>
                <w:szCs w:val="19"/>
              </w:rPr>
              <w:t>–</w:t>
            </w:r>
            <w:r w:rsidRPr="00BA7C9E">
              <w:rPr>
                <w:i/>
                <w:szCs w:val="19"/>
              </w:rPr>
              <w:t>19 332</w:t>
            </w:r>
          </w:p>
        </w:tc>
      </w:tr>
      <w:tr w:rsidR="00F32CCD" w:rsidRPr="00BA7C9E" w:rsidTr="00F32CCD">
        <w:trPr>
          <w:trHeight w:val="345"/>
        </w:trPr>
        <w:tc>
          <w:tcPr>
            <w:tcW w:w="811" w:type="dxa"/>
          </w:tcPr>
          <w:p w:rsidR="00F32CCD" w:rsidRPr="00BA7C9E" w:rsidRDefault="00F32CCD" w:rsidP="00F32CCD"/>
        </w:tc>
        <w:tc>
          <w:tcPr>
            <w:tcW w:w="3678" w:type="dxa"/>
          </w:tcPr>
          <w:p w:rsidR="00F32CCD" w:rsidRPr="00BA7C9E" w:rsidRDefault="00F32CCD" w:rsidP="00F32CCD">
            <w:r w:rsidRPr="00BA7C9E">
              <w:t>Redovisat mot inkomsttitel</w:t>
            </w:r>
          </w:p>
        </w:tc>
        <w:tc>
          <w:tcPr>
            <w:tcW w:w="927" w:type="dxa"/>
          </w:tcPr>
          <w:p w:rsidR="00F32CCD" w:rsidRPr="00BA7C9E" w:rsidRDefault="00F32CCD" w:rsidP="00F32CCD">
            <w:pPr>
              <w:ind w:left="-29" w:firstLine="29"/>
              <w:jc w:val="right"/>
              <w:rPr>
                <w:szCs w:val="19"/>
              </w:rPr>
            </w:pPr>
            <w:r w:rsidRPr="00BA7C9E">
              <w:rPr>
                <w:szCs w:val="19"/>
              </w:rPr>
              <w:t>–112 692</w:t>
            </w:r>
          </w:p>
        </w:tc>
        <w:tc>
          <w:tcPr>
            <w:tcW w:w="927" w:type="dxa"/>
          </w:tcPr>
          <w:p w:rsidR="00F32CCD" w:rsidRPr="00BA7C9E" w:rsidRDefault="00F32CCD" w:rsidP="00F32CCD">
            <w:pPr>
              <w:ind w:left="-29" w:firstLine="29"/>
              <w:jc w:val="right"/>
              <w:rPr>
                <w:szCs w:val="19"/>
              </w:rPr>
            </w:pPr>
            <w:r w:rsidRPr="00BA7C9E">
              <w:rPr>
                <w:szCs w:val="19"/>
              </w:rPr>
              <w:t>–121 984</w:t>
            </w:r>
          </w:p>
        </w:tc>
      </w:tr>
      <w:tr w:rsidR="00F32CCD" w:rsidRPr="00BA7C9E" w:rsidTr="00F32CCD">
        <w:trPr>
          <w:trHeight w:val="345"/>
        </w:trPr>
        <w:tc>
          <w:tcPr>
            <w:tcW w:w="811" w:type="dxa"/>
          </w:tcPr>
          <w:p w:rsidR="00F32CCD" w:rsidRPr="00BA7C9E" w:rsidRDefault="00F32CCD" w:rsidP="00F32CCD"/>
        </w:tc>
        <w:tc>
          <w:tcPr>
            <w:tcW w:w="3678" w:type="dxa"/>
          </w:tcPr>
          <w:p w:rsidR="00F32CCD" w:rsidRPr="00BA7C9E" w:rsidRDefault="00F32CCD" w:rsidP="00F32CCD">
            <w:r w:rsidRPr="00BA7C9E">
              <w:t xml:space="preserve">Uppbördsmedel som betalats till </w:t>
            </w:r>
          </w:p>
        </w:tc>
        <w:tc>
          <w:tcPr>
            <w:tcW w:w="927" w:type="dxa"/>
          </w:tcPr>
          <w:p w:rsidR="00F32CCD" w:rsidRPr="00BA7C9E" w:rsidRDefault="00F32CCD" w:rsidP="00F32CCD">
            <w:pPr>
              <w:ind w:left="-29" w:firstLine="29"/>
              <w:jc w:val="right"/>
              <w:rPr>
                <w:szCs w:val="19"/>
              </w:rPr>
            </w:pPr>
          </w:p>
        </w:tc>
        <w:tc>
          <w:tcPr>
            <w:tcW w:w="927" w:type="dxa"/>
          </w:tcPr>
          <w:p w:rsidR="00F32CCD" w:rsidRPr="00BA7C9E" w:rsidRDefault="00F32CCD" w:rsidP="00F32CCD">
            <w:pPr>
              <w:ind w:left="-29" w:firstLine="29"/>
              <w:jc w:val="right"/>
              <w:rPr>
                <w:szCs w:val="19"/>
              </w:rPr>
            </w:pPr>
          </w:p>
        </w:tc>
      </w:tr>
      <w:tr w:rsidR="00F32CCD" w:rsidRPr="00BA7C9E" w:rsidTr="00F32CCD">
        <w:trPr>
          <w:trHeight w:val="345"/>
        </w:trPr>
        <w:tc>
          <w:tcPr>
            <w:tcW w:w="811" w:type="dxa"/>
          </w:tcPr>
          <w:p w:rsidR="00F32CCD" w:rsidRPr="00BA7C9E" w:rsidRDefault="00F32CCD" w:rsidP="00F32CCD"/>
        </w:tc>
        <w:tc>
          <w:tcPr>
            <w:tcW w:w="3678" w:type="dxa"/>
          </w:tcPr>
          <w:p w:rsidR="00F32CCD" w:rsidRPr="00BA7C9E" w:rsidRDefault="00F32CCD" w:rsidP="00F32CCD">
            <w:pPr>
              <w:spacing w:before="0"/>
            </w:pPr>
            <w:r w:rsidRPr="00BA7C9E">
              <w:t xml:space="preserve">icke räntebärande flöde  </w:t>
            </w:r>
          </w:p>
        </w:tc>
        <w:tc>
          <w:tcPr>
            <w:tcW w:w="927" w:type="dxa"/>
          </w:tcPr>
          <w:p w:rsidR="00F32CCD" w:rsidRPr="00BA7C9E" w:rsidRDefault="00F32CCD" w:rsidP="00F32CCD">
            <w:pPr>
              <w:spacing w:before="0"/>
              <w:ind w:left="-29" w:firstLine="29"/>
              <w:jc w:val="right"/>
              <w:rPr>
                <w:szCs w:val="19"/>
              </w:rPr>
            </w:pPr>
            <w:r w:rsidRPr="00BA7C9E">
              <w:rPr>
                <w:szCs w:val="19"/>
              </w:rPr>
              <w:t>120 955</w:t>
            </w:r>
          </w:p>
        </w:tc>
        <w:tc>
          <w:tcPr>
            <w:tcW w:w="927" w:type="dxa"/>
          </w:tcPr>
          <w:p w:rsidR="00F32CCD" w:rsidRPr="00BA7C9E" w:rsidRDefault="00F32CCD" w:rsidP="00F32CCD">
            <w:pPr>
              <w:spacing w:before="0"/>
              <w:ind w:left="-29" w:firstLine="29"/>
              <w:jc w:val="right"/>
              <w:rPr>
                <w:szCs w:val="19"/>
              </w:rPr>
            </w:pPr>
            <w:r w:rsidRPr="00BA7C9E">
              <w:rPr>
                <w:szCs w:val="19"/>
              </w:rPr>
              <w:t>120 366</w:t>
            </w:r>
          </w:p>
        </w:tc>
      </w:tr>
      <w:tr w:rsidR="00F32CCD" w:rsidRPr="00BA7C9E" w:rsidTr="00F32CCD">
        <w:trPr>
          <w:trHeight w:val="345"/>
        </w:trPr>
        <w:tc>
          <w:tcPr>
            <w:tcW w:w="811" w:type="dxa"/>
          </w:tcPr>
          <w:p w:rsidR="00F32CCD" w:rsidRPr="00BA7C9E" w:rsidRDefault="00F32CCD" w:rsidP="00F32CCD"/>
        </w:tc>
        <w:tc>
          <w:tcPr>
            <w:tcW w:w="3678" w:type="dxa"/>
          </w:tcPr>
          <w:p w:rsidR="00F32CCD" w:rsidRPr="00BA7C9E" w:rsidRDefault="00F32CCD" w:rsidP="00F32CCD">
            <w:pPr>
              <w:rPr>
                <w:i/>
              </w:rPr>
            </w:pPr>
            <w:r w:rsidRPr="00BA7C9E">
              <w:rPr>
                <w:i/>
              </w:rPr>
              <w:t xml:space="preserve">Skulder avseende uppbörd  </w:t>
            </w:r>
          </w:p>
        </w:tc>
        <w:tc>
          <w:tcPr>
            <w:tcW w:w="927" w:type="dxa"/>
          </w:tcPr>
          <w:p w:rsidR="00F32CCD" w:rsidRPr="00BA7C9E" w:rsidRDefault="00F32CCD" w:rsidP="00F32CCD">
            <w:pPr>
              <w:ind w:left="-29" w:firstLine="29"/>
              <w:jc w:val="right"/>
              <w:rPr>
                <w:i/>
                <w:szCs w:val="19"/>
              </w:rPr>
            </w:pPr>
            <w:r w:rsidRPr="00BA7C9E">
              <w:rPr>
                <w:szCs w:val="19"/>
              </w:rPr>
              <w:t>–12 687</w:t>
            </w:r>
          </w:p>
        </w:tc>
        <w:tc>
          <w:tcPr>
            <w:tcW w:w="927" w:type="dxa"/>
          </w:tcPr>
          <w:p w:rsidR="00F32CCD" w:rsidRPr="00BA7C9E" w:rsidRDefault="00F32CCD" w:rsidP="00F32CCD">
            <w:pPr>
              <w:ind w:left="-29" w:firstLine="29"/>
              <w:jc w:val="right"/>
              <w:rPr>
                <w:i/>
                <w:szCs w:val="19"/>
              </w:rPr>
            </w:pPr>
            <w:r w:rsidRPr="00BA7C9E">
              <w:rPr>
                <w:szCs w:val="19"/>
              </w:rPr>
              <w:t>–20 950</w:t>
            </w:r>
          </w:p>
        </w:tc>
      </w:tr>
      <w:tr w:rsidR="00F741AA" w:rsidRPr="00BA7C9E" w:rsidTr="00F32CCD">
        <w:trPr>
          <w:trHeight w:val="345"/>
        </w:trPr>
        <w:tc>
          <w:tcPr>
            <w:tcW w:w="811" w:type="dxa"/>
          </w:tcPr>
          <w:p w:rsidR="00F741AA" w:rsidRPr="00BA7C9E" w:rsidRDefault="00F741AA" w:rsidP="00F32CCD">
            <w:pPr>
              <w:rPr>
                <w:highlight w:val="cyan"/>
              </w:rPr>
            </w:pPr>
          </w:p>
        </w:tc>
        <w:tc>
          <w:tcPr>
            <w:tcW w:w="3678" w:type="dxa"/>
          </w:tcPr>
          <w:p w:rsidR="00F741AA" w:rsidRPr="00BA7C9E" w:rsidRDefault="00F741AA" w:rsidP="00F32CCD">
            <w:pPr>
              <w:rPr>
                <w:b/>
              </w:rPr>
            </w:pPr>
          </w:p>
        </w:tc>
        <w:tc>
          <w:tcPr>
            <w:tcW w:w="927" w:type="dxa"/>
          </w:tcPr>
          <w:p w:rsidR="00F741AA" w:rsidRPr="00BA7C9E" w:rsidRDefault="00F741AA" w:rsidP="00F32CCD">
            <w:pPr>
              <w:jc w:val="right"/>
              <w:rPr>
                <w:szCs w:val="19"/>
              </w:rPr>
            </w:pPr>
          </w:p>
        </w:tc>
        <w:tc>
          <w:tcPr>
            <w:tcW w:w="927" w:type="dxa"/>
          </w:tcPr>
          <w:p w:rsidR="00F741AA" w:rsidRPr="00BA7C9E" w:rsidRDefault="00F741AA" w:rsidP="00F32CCD">
            <w:pPr>
              <w:jc w:val="right"/>
              <w:rPr>
                <w:szCs w:val="19"/>
              </w:rPr>
            </w:pPr>
          </w:p>
        </w:tc>
      </w:tr>
      <w:tr w:rsidR="00F32CCD" w:rsidRPr="00BA7C9E" w:rsidTr="00F32CCD">
        <w:trPr>
          <w:trHeight w:val="345"/>
        </w:trPr>
        <w:tc>
          <w:tcPr>
            <w:tcW w:w="811" w:type="dxa"/>
          </w:tcPr>
          <w:p w:rsidR="00F32CCD" w:rsidRPr="00BA7C9E" w:rsidRDefault="00F32CCD" w:rsidP="00F32CCD">
            <w:pPr>
              <w:rPr>
                <w:highlight w:val="cyan"/>
              </w:rPr>
            </w:pPr>
          </w:p>
        </w:tc>
        <w:tc>
          <w:tcPr>
            <w:tcW w:w="3678" w:type="dxa"/>
          </w:tcPr>
          <w:p w:rsidR="00F32CCD" w:rsidRPr="00BA7C9E" w:rsidRDefault="00F32CCD" w:rsidP="00F32CCD">
            <w:pPr>
              <w:rPr>
                <w:b/>
              </w:rPr>
            </w:pPr>
            <w:r w:rsidRPr="00BA7C9E">
              <w:rPr>
                <w:b/>
              </w:rPr>
              <w:t>Anslag i räntebärande flöde</w:t>
            </w:r>
          </w:p>
        </w:tc>
        <w:tc>
          <w:tcPr>
            <w:tcW w:w="927" w:type="dxa"/>
          </w:tcPr>
          <w:p w:rsidR="00F32CCD" w:rsidRPr="00BA7C9E" w:rsidRDefault="00F32CCD" w:rsidP="00F32CCD">
            <w:pPr>
              <w:jc w:val="right"/>
              <w:rPr>
                <w:szCs w:val="19"/>
              </w:rPr>
            </w:pPr>
          </w:p>
        </w:tc>
        <w:tc>
          <w:tcPr>
            <w:tcW w:w="927" w:type="dxa"/>
          </w:tcPr>
          <w:p w:rsidR="00F32CCD" w:rsidRPr="00BA7C9E" w:rsidRDefault="00F32CCD" w:rsidP="00F32CCD">
            <w:pPr>
              <w:jc w:val="right"/>
              <w:rPr>
                <w:szCs w:val="19"/>
              </w:rPr>
            </w:pPr>
          </w:p>
        </w:tc>
      </w:tr>
      <w:tr w:rsidR="00F32CCD" w:rsidRPr="00BA7C9E" w:rsidTr="00F32CCD">
        <w:trPr>
          <w:trHeight w:val="375"/>
        </w:trPr>
        <w:tc>
          <w:tcPr>
            <w:tcW w:w="811" w:type="dxa"/>
          </w:tcPr>
          <w:p w:rsidR="00F32CCD" w:rsidRPr="00BA7C9E" w:rsidRDefault="00F32CCD" w:rsidP="00F32CCD">
            <w:pPr>
              <w:rPr>
                <w:i/>
                <w:highlight w:val="cyan"/>
              </w:rPr>
            </w:pPr>
          </w:p>
        </w:tc>
        <w:tc>
          <w:tcPr>
            <w:tcW w:w="3678" w:type="dxa"/>
          </w:tcPr>
          <w:p w:rsidR="00F32CCD" w:rsidRPr="00BA7C9E" w:rsidRDefault="00F32CCD" w:rsidP="00F32CCD">
            <w:pPr>
              <w:rPr>
                <w:i/>
              </w:rPr>
            </w:pPr>
            <w:r w:rsidRPr="00BA7C9E">
              <w:rPr>
                <w:i/>
              </w:rPr>
              <w:t>Ingående balans</w:t>
            </w:r>
          </w:p>
        </w:tc>
        <w:tc>
          <w:tcPr>
            <w:tcW w:w="927" w:type="dxa"/>
          </w:tcPr>
          <w:p w:rsidR="00F32CCD" w:rsidRPr="00BA7C9E" w:rsidRDefault="00F32CCD" w:rsidP="00F32CCD">
            <w:pPr>
              <w:jc w:val="right"/>
              <w:rPr>
                <w:i/>
                <w:szCs w:val="19"/>
              </w:rPr>
            </w:pPr>
            <w:r w:rsidRPr="00BA7C9E">
              <w:rPr>
                <w:szCs w:val="19"/>
              </w:rPr>
              <w:t>–6 260</w:t>
            </w:r>
          </w:p>
        </w:tc>
        <w:tc>
          <w:tcPr>
            <w:tcW w:w="927" w:type="dxa"/>
          </w:tcPr>
          <w:p w:rsidR="00F32CCD" w:rsidRPr="00BA7C9E" w:rsidRDefault="00F32CCD" w:rsidP="00F32CCD">
            <w:pPr>
              <w:jc w:val="right"/>
              <w:rPr>
                <w:i/>
                <w:szCs w:val="19"/>
              </w:rPr>
            </w:pPr>
            <w:r w:rsidRPr="00BA7C9E">
              <w:rPr>
                <w:szCs w:val="19"/>
              </w:rPr>
              <w:t>–8 032</w:t>
            </w:r>
          </w:p>
        </w:tc>
      </w:tr>
      <w:tr w:rsidR="00F32CCD" w:rsidRPr="00BA7C9E" w:rsidTr="00F32CCD">
        <w:trPr>
          <w:trHeight w:val="375"/>
        </w:trPr>
        <w:tc>
          <w:tcPr>
            <w:tcW w:w="811" w:type="dxa"/>
          </w:tcPr>
          <w:p w:rsidR="00F32CCD" w:rsidRPr="00BA7C9E" w:rsidRDefault="00F32CCD" w:rsidP="00F32CCD">
            <w:pPr>
              <w:rPr>
                <w:highlight w:val="cyan"/>
              </w:rPr>
            </w:pPr>
          </w:p>
        </w:tc>
        <w:tc>
          <w:tcPr>
            <w:tcW w:w="3678" w:type="dxa"/>
          </w:tcPr>
          <w:p w:rsidR="00F32CCD" w:rsidRPr="00BA7C9E" w:rsidRDefault="00F32CCD" w:rsidP="00F32CCD">
            <w:r w:rsidRPr="00BA7C9E">
              <w:t>Redovisat mot anslag</w:t>
            </w:r>
          </w:p>
        </w:tc>
        <w:tc>
          <w:tcPr>
            <w:tcW w:w="927" w:type="dxa"/>
          </w:tcPr>
          <w:p w:rsidR="00F32CCD" w:rsidRPr="00BA7C9E" w:rsidRDefault="00F32CCD" w:rsidP="00F32CCD">
            <w:pPr>
              <w:jc w:val="right"/>
              <w:rPr>
                <w:szCs w:val="19"/>
              </w:rPr>
            </w:pPr>
            <w:r w:rsidRPr="00BA7C9E">
              <w:rPr>
                <w:szCs w:val="19"/>
              </w:rPr>
              <w:t>327 162</w:t>
            </w:r>
          </w:p>
        </w:tc>
        <w:tc>
          <w:tcPr>
            <w:tcW w:w="927" w:type="dxa"/>
          </w:tcPr>
          <w:p w:rsidR="00F32CCD" w:rsidRPr="00BA7C9E" w:rsidRDefault="00F32CCD" w:rsidP="00F32CCD">
            <w:pPr>
              <w:jc w:val="right"/>
              <w:rPr>
                <w:szCs w:val="19"/>
              </w:rPr>
            </w:pPr>
            <w:r w:rsidRPr="00BA7C9E">
              <w:rPr>
                <w:szCs w:val="19"/>
              </w:rPr>
              <w:t>335 108</w:t>
            </w:r>
          </w:p>
        </w:tc>
      </w:tr>
      <w:tr w:rsidR="00F32CCD" w:rsidRPr="00BA7C9E" w:rsidTr="00F32CCD">
        <w:trPr>
          <w:trHeight w:val="158"/>
        </w:trPr>
        <w:tc>
          <w:tcPr>
            <w:tcW w:w="811" w:type="dxa"/>
          </w:tcPr>
          <w:p w:rsidR="00F32CCD" w:rsidRPr="00BA7C9E" w:rsidRDefault="00F32CCD" w:rsidP="00F32CCD">
            <w:pPr>
              <w:rPr>
                <w:highlight w:val="cyan"/>
              </w:rPr>
            </w:pPr>
          </w:p>
        </w:tc>
        <w:tc>
          <w:tcPr>
            <w:tcW w:w="3678" w:type="dxa"/>
          </w:tcPr>
          <w:p w:rsidR="00F32CCD" w:rsidRPr="00BA7C9E" w:rsidRDefault="00F32CCD" w:rsidP="00F32CCD">
            <w:r w:rsidRPr="00BA7C9E">
              <w:t>Anslagsmedel som tillförts räntekonto</w:t>
            </w:r>
          </w:p>
        </w:tc>
        <w:tc>
          <w:tcPr>
            <w:tcW w:w="927" w:type="dxa"/>
          </w:tcPr>
          <w:p w:rsidR="00F32CCD" w:rsidRPr="00BA7C9E" w:rsidRDefault="00F32CCD" w:rsidP="00F32CCD">
            <w:pPr>
              <w:jc w:val="right"/>
              <w:rPr>
                <w:szCs w:val="19"/>
              </w:rPr>
            </w:pPr>
            <w:r w:rsidRPr="00BA7C9E">
              <w:rPr>
                <w:szCs w:val="19"/>
              </w:rPr>
              <w:t>–339 031</w:t>
            </w:r>
          </w:p>
        </w:tc>
        <w:tc>
          <w:tcPr>
            <w:tcW w:w="927" w:type="dxa"/>
          </w:tcPr>
          <w:p w:rsidR="00F32CCD" w:rsidRPr="00BA7C9E" w:rsidRDefault="00F32CCD" w:rsidP="00F32CCD">
            <w:pPr>
              <w:jc w:val="right"/>
              <w:rPr>
                <w:szCs w:val="19"/>
              </w:rPr>
            </w:pPr>
            <w:r w:rsidRPr="00BA7C9E">
              <w:rPr>
                <w:szCs w:val="19"/>
              </w:rPr>
              <w:t>–335 798</w:t>
            </w:r>
          </w:p>
        </w:tc>
      </w:tr>
      <w:tr w:rsidR="00F32CCD" w:rsidRPr="00BA7C9E" w:rsidTr="00F32CCD">
        <w:trPr>
          <w:trHeight w:val="158"/>
        </w:trPr>
        <w:tc>
          <w:tcPr>
            <w:tcW w:w="811" w:type="dxa"/>
          </w:tcPr>
          <w:p w:rsidR="00F32CCD" w:rsidRPr="00BA7C9E" w:rsidRDefault="00F32CCD" w:rsidP="00F32CCD">
            <w:pPr>
              <w:rPr>
                <w:highlight w:val="cyan"/>
              </w:rPr>
            </w:pPr>
          </w:p>
        </w:tc>
        <w:tc>
          <w:tcPr>
            <w:tcW w:w="3678" w:type="dxa"/>
          </w:tcPr>
          <w:p w:rsidR="00F32CCD" w:rsidRPr="00BA7C9E" w:rsidRDefault="00F32CCD" w:rsidP="00F32CCD">
            <w:r w:rsidRPr="00BA7C9E">
              <w:t>Återbetalning av anslagsmedel</w:t>
            </w:r>
          </w:p>
        </w:tc>
        <w:tc>
          <w:tcPr>
            <w:tcW w:w="927" w:type="dxa"/>
          </w:tcPr>
          <w:p w:rsidR="00F32CCD" w:rsidRPr="00BA7C9E" w:rsidRDefault="00F32CCD" w:rsidP="00F32CCD">
            <w:pPr>
              <w:jc w:val="right"/>
              <w:rPr>
                <w:szCs w:val="19"/>
              </w:rPr>
            </w:pPr>
            <w:r w:rsidRPr="00BA7C9E">
              <w:rPr>
                <w:szCs w:val="19"/>
              </w:rPr>
              <w:t>2 719</w:t>
            </w:r>
          </w:p>
        </w:tc>
        <w:tc>
          <w:tcPr>
            <w:tcW w:w="927" w:type="dxa"/>
          </w:tcPr>
          <w:p w:rsidR="00F32CCD" w:rsidRPr="00BA7C9E" w:rsidRDefault="00F32CCD" w:rsidP="00F32CCD">
            <w:pPr>
              <w:jc w:val="right"/>
              <w:rPr>
                <w:szCs w:val="19"/>
              </w:rPr>
            </w:pPr>
            <w:r w:rsidRPr="00BA7C9E">
              <w:rPr>
                <w:szCs w:val="19"/>
              </w:rPr>
              <w:t>2 462</w:t>
            </w:r>
          </w:p>
        </w:tc>
      </w:tr>
      <w:tr w:rsidR="00F32CCD" w:rsidRPr="00BA7C9E" w:rsidTr="00F32CCD">
        <w:trPr>
          <w:trHeight w:val="158"/>
        </w:trPr>
        <w:tc>
          <w:tcPr>
            <w:tcW w:w="811" w:type="dxa"/>
          </w:tcPr>
          <w:p w:rsidR="00F32CCD" w:rsidRPr="00BA7C9E" w:rsidRDefault="00F32CCD" w:rsidP="00F32CCD">
            <w:pPr>
              <w:rPr>
                <w:highlight w:val="cyan"/>
              </w:rPr>
            </w:pPr>
          </w:p>
        </w:tc>
        <w:tc>
          <w:tcPr>
            <w:tcW w:w="3678" w:type="dxa"/>
          </w:tcPr>
          <w:p w:rsidR="00F32CCD" w:rsidRPr="00BA7C9E" w:rsidRDefault="00F32CCD" w:rsidP="00F32CCD">
            <w:pPr>
              <w:rPr>
                <w:i/>
              </w:rPr>
            </w:pPr>
            <w:r w:rsidRPr="00BA7C9E">
              <w:rPr>
                <w:i/>
              </w:rPr>
              <w:t>Skulder avseende anslag i räntebärande flöde</w:t>
            </w:r>
          </w:p>
        </w:tc>
        <w:tc>
          <w:tcPr>
            <w:tcW w:w="927" w:type="dxa"/>
          </w:tcPr>
          <w:p w:rsidR="00F32CCD" w:rsidRPr="00BA7C9E" w:rsidRDefault="00F32CCD" w:rsidP="00F32CCD">
            <w:pPr>
              <w:jc w:val="right"/>
              <w:rPr>
                <w:i/>
                <w:szCs w:val="19"/>
              </w:rPr>
            </w:pPr>
            <w:r w:rsidRPr="00BA7C9E">
              <w:rPr>
                <w:i/>
                <w:szCs w:val="19"/>
              </w:rPr>
              <w:t>–15 410</w:t>
            </w:r>
          </w:p>
        </w:tc>
        <w:tc>
          <w:tcPr>
            <w:tcW w:w="927" w:type="dxa"/>
          </w:tcPr>
          <w:p w:rsidR="00F32CCD" w:rsidRPr="00BA7C9E" w:rsidRDefault="00F32CCD" w:rsidP="00F32CCD">
            <w:pPr>
              <w:jc w:val="right"/>
              <w:rPr>
                <w:i/>
                <w:szCs w:val="19"/>
              </w:rPr>
            </w:pPr>
            <w:r w:rsidRPr="00BA7C9E">
              <w:rPr>
                <w:i/>
                <w:szCs w:val="19"/>
              </w:rPr>
              <w:t>–6 260</w:t>
            </w:r>
          </w:p>
        </w:tc>
      </w:tr>
      <w:tr w:rsidR="00F32CCD" w:rsidRPr="00BA7C9E" w:rsidTr="00F32CCD">
        <w:trPr>
          <w:trHeight w:val="80"/>
        </w:trPr>
        <w:tc>
          <w:tcPr>
            <w:tcW w:w="811" w:type="dxa"/>
          </w:tcPr>
          <w:p w:rsidR="00F32CCD" w:rsidRPr="00BA7C9E" w:rsidRDefault="00F32CCD" w:rsidP="00F32CCD">
            <w:pPr>
              <w:rPr>
                <w:highlight w:val="cyan"/>
              </w:rPr>
            </w:pPr>
          </w:p>
        </w:tc>
        <w:tc>
          <w:tcPr>
            <w:tcW w:w="3678" w:type="dxa"/>
          </w:tcPr>
          <w:p w:rsidR="00F32CCD" w:rsidRPr="00BA7C9E" w:rsidRDefault="00F32CCD" w:rsidP="00F32CCD"/>
        </w:tc>
        <w:tc>
          <w:tcPr>
            <w:tcW w:w="927" w:type="dxa"/>
          </w:tcPr>
          <w:p w:rsidR="00F32CCD" w:rsidRPr="00BA7C9E" w:rsidRDefault="00F32CCD" w:rsidP="00F32CCD">
            <w:pPr>
              <w:jc w:val="right"/>
              <w:rPr>
                <w:szCs w:val="19"/>
              </w:rPr>
            </w:pPr>
          </w:p>
        </w:tc>
        <w:tc>
          <w:tcPr>
            <w:tcW w:w="927" w:type="dxa"/>
          </w:tcPr>
          <w:p w:rsidR="00F32CCD" w:rsidRPr="00BA7C9E" w:rsidRDefault="00F32CCD" w:rsidP="00F32CCD">
            <w:pPr>
              <w:jc w:val="right"/>
              <w:rPr>
                <w:szCs w:val="19"/>
              </w:rPr>
            </w:pPr>
          </w:p>
        </w:tc>
      </w:tr>
      <w:tr w:rsidR="00F32CCD" w:rsidRPr="00BA7C9E" w:rsidTr="00F32CCD">
        <w:trPr>
          <w:trHeight w:val="80"/>
        </w:trPr>
        <w:tc>
          <w:tcPr>
            <w:tcW w:w="811" w:type="dxa"/>
          </w:tcPr>
          <w:p w:rsidR="00F32CCD" w:rsidRPr="00BA7C9E" w:rsidRDefault="00F32CCD" w:rsidP="00F32CCD">
            <w:pPr>
              <w:rPr>
                <w:highlight w:val="cyan"/>
              </w:rPr>
            </w:pPr>
          </w:p>
        </w:tc>
        <w:tc>
          <w:tcPr>
            <w:tcW w:w="3678" w:type="dxa"/>
          </w:tcPr>
          <w:p w:rsidR="00F32CCD" w:rsidRPr="00BA7C9E" w:rsidRDefault="00F32CCD" w:rsidP="00F32CCD">
            <w:pPr>
              <w:rPr>
                <w:b/>
              </w:rPr>
            </w:pPr>
            <w:r w:rsidRPr="00BA7C9E">
              <w:rPr>
                <w:b/>
              </w:rPr>
              <w:t>Fordran avseende semesterlöneskuld som inte har redovisats mot anslag</w:t>
            </w:r>
          </w:p>
        </w:tc>
        <w:tc>
          <w:tcPr>
            <w:tcW w:w="927" w:type="dxa"/>
          </w:tcPr>
          <w:p w:rsidR="00F32CCD" w:rsidRPr="00BA7C9E" w:rsidRDefault="00F32CCD" w:rsidP="00F32CCD">
            <w:pPr>
              <w:jc w:val="right"/>
              <w:rPr>
                <w:szCs w:val="19"/>
              </w:rPr>
            </w:pPr>
          </w:p>
        </w:tc>
        <w:tc>
          <w:tcPr>
            <w:tcW w:w="927" w:type="dxa"/>
          </w:tcPr>
          <w:p w:rsidR="00F32CCD" w:rsidRPr="00BA7C9E" w:rsidRDefault="00F32CCD" w:rsidP="00F32CCD">
            <w:pPr>
              <w:jc w:val="right"/>
              <w:rPr>
                <w:szCs w:val="19"/>
              </w:rPr>
            </w:pPr>
          </w:p>
        </w:tc>
      </w:tr>
      <w:tr w:rsidR="00F32CCD" w:rsidRPr="00BA7C9E" w:rsidTr="00F32CCD">
        <w:trPr>
          <w:trHeight w:val="80"/>
        </w:trPr>
        <w:tc>
          <w:tcPr>
            <w:tcW w:w="811" w:type="dxa"/>
          </w:tcPr>
          <w:p w:rsidR="00F32CCD" w:rsidRPr="00BA7C9E" w:rsidRDefault="00F32CCD" w:rsidP="00F32CCD">
            <w:pPr>
              <w:rPr>
                <w:i/>
                <w:highlight w:val="cyan"/>
              </w:rPr>
            </w:pPr>
          </w:p>
        </w:tc>
        <w:tc>
          <w:tcPr>
            <w:tcW w:w="3678" w:type="dxa"/>
          </w:tcPr>
          <w:p w:rsidR="00F32CCD" w:rsidRPr="00BA7C9E" w:rsidRDefault="00F32CCD" w:rsidP="00F32CCD">
            <w:pPr>
              <w:rPr>
                <w:i/>
              </w:rPr>
            </w:pPr>
            <w:r w:rsidRPr="00BA7C9E">
              <w:rPr>
                <w:i/>
              </w:rPr>
              <w:t>Ingående balans</w:t>
            </w:r>
          </w:p>
        </w:tc>
        <w:tc>
          <w:tcPr>
            <w:tcW w:w="927" w:type="dxa"/>
          </w:tcPr>
          <w:p w:rsidR="00F32CCD" w:rsidRPr="00BA7C9E" w:rsidRDefault="00F32CCD" w:rsidP="00F32CCD">
            <w:pPr>
              <w:jc w:val="right"/>
              <w:rPr>
                <w:i/>
                <w:szCs w:val="19"/>
              </w:rPr>
            </w:pPr>
            <w:r w:rsidRPr="00BA7C9E">
              <w:rPr>
                <w:i/>
                <w:szCs w:val="19"/>
              </w:rPr>
              <w:t>12 225</w:t>
            </w:r>
          </w:p>
        </w:tc>
        <w:tc>
          <w:tcPr>
            <w:tcW w:w="927" w:type="dxa"/>
          </w:tcPr>
          <w:p w:rsidR="00F32CCD" w:rsidRPr="00BA7C9E" w:rsidRDefault="00F32CCD" w:rsidP="00F32CCD">
            <w:pPr>
              <w:jc w:val="right"/>
              <w:rPr>
                <w:i/>
                <w:szCs w:val="19"/>
              </w:rPr>
            </w:pPr>
            <w:r w:rsidRPr="00BA7C9E">
              <w:rPr>
                <w:i/>
                <w:szCs w:val="19"/>
              </w:rPr>
              <w:t>14 641</w:t>
            </w:r>
          </w:p>
        </w:tc>
      </w:tr>
      <w:tr w:rsidR="00F32CCD" w:rsidRPr="00BA7C9E" w:rsidTr="00F32CCD">
        <w:trPr>
          <w:trHeight w:val="80"/>
        </w:trPr>
        <w:tc>
          <w:tcPr>
            <w:tcW w:w="811" w:type="dxa"/>
          </w:tcPr>
          <w:p w:rsidR="00F32CCD" w:rsidRPr="00BA7C9E" w:rsidRDefault="00F32CCD" w:rsidP="00F32CCD">
            <w:pPr>
              <w:rPr>
                <w:highlight w:val="cyan"/>
              </w:rPr>
            </w:pPr>
          </w:p>
        </w:tc>
        <w:tc>
          <w:tcPr>
            <w:tcW w:w="3678" w:type="dxa"/>
          </w:tcPr>
          <w:p w:rsidR="00F32CCD" w:rsidRPr="00BA7C9E" w:rsidRDefault="00F32CCD" w:rsidP="00F32CCD">
            <w:r w:rsidRPr="00BA7C9E">
              <w:t>Redovisat under året enligt undantagsregeln</w:t>
            </w:r>
          </w:p>
        </w:tc>
        <w:tc>
          <w:tcPr>
            <w:tcW w:w="927" w:type="dxa"/>
          </w:tcPr>
          <w:p w:rsidR="00F32CCD" w:rsidRPr="00BA7C9E" w:rsidRDefault="00F32CCD" w:rsidP="00F32CCD">
            <w:pPr>
              <w:jc w:val="right"/>
              <w:rPr>
                <w:szCs w:val="19"/>
              </w:rPr>
            </w:pPr>
            <w:r w:rsidRPr="00BA7C9E">
              <w:rPr>
                <w:szCs w:val="19"/>
              </w:rPr>
              <w:t>–2 228</w:t>
            </w:r>
          </w:p>
        </w:tc>
        <w:tc>
          <w:tcPr>
            <w:tcW w:w="927" w:type="dxa"/>
          </w:tcPr>
          <w:p w:rsidR="00F32CCD" w:rsidRPr="00BA7C9E" w:rsidRDefault="00F32CCD" w:rsidP="00F32CCD">
            <w:pPr>
              <w:jc w:val="right"/>
              <w:rPr>
                <w:szCs w:val="19"/>
              </w:rPr>
            </w:pPr>
            <w:r w:rsidRPr="00BA7C9E">
              <w:rPr>
                <w:szCs w:val="19"/>
              </w:rPr>
              <w:t>–2 416</w:t>
            </w:r>
          </w:p>
        </w:tc>
      </w:tr>
      <w:tr w:rsidR="00F32CCD" w:rsidRPr="00BA7C9E" w:rsidTr="00F32CCD">
        <w:trPr>
          <w:trHeight w:val="80"/>
        </w:trPr>
        <w:tc>
          <w:tcPr>
            <w:tcW w:w="811" w:type="dxa"/>
          </w:tcPr>
          <w:p w:rsidR="00F32CCD" w:rsidRPr="00BA7C9E" w:rsidRDefault="00F32CCD" w:rsidP="00F32CCD">
            <w:pPr>
              <w:rPr>
                <w:i/>
                <w:highlight w:val="cyan"/>
              </w:rPr>
            </w:pPr>
          </w:p>
        </w:tc>
        <w:tc>
          <w:tcPr>
            <w:tcW w:w="3678" w:type="dxa"/>
          </w:tcPr>
          <w:p w:rsidR="00F32CCD" w:rsidRPr="00BA7C9E" w:rsidRDefault="00F32CCD" w:rsidP="00F32CCD">
            <w:pPr>
              <w:rPr>
                <w:i/>
              </w:rPr>
            </w:pPr>
            <w:r w:rsidRPr="00BA7C9E">
              <w:rPr>
                <w:i/>
              </w:rPr>
              <w:t>Fordran avseende semesterlöneskuld som inte har redovisats mot anslag</w:t>
            </w:r>
          </w:p>
        </w:tc>
        <w:tc>
          <w:tcPr>
            <w:tcW w:w="927" w:type="dxa"/>
          </w:tcPr>
          <w:p w:rsidR="00F32CCD" w:rsidRPr="00BA7C9E" w:rsidRDefault="00F32CCD" w:rsidP="00F32CCD">
            <w:pPr>
              <w:jc w:val="right"/>
              <w:rPr>
                <w:i/>
                <w:szCs w:val="19"/>
              </w:rPr>
            </w:pPr>
            <w:r w:rsidRPr="00BA7C9E">
              <w:rPr>
                <w:i/>
                <w:szCs w:val="19"/>
              </w:rPr>
              <w:t>9 997</w:t>
            </w:r>
          </w:p>
        </w:tc>
        <w:tc>
          <w:tcPr>
            <w:tcW w:w="927" w:type="dxa"/>
          </w:tcPr>
          <w:p w:rsidR="00F32CCD" w:rsidRPr="00BA7C9E" w:rsidRDefault="00F32CCD" w:rsidP="00F32CCD">
            <w:pPr>
              <w:jc w:val="right"/>
              <w:rPr>
                <w:i/>
                <w:szCs w:val="19"/>
              </w:rPr>
            </w:pPr>
            <w:r w:rsidRPr="00BA7C9E">
              <w:rPr>
                <w:i/>
                <w:szCs w:val="19"/>
              </w:rPr>
              <w:t>12 225</w:t>
            </w:r>
          </w:p>
        </w:tc>
      </w:tr>
      <w:tr w:rsidR="00F32CCD" w:rsidRPr="00BA7C9E" w:rsidTr="00F32CCD">
        <w:trPr>
          <w:trHeight w:val="80"/>
        </w:trPr>
        <w:tc>
          <w:tcPr>
            <w:tcW w:w="811" w:type="dxa"/>
          </w:tcPr>
          <w:p w:rsidR="00F32CCD" w:rsidRPr="00BA7C9E" w:rsidRDefault="00F32CCD" w:rsidP="00F32CCD">
            <w:pPr>
              <w:rPr>
                <w:highlight w:val="cyan"/>
              </w:rPr>
            </w:pPr>
          </w:p>
        </w:tc>
        <w:tc>
          <w:tcPr>
            <w:tcW w:w="3678" w:type="dxa"/>
          </w:tcPr>
          <w:p w:rsidR="00F32CCD" w:rsidRPr="00BA7C9E" w:rsidRDefault="00F32CCD" w:rsidP="00F32CCD"/>
        </w:tc>
        <w:tc>
          <w:tcPr>
            <w:tcW w:w="927" w:type="dxa"/>
          </w:tcPr>
          <w:p w:rsidR="00F32CCD" w:rsidRPr="00BA7C9E" w:rsidRDefault="00F32CCD" w:rsidP="00F32CCD">
            <w:pPr>
              <w:jc w:val="right"/>
              <w:rPr>
                <w:szCs w:val="19"/>
              </w:rPr>
            </w:pPr>
          </w:p>
        </w:tc>
        <w:tc>
          <w:tcPr>
            <w:tcW w:w="927" w:type="dxa"/>
          </w:tcPr>
          <w:p w:rsidR="00F32CCD" w:rsidRPr="00BA7C9E" w:rsidRDefault="00F32CCD" w:rsidP="00F32CCD">
            <w:pPr>
              <w:jc w:val="right"/>
              <w:rPr>
                <w:szCs w:val="19"/>
              </w:rPr>
            </w:pPr>
          </w:p>
        </w:tc>
      </w:tr>
      <w:tr w:rsidR="00F741AA" w:rsidRPr="00BA7C9E" w:rsidTr="00F32CCD">
        <w:trPr>
          <w:trHeight w:val="80"/>
        </w:trPr>
        <w:tc>
          <w:tcPr>
            <w:tcW w:w="811" w:type="dxa"/>
          </w:tcPr>
          <w:p w:rsidR="00F741AA" w:rsidRPr="00BA7C9E" w:rsidRDefault="00F741AA" w:rsidP="00F32CCD">
            <w:pPr>
              <w:rPr>
                <w:highlight w:val="yellow"/>
              </w:rPr>
            </w:pPr>
          </w:p>
        </w:tc>
        <w:tc>
          <w:tcPr>
            <w:tcW w:w="3678" w:type="dxa"/>
          </w:tcPr>
          <w:p w:rsidR="00F741AA" w:rsidRPr="00BA7C9E" w:rsidRDefault="00F741AA" w:rsidP="00F32CCD">
            <w:pPr>
              <w:jc w:val="left"/>
              <w:rPr>
                <w:b/>
              </w:rPr>
            </w:pPr>
          </w:p>
        </w:tc>
        <w:tc>
          <w:tcPr>
            <w:tcW w:w="927" w:type="dxa"/>
          </w:tcPr>
          <w:p w:rsidR="00F741AA" w:rsidRPr="00BA7C9E" w:rsidRDefault="00F741AA" w:rsidP="00F32CCD">
            <w:pPr>
              <w:jc w:val="right"/>
              <w:rPr>
                <w:szCs w:val="19"/>
              </w:rPr>
            </w:pPr>
          </w:p>
        </w:tc>
        <w:tc>
          <w:tcPr>
            <w:tcW w:w="927" w:type="dxa"/>
          </w:tcPr>
          <w:p w:rsidR="00F741AA" w:rsidRPr="00BA7C9E" w:rsidRDefault="00F741AA" w:rsidP="00F32CCD">
            <w:pPr>
              <w:jc w:val="right"/>
              <w:rPr>
                <w:szCs w:val="19"/>
              </w:rPr>
            </w:pPr>
          </w:p>
        </w:tc>
      </w:tr>
      <w:tr w:rsidR="00F741AA" w:rsidRPr="00BA7C9E" w:rsidTr="00F32CCD">
        <w:trPr>
          <w:trHeight w:val="80"/>
        </w:trPr>
        <w:tc>
          <w:tcPr>
            <w:tcW w:w="811" w:type="dxa"/>
          </w:tcPr>
          <w:p w:rsidR="00F741AA" w:rsidRPr="00BA7C9E" w:rsidRDefault="00F741AA" w:rsidP="00F32CCD">
            <w:pPr>
              <w:rPr>
                <w:highlight w:val="yellow"/>
              </w:rPr>
            </w:pPr>
          </w:p>
        </w:tc>
        <w:tc>
          <w:tcPr>
            <w:tcW w:w="3678" w:type="dxa"/>
          </w:tcPr>
          <w:p w:rsidR="00F741AA" w:rsidRPr="00BA7C9E" w:rsidRDefault="00F741AA" w:rsidP="00F32CCD">
            <w:pPr>
              <w:jc w:val="left"/>
              <w:rPr>
                <w:b/>
              </w:rPr>
            </w:pPr>
          </w:p>
        </w:tc>
        <w:tc>
          <w:tcPr>
            <w:tcW w:w="927" w:type="dxa"/>
          </w:tcPr>
          <w:p w:rsidR="00F741AA" w:rsidRPr="00BA7C9E" w:rsidRDefault="00F741AA" w:rsidP="00F32CCD">
            <w:pPr>
              <w:jc w:val="right"/>
              <w:rPr>
                <w:szCs w:val="19"/>
              </w:rPr>
            </w:pPr>
          </w:p>
        </w:tc>
        <w:tc>
          <w:tcPr>
            <w:tcW w:w="927" w:type="dxa"/>
          </w:tcPr>
          <w:p w:rsidR="00F741AA" w:rsidRPr="00BA7C9E" w:rsidRDefault="00F741AA" w:rsidP="00F32CCD">
            <w:pPr>
              <w:jc w:val="right"/>
              <w:rPr>
                <w:szCs w:val="19"/>
              </w:rPr>
            </w:pPr>
          </w:p>
        </w:tc>
      </w:tr>
      <w:tr w:rsidR="00F741AA" w:rsidRPr="00BA7C9E" w:rsidTr="00F32CCD">
        <w:trPr>
          <w:trHeight w:val="80"/>
        </w:trPr>
        <w:tc>
          <w:tcPr>
            <w:tcW w:w="811" w:type="dxa"/>
          </w:tcPr>
          <w:p w:rsidR="00F741AA" w:rsidRPr="00BA7C9E" w:rsidRDefault="00F741AA" w:rsidP="00F32CCD">
            <w:pPr>
              <w:rPr>
                <w:highlight w:val="yellow"/>
              </w:rPr>
            </w:pPr>
          </w:p>
        </w:tc>
        <w:tc>
          <w:tcPr>
            <w:tcW w:w="3678" w:type="dxa"/>
          </w:tcPr>
          <w:p w:rsidR="00F741AA" w:rsidRPr="00BA7C9E" w:rsidRDefault="00F741AA" w:rsidP="00F32CCD">
            <w:pPr>
              <w:jc w:val="left"/>
              <w:rPr>
                <w:b/>
              </w:rPr>
            </w:pPr>
          </w:p>
        </w:tc>
        <w:tc>
          <w:tcPr>
            <w:tcW w:w="927" w:type="dxa"/>
          </w:tcPr>
          <w:p w:rsidR="00F741AA" w:rsidRPr="00BA7C9E" w:rsidRDefault="00F741AA" w:rsidP="00F32CCD">
            <w:pPr>
              <w:jc w:val="right"/>
              <w:rPr>
                <w:szCs w:val="19"/>
              </w:rPr>
            </w:pPr>
          </w:p>
        </w:tc>
        <w:tc>
          <w:tcPr>
            <w:tcW w:w="927" w:type="dxa"/>
          </w:tcPr>
          <w:p w:rsidR="00F741AA" w:rsidRPr="00BA7C9E" w:rsidRDefault="00F741AA" w:rsidP="00F32CCD">
            <w:pPr>
              <w:jc w:val="right"/>
              <w:rPr>
                <w:szCs w:val="19"/>
              </w:rPr>
            </w:pPr>
          </w:p>
        </w:tc>
      </w:tr>
      <w:tr w:rsidR="00F741AA" w:rsidRPr="00BA7C9E" w:rsidTr="00F32CCD">
        <w:trPr>
          <w:trHeight w:val="80"/>
        </w:trPr>
        <w:tc>
          <w:tcPr>
            <w:tcW w:w="811" w:type="dxa"/>
          </w:tcPr>
          <w:p w:rsidR="00F741AA" w:rsidRPr="00BA7C9E" w:rsidRDefault="00F741AA" w:rsidP="00F32CCD">
            <w:pPr>
              <w:rPr>
                <w:highlight w:val="yellow"/>
              </w:rPr>
            </w:pPr>
          </w:p>
        </w:tc>
        <w:tc>
          <w:tcPr>
            <w:tcW w:w="3678" w:type="dxa"/>
          </w:tcPr>
          <w:p w:rsidR="00F741AA" w:rsidRPr="00BA7C9E" w:rsidRDefault="00F741AA" w:rsidP="00F32CCD">
            <w:pPr>
              <w:jc w:val="left"/>
              <w:rPr>
                <w:b/>
              </w:rPr>
            </w:pPr>
          </w:p>
        </w:tc>
        <w:tc>
          <w:tcPr>
            <w:tcW w:w="927" w:type="dxa"/>
          </w:tcPr>
          <w:p w:rsidR="00F741AA" w:rsidRPr="00BA7C9E" w:rsidRDefault="00F741AA" w:rsidP="00F32CCD">
            <w:pPr>
              <w:jc w:val="right"/>
              <w:rPr>
                <w:szCs w:val="19"/>
              </w:rPr>
            </w:pPr>
          </w:p>
        </w:tc>
        <w:tc>
          <w:tcPr>
            <w:tcW w:w="927" w:type="dxa"/>
          </w:tcPr>
          <w:p w:rsidR="00F741AA" w:rsidRPr="00BA7C9E" w:rsidRDefault="00F741AA" w:rsidP="00F32CCD">
            <w:pPr>
              <w:jc w:val="right"/>
              <w:rPr>
                <w:szCs w:val="19"/>
              </w:rPr>
            </w:pP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pPr>
              <w:jc w:val="left"/>
              <w:rPr>
                <w:b/>
              </w:rPr>
            </w:pPr>
            <w:r w:rsidRPr="00BA7C9E">
              <w:rPr>
                <w:b/>
              </w:rPr>
              <w:t>Övriga fordringar/skulder på statens ce</w:t>
            </w:r>
            <w:r w:rsidRPr="00BA7C9E">
              <w:rPr>
                <w:b/>
              </w:rPr>
              <w:t>n</w:t>
            </w:r>
            <w:r w:rsidRPr="00BA7C9E">
              <w:rPr>
                <w:b/>
              </w:rPr>
              <w:t>tralkonto</w:t>
            </w:r>
          </w:p>
        </w:tc>
        <w:tc>
          <w:tcPr>
            <w:tcW w:w="927" w:type="dxa"/>
          </w:tcPr>
          <w:p w:rsidR="00F32CCD" w:rsidRPr="00BA7C9E" w:rsidRDefault="00F32CCD" w:rsidP="00F32CCD">
            <w:pPr>
              <w:jc w:val="right"/>
              <w:rPr>
                <w:szCs w:val="19"/>
              </w:rPr>
            </w:pPr>
          </w:p>
        </w:tc>
        <w:tc>
          <w:tcPr>
            <w:tcW w:w="927" w:type="dxa"/>
          </w:tcPr>
          <w:p w:rsidR="00F32CCD" w:rsidRPr="00BA7C9E" w:rsidRDefault="00F32CCD" w:rsidP="00F32CCD">
            <w:pPr>
              <w:jc w:val="right"/>
              <w:rPr>
                <w:szCs w:val="19"/>
              </w:rPr>
            </w:pP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r w:rsidRPr="00BA7C9E">
              <w:t>Ingående balans</w:t>
            </w:r>
          </w:p>
        </w:tc>
        <w:tc>
          <w:tcPr>
            <w:tcW w:w="927" w:type="dxa"/>
          </w:tcPr>
          <w:p w:rsidR="00F32CCD" w:rsidRPr="00BA7C9E" w:rsidRDefault="00F32CCD" w:rsidP="00F32CCD">
            <w:pPr>
              <w:jc w:val="right"/>
              <w:rPr>
                <w:szCs w:val="19"/>
              </w:rPr>
            </w:pPr>
            <w:r w:rsidRPr="00BA7C9E">
              <w:rPr>
                <w:szCs w:val="19"/>
              </w:rPr>
              <w:t>0</w:t>
            </w:r>
          </w:p>
        </w:tc>
        <w:tc>
          <w:tcPr>
            <w:tcW w:w="927" w:type="dxa"/>
          </w:tcPr>
          <w:p w:rsidR="00F32CCD" w:rsidRPr="00BA7C9E" w:rsidRDefault="00F32CCD" w:rsidP="00F32CCD">
            <w:pPr>
              <w:jc w:val="right"/>
              <w:rPr>
                <w:szCs w:val="19"/>
              </w:rPr>
            </w:pPr>
            <w:r w:rsidRPr="00BA7C9E">
              <w:rPr>
                <w:szCs w:val="19"/>
              </w:rPr>
              <w:t>0</w:t>
            </w: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r w:rsidRPr="00BA7C9E">
              <w:t>Inbetalningar i icke räntebärande flöde</w:t>
            </w:r>
          </w:p>
        </w:tc>
        <w:tc>
          <w:tcPr>
            <w:tcW w:w="927" w:type="dxa"/>
          </w:tcPr>
          <w:p w:rsidR="00F32CCD" w:rsidRPr="00BA7C9E" w:rsidRDefault="00F32CCD" w:rsidP="00F32CCD">
            <w:pPr>
              <w:jc w:val="right"/>
              <w:rPr>
                <w:szCs w:val="19"/>
              </w:rPr>
            </w:pPr>
            <w:r w:rsidRPr="00BA7C9E">
              <w:rPr>
                <w:szCs w:val="19"/>
              </w:rPr>
              <w:t>122 443</w:t>
            </w:r>
          </w:p>
        </w:tc>
        <w:tc>
          <w:tcPr>
            <w:tcW w:w="927" w:type="dxa"/>
          </w:tcPr>
          <w:p w:rsidR="00F32CCD" w:rsidRPr="00BA7C9E" w:rsidRDefault="00F32CCD" w:rsidP="00F32CCD">
            <w:pPr>
              <w:jc w:val="right"/>
              <w:rPr>
                <w:szCs w:val="19"/>
              </w:rPr>
            </w:pPr>
            <w:r w:rsidRPr="00BA7C9E">
              <w:rPr>
                <w:szCs w:val="19"/>
              </w:rPr>
              <w:t>122 949</w:t>
            </w: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r w:rsidRPr="00BA7C9E">
              <w:t>Utbetalningar i icke räntebärande flöde</w:t>
            </w:r>
          </w:p>
        </w:tc>
        <w:tc>
          <w:tcPr>
            <w:tcW w:w="927" w:type="dxa"/>
          </w:tcPr>
          <w:p w:rsidR="00F32CCD" w:rsidRPr="00BA7C9E" w:rsidRDefault="00F32CCD" w:rsidP="00F32CCD">
            <w:pPr>
              <w:jc w:val="right"/>
              <w:rPr>
                <w:szCs w:val="19"/>
              </w:rPr>
            </w:pPr>
            <w:r w:rsidRPr="00BA7C9E">
              <w:rPr>
                <w:szCs w:val="19"/>
              </w:rPr>
              <w:t>–1 488</w:t>
            </w:r>
          </w:p>
        </w:tc>
        <w:tc>
          <w:tcPr>
            <w:tcW w:w="927" w:type="dxa"/>
          </w:tcPr>
          <w:p w:rsidR="00F32CCD" w:rsidRPr="00BA7C9E" w:rsidRDefault="00F32CCD" w:rsidP="00F32CCD">
            <w:pPr>
              <w:jc w:val="right"/>
              <w:rPr>
                <w:szCs w:val="19"/>
              </w:rPr>
            </w:pPr>
            <w:r w:rsidRPr="00BA7C9E">
              <w:rPr>
                <w:szCs w:val="19"/>
              </w:rPr>
              <w:t>–2 583</w:t>
            </w: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pPr>
              <w:jc w:val="left"/>
            </w:pPr>
            <w:r w:rsidRPr="00BA7C9E">
              <w:t>Betalningar hänförbara till anslag och i</w:t>
            </w:r>
            <w:r w:rsidRPr="00BA7C9E">
              <w:t>n</w:t>
            </w:r>
            <w:r w:rsidRPr="00BA7C9E">
              <w:t>komsttitlar</w:t>
            </w:r>
          </w:p>
        </w:tc>
        <w:tc>
          <w:tcPr>
            <w:tcW w:w="927" w:type="dxa"/>
            <w:vAlign w:val="bottom"/>
          </w:tcPr>
          <w:p w:rsidR="00F32CCD" w:rsidRPr="00BA7C9E" w:rsidRDefault="00F32CCD" w:rsidP="00F32CCD">
            <w:pPr>
              <w:jc w:val="right"/>
              <w:rPr>
                <w:szCs w:val="19"/>
              </w:rPr>
            </w:pPr>
            <w:r w:rsidRPr="00BA7C9E">
              <w:rPr>
                <w:szCs w:val="19"/>
              </w:rPr>
              <w:t>–120 955</w:t>
            </w:r>
          </w:p>
        </w:tc>
        <w:tc>
          <w:tcPr>
            <w:tcW w:w="927" w:type="dxa"/>
            <w:vAlign w:val="bottom"/>
          </w:tcPr>
          <w:p w:rsidR="00F32CCD" w:rsidRPr="00BA7C9E" w:rsidRDefault="00F32CCD" w:rsidP="00F32CCD">
            <w:pPr>
              <w:jc w:val="right"/>
              <w:rPr>
                <w:szCs w:val="19"/>
              </w:rPr>
            </w:pPr>
            <w:r w:rsidRPr="00BA7C9E">
              <w:rPr>
                <w:szCs w:val="19"/>
              </w:rPr>
              <w:t>–120 366</w:t>
            </w: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pPr>
              <w:jc w:val="left"/>
              <w:rPr>
                <w:i/>
              </w:rPr>
            </w:pPr>
            <w:r w:rsidRPr="00BA7C9E">
              <w:rPr>
                <w:i/>
              </w:rPr>
              <w:t>Övriga fordringar/skulder på statens centra</w:t>
            </w:r>
            <w:r w:rsidRPr="00BA7C9E">
              <w:rPr>
                <w:i/>
              </w:rPr>
              <w:t>l</w:t>
            </w:r>
            <w:r w:rsidRPr="00BA7C9E">
              <w:rPr>
                <w:i/>
              </w:rPr>
              <w:t xml:space="preserve">konto </w:t>
            </w:r>
          </w:p>
        </w:tc>
        <w:tc>
          <w:tcPr>
            <w:tcW w:w="927" w:type="dxa"/>
            <w:vAlign w:val="bottom"/>
          </w:tcPr>
          <w:p w:rsidR="00F32CCD" w:rsidRPr="00BA7C9E" w:rsidRDefault="00F32CCD" w:rsidP="00F32CCD">
            <w:pPr>
              <w:jc w:val="right"/>
              <w:rPr>
                <w:i/>
                <w:szCs w:val="19"/>
              </w:rPr>
            </w:pPr>
            <w:r w:rsidRPr="00BA7C9E">
              <w:rPr>
                <w:i/>
                <w:szCs w:val="19"/>
              </w:rPr>
              <w:t>0</w:t>
            </w:r>
          </w:p>
        </w:tc>
        <w:tc>
          <w:tcPr>
            <w:tcW w:w="927" w:type="dxa"/>
            <w:vAlign w:val="bottom"/>
          </w:tcPr>
          <w:p w:rsidR="00F32CCD" w:rsidRPr="00BA7C9E" w:rsidRDefault="00F32CCD" w:rsidP="00F32CCD">
            <w:pPr>
              <w:jc w:val="right"/>
              <w:rPr>
                <w:i/>
                <w:szCs w:val="19"/>
              </w:rPr>
            </w:pPr>
            <w:r w:rsidRPr="00BA7C9E">
              <w:rPr>
                <w:i/>
                <w:szCs w:val="19"/>
              </w:rPr>
              <w:t>0</w:t>
            </w:r>
          </w:p>
        </w:tc>
      </w:tr>
      <w:tr w:rsidR="00F32CCD" w:rsidRPr="00BA7C9E" w:rsidTr="00F32CCD">
        <w:trPr>
          <w:trHeight w:val="80"/>
        </w:trPr>
        <w:tc>
          <w:tcPr>
            <w:tcW w:w="811" w:type="dxa"/>
          </w:tcPr>
          <w:p w:rsidR="00F32CCD" w:rsidRPr="00BA7C9E" w:rsidRDefault="00F32CCD" w:rsidP="00F32CCD">
            <w:pPr>
              <w:rPr>
                <w:highlight w:val="yellow"/>
              </w:rPr>
            </w:pPr>
          </w:p>
        </w:tc>
        <w:tc>
          <w:tcPr>
            <w:tcW w:w="3678" w:type="dxa"/>
          </w:tcPr>
          <w:p w:rsidR="00F32CCD" w:rsidRPr="00BA7C9E" w:rsidRDefault="00F32CCD" w:rsidP="00F32CCD">
            <w:pPr>
              <w:rPr>
                <w:b/>
                <w:i/>
              </w:rPr>
            </w:pPr>
            <w:r w:rsidRPr="00BA7C9E">
              <w:rPr>
                <w:b/>
                <w:i/>
              </w:rPr>
              <w:t>Summa Avräkning med statsverket</w:t>
            </w:r>
          </w:p>
        </w:tc>
        <w:tc>
          <w:tcPr>
            <w:tcW w:w="927" w:type="dxa"/>
          </w:tcPr>
          <w:p w:rsidR="00F32CCD" w:rsidRPr="00BA7C9E" w:rsidRDefault="00F32CCD" w:rsidP="00F32CCD">
            <w:pPr>
              <w:jc w:val="right"/>
              <w:rPr>
                <w:b/>
                <w:i/>
                <w:szCs w:val="19"/>
              </w:rPr>
            </w:pPr>
            <w:r w:rsidRPr="00BA7C9E">
              <w:rPr>
                <w:b/>
                <w:i/>
                <w:szCs w:val="19"/>
              </w:rPr>
              <w:t>–18 100</w:t>
            </w:r>
          </w:p>
        </w:tc>
        <w:tc>
          <w:tcPr>
            <w:tcW w:w="927" w:type="dxa"/>
          </w:tcPr>
          <w:p w:rsidR="00F32CCD" w:rsidRPr="00BA7C9E" w:rsidRDefault="00F32CCD" w:rsidP="00F32CCD">
            <w:pPr>
              <w:jc w:val="right"/>
              <w:rPr>
                <w:b/>
                <w:i/>
                <w:szCs w:val="19"/>
              </w:rPr>
            </w:pPr>
            <w:r w:rsidRPr="00BA7C9E">
              <w:rPr>
                <w:b/>
                <w:i/>
                <w:szCs w:val="19"/>
              </w:rPr>
              <w:t>–14 985</w:t>
            </w:r>
          </w:p>
        </w:tc>
      </w:tr>
    </w:tbl>
    <w:p w:rsidR="00F32CCD" w:rsidRPr="00BA7C9E" w:rsidRDefault="00F32CCD" w:rsidP="00F32CCD">
      <w:pPr>
        <w:spacing w:before="0" w:line="40" w:lineRule="exact"/>
        <w:rPr>
          <w:b/>
          <w:highlight w:val="yellow"/>
        </w:rPr>
      </w:pPr>
    </w:p>
    <w:p w:rsidR="00F32CCD" w:rsidRPr="00BA7C9E" w:rsidRDefault="00F32CCD" w:rsidP="00F32CCD"/>
    <w:tbl>
      <w:tblPr>
        <w:tblW w:w="6246" w:type="dxa"/>
        <w:tblInd w:w="-38" w:type="dxa"/>
        <w:tblLayout w:type="fixed"/>
        <w:tblCellMar>
          <w:left w:w="70" w:type="dxa"/>
          <w:right w:w="70" w:type="dxa"/>
        </w:tblCellMar>
        <w:tblLook w:val="0000" w:firstRow="0" w:lastRow="0" w:firstColumn="0" w:lastColumn="0" w:noHBand="0" w:noVBand="0"/>
      </w:tblPr>
      <w:tblGrid>
        <w:gridCol w:w="802"/>
        <w:gridCol w:w="3617"/>
        <w:gridCol w:w="911"/>
        <w:gridCol w:w="916"/>
      </w:tblGrid>
      <w:tr w:rsidR="00F32CCD" w:rsidRPr="00BA7C9E" w:rsidTr="00F32CCD">
        <w:tc>
          <w:tcPr>
            <w:tcW w:w="802" w:type="dxa"/>
          </w:tcPr>
          <w:p w:rsidR="00F32CCD" w:rsidRPr="00BA7C9E" w:rsidRDefault="00F32CCD" w:rsidP="00F741AA">
            <w:pPr>
              <w:rPr>
                <w:b/>
              </w:rPr>
            </w:pPr>
            <w:r w:rsidRPr="00BA7C9E">
              <w:rPr>
                <w:b/>
              </w:rPr>
              <w:t>Not 1</w:t>
            </w:r>
            <w:r w:rsidR="00F741AA" w:rsidRPr="00BA7C9E">
              <w:rPr>
                <w:b/>
              </w:rPr>
              <w:t>3</w:t>
            </w:r>
          </w:p>
        </w:tc>
        <w:tc>
          <w:tcPr>
            <w:tcW w:w="3617" w:type="dxa"/>
          </w:tcPr>
          <w:p w:rsidR="00F32CCD" w:rsidRPr="00BA7C9E" w:rsidRDefault="00F32CCD" w:rsidP="00F32CCD">
            <w:pPr>
              <w:jc w:val="left"/>
              <w:rPr>
                <w:b/>
              </w:rPr>
            </w:pPr>
            <w:r w:rsidRPr="00BA7C9E">
              <w:rPr>
                <w:b/>
              </w:rPr>
              <w:t xml:space="preserve">Statskapital </w:t>
            </w:r>
          </w:p>
        </w:tc>
        <w:tc>
          <w:tcPr>
            <w:tcW w:w="911" w:type="dxa"/>
          </w:tcPr>
          <w:p w:rsidR="00F32CCD" w:rsidRPr="00BA7C9E" w:rsidRDefault="00F32CCD" w:rsidP="00F32CCD">
            <w:pPr>
              <w:jc w:val="right"/>
              <w:rPr>
                <w:b/>
              </w:rPr>
            </w:pPr>
            <w:r w:rsidRPr="00BA7C9E">
              <w:rPr>
                <w:b/>
              </w:rPr>
              <w:t>2011</w:t>
            </w:r>
          </w:p>
        </w:tc>
        <w:tc>
          <w:tcPr>
            <w:tcW w:w="916" w:type="dxa"/>
          </w:tcPr>
          <w:p w:rsidR="00F32CCD" w:rsidRPr="00BA7C9E" w:rsidRDefault="00F32CCD" w:rsidP="00F32CCD">
            <w:pPr>
              <w:jc w:val="right"/>
              <w:rPr>
                <w:b/>
              </w:rPr>
            </w:pPr>
            <w:r w:rsidRPr="00BA7C9E">
              <w:rPr>
                <w:b/>
              </w:rPr>
              <w:t>2010</w:t>
            </w:r>
          </w:p>
        </w:tc>
      </w:tr>
      <w:tr w:rsidR="00F32CCD" w:rsidRPr="00BA7C9E" w:rsidTr="00F32CCD">
        <w:tc>
          <w:tcPr>
            <w:tcW w:w="802" w:type="dxa"/>
          </w:tcPr>
          <w:p w:rsidR="00F32CCD" w:rsidRPr="00BA7C9E" w:rsidRDefault="00F32CCD" w:rsidP="00F32CCD">
            <w:pPr>
              <w:rPr>
                <w:b/>
              </w:rPr>
            </w:pPr>
          </w:p>
        </w:tc>
        <w:tc>
          <w:tcPr>
            <w:tcW w:w="3617" w:type="dxa"/>
          </w:tcPr>
          <w:p w:rsidR="00F32CCD" w:rsidRPr="00BA7C9E" w:rsidRDefault="00F32CCD" w:rsidP="00F32CCD">
            <w:r w:rsidRPr="00BA7C9E">
              <w:t>Konst som överförts från Statens konstråd</w:t>
            </w:r>
          </w:p>
        </w:tc>
        <w:tc>
          <w:tcPr>
            <w:tcW w:w="911" w:type="dxa"/>
          </w:tcPr>
          <w:p w:rsidR="00F32CCD" w:rsidRPr="00BA7C9E" w:rsidRDefault="00F32CCD" w:rsidP="00F32CCD">
            <w:pPr>
              <w:jc w:val="right"/>
              <w:rPr>
                <w:szCs w:val="19"/>
              </w:rPr>
            </w:pPr>
            <w:r w:rsidRPr="00BA7C9E">
              <w:rPr>
                <w:szCs w:val="19"/>
              </w:rPr>
              <w:t>35</w:t>
            </w:r>
          </w:p>
        </w:tc>
        <w:tc>
          <w:tcPr>
            <w:tcW w:w="916" w:type="dxa"/>
          </w:tcPr>
          <w:p w:rsidR="00F32CCD" w:rsidRPr="00BA7C9E" w:rsidRDefault="00F32CCD" w:rsidP="00F32CCD">
            <w:pPr>
              <w:jc w:val="right"/>
              <w:rPr>
                <w:szCs w:val="19"/>
              </w:rPr>
            </w:pPr>
            <w:r w:rsidRPr="00BA7C9E">
              <w:rPr>
                <w:szCs w:val="19"/>
              </w:rPr>
              <w:t>35</w:t>
            </w:r>
          </w:p>
        </w:tc>
      </w:tr>
      <w:tr w:rsidR="00F32CCD" w:rsidRPr="00BA7C9E" w:rsidTr="00F32CCD">
        <w:tc>
          <w:tcPr>
            <w:tcW w:w="802" w:type="dxa"/>
          </w:tcPr>
          <w:p w:rsidR="00F32CCD" w:rsidRPr="00BA7C9E" w:rsidRDefault="00F32CCD" w:rsidP="00F32CCD">
            <w:pPr>
              <w:rPr>
                <w:b/>
              </w:rPr>
            </w:pPr>
          </w:p>
        </w:tc>
        <w:tc>
          <w:tcPr>
            <w:tcW w:w="3617" w:type="dxa"/>
          </w:tcPr>
          <w:p w:rsidR="00F32CCD" w:rsidRPr="00BA7C9E" w:rsidRDefault="00F32CCD" w:rsidP="00F32CCD">
            <w:r w:rsidRPr="00BA7C9E">
              <w:rPr>
                <w:b/>
                <w:i/>
              </w:rPr>
              <w:t>Summa</w:t>
            </w:r>
          </w:p>
        </w:tc>
        <w:tc>
          <w:tcPr>
            <w:tcW w:w="911" w:type="dxa"/>
          </w:tcPr>
          <w:p w:rsidR="00F32CCD" w:rsidRPr="00BA7C9E" w:rsidRDefault="00F32CCD" w:rsidP="00F32CCD">
            <w:pPr>
              <w:jc w:val="right"/>
              <w:rPr>
                <w:b/>
                <w:i/>
                <w:szCs w:val="19"/>
              </w:rPr>
            </w:pPr>
            <w:r w:rsidRPr="00BA7C9E">
              <w:rPr>
                <w:b/>
                <w:i/>
                <w:szCs w:val="19"/>
              </w:rPr>
              <w:t>35</w:t>
            </w:r>
          </w:p>
        </w:tc>
        <w:tc>
          <w:tcPr>
            <w:tcW w:w="916" w:type="dxa"/>
          </w:tcPr>
          <w:p w:rsidR="00F32CCD" w:rsidRPr="00BA7C9E" w:rsidRDefault="00F32CCD" w:rsidP="00F32CCD">
            <w:pPr>
              <w:jc w:val="right"/>
              <w:rPr>
                <w:b/>
                <w:i/>
                <w:szCs w:val="19"/>
              </w:rPr>
            </w:pPr>
            <w:r w:rsidRPr="00BA7C9E">
              <w:rPr>
                <w:b/>
                <w:i/>
                <w:szCs w:val="19"/>
              </w:rPr>
              <w:t>35</w:t>
            </w:r>
          </w:p>
        </w:tc>
      </w:tr>
    </w:tbl>
    <w:p w:rsidR="00F32CCD" w:rsidRPr="00BA7C9E" w:rsidRDefault="00F32CCD" w:rsidP="00F32CCD"/>
    <w:tbl>
      <w:tblPr>
        <w:tblW w:w="6246" w:type="dxa"/>
        <w:tblInd w:w="-38" w:type="dxa"/>
        <w:tblLayout w:type="fixed"/>
        <w:tblCellMar>
          <w:left w:w="70" w:type="dxa"/>
          <w:right w:w="70" w:type="dxa"/>
        </w:tblCellMar>
        <w:tblLook w:val="0000" w:firstRow="0" w:lastRow="0" w:firstColumn="0" w:lastColumn="0" w:noHBand="0" w:noVBand="0"/>
      </w:tblPr>
      <w:tblGrid>
        <w:gridCol w:w="40"/>
        <w:gridCol w:w="6"/>
        <w:gridCol w:w="756"/>
        <w:gridCol w:w="35"/>
        <w:gridCol w:w="3582"/>
        <w:gridCol w:w="12"/>
        <w:gridCol w:w="899"/>
        <w:gridCol w:w="6"/>
        <w:gridCol w:w="910"/>
      </w:tblGrid>
      <w:tr w:rsidR="00F32CCD" w:rsidRPr="00BA7C9E" w:rsidTr="00F32CCD">
        <w:tc>
          <w:tcPr>
            <w:tcW w:w="802" w:type="dxa"/>
            <w:gridSpan w:val="3"/>
          </w:tcPr>
          <w:p w:rsidR="00F32CCD" w:rsidRPr="00BA7C9E" w:rsidRDefault="00F32CCD" w:rsidP="00F741AA">
            <w:pPr>
              <w:rPr>
                <w:b/>
              </w:rPr>
            </w:pPr>
            <w:r w:rsidRPr="00BA7C9E">
              <w:rPr>
                <w:b/>
              </w:rPr>
              <w:t>Not 1</w:t>
            </w:r>
            <w:r w:rsidR="00F741AA" w:rsidRPr="00BA7C9E">
              <w:rPr>
                <w:b/>
              </w:rPr>
              <w:t>4</w:t>
            </w:r>
          </w:p>
        </w:tc>
        <w:tc>
          <w:tcPr>
            <w:tcW w:w="3617" w:type="dxa"/>
            <w:gridSpan w:val="2"/>
          </w:tcPr>
          <w:p w:rsidR="00F32CCD" w:rsidRPr="00BA7C9E" w:rsidRDefault="00F32CCD" w:rsidP="00F32CCD">
            <w:pPr>
              <w:jc w:val="left"/>
              <w:rPr>
                <w:b/>
              </w:rPr>
            </w:pPr>
            <w:r w:rsidRPr="00BA7C9E">
              <w:rPr>
                <w:b/>
              </w:rPr>
              <w:t xml:space="preserve">Balanserad kapitalförändring </w:t>
            </w:r>
          </w:p>
        </w:tc>
        <w:tc>
          <w:tcPr>
            <w:tcW w:w="911" w:type="dxa"/>
            <w:gridSpan w:val="2"/>
          </w:tcPr>
          <w:p w:rsidR="00F32CCD" w:rsidRPr="00BA7C9E" w:rsidRDefault="00F32CCD" w:rsidP="00F32CCD">
            <w:pPr>
              <w:jc w:val="right"/>
              <w:rPr>
                <w:b/>
              </w:rPr>
            </w:pPr>
            <w:r w:rsidRPr="00BA7C9E">
              <w:rPr>
                <w:b/>
              </w:rPr>
              <w:t>2011</w:t>
            </w:r>
          </w:p>
        </w:tc>
        <w:tc>
          <w:tcPr>
            <w:tcW w:w="916" w:type="dxa"/>
            <w:gridSpan w:val="2"/>
          </w:tcPr>
          <w:p w:rsidR="00F32CCD" w:rsidRPr="00BA7C9E" w:rsidRDefault="00F32CCD" w:rsidP="00F32CCD">
            <w:pPr>
              <w:jc w:val="right"/>
              <w:rPr>
                <w:b/>
              </w:rPr>
            </w:pPr>
            <w:r w:rsidRPr="00BA7C9E">
              <w:rPr>
                <w:b/>
              </w:rPr>
              <w:t>2010</w:t>
            </w:r>
          </w:p>
        </w:tc>
      </w:tr>
      <w:tr w:rsidR="00F32CCD" w:rsidRPr="00BA7C9E" w:rsidTr="00F32CCD">
        <w:tc>
          <w:tcPr>
            <w:tcW w:w="802" w:type="dxa"/>
            <w:gridSpan w:val="3"/>
          </w:tcPr>
          <w:p w:rsidR="00F32CCD" w:rsidRPr="00BA7C9E" w:rsidRDefault="00F32CCD" w:rsidP="00F32CCD"/>
        </w:tc>
        <w:tc>
          <w:tcPr>
            <w:tcW w:w="3617" w:type="dxa"/>
            <w:gridSpan w:val="2"/>
          </w:tcPr>
          <w:p w:rsidR="00F32CCD" w:rsidRPr="00BA7C9E" w:rsidRDefault="00F32CCD" w:rsidP="00F32CCD">
            <w:pPr>
              <w:spacing w:line="240" w:lineRule="auto"/>
              <w:rPr>
                <w:b/>
                <w:bCs/>
                <w:szCs w:val="19"/>
              </w:rPr>
            </w:pPr>
            <w:r w:rsidRPr="00BA7C9E">
              <w:rPr>
                <w:b/>
                <w:bCs/>
                <w:szCs w:val="19"/>
              </w:rPr>
              <w:t>Avgiftsfinansierad verksamhet, Viss årlig revision</w:t>
            </w:r>
          </w:p>
        </w:tc>
        <w:tc>
          <w:tcPr>
            <w:tcW w:w="911" w:type="dxa"/>
            <w:gridSpan w:val="2"/>
          </w:tcPr>
          <w:p w:rsidR="00F32CCD" w:rsidRPr="00BA7C9E" w:rsidRDefault="00F32CCD" w:rsidP="00F32CCD">
            <w:pPr>
              <w:spacing w:line="240" w:lineRule="auto"/>
              <w:rPr>
                <w:rFonts w:ascii="Arial" w:hAnsi="Arial" w:cs="Arial"/>
                <w:sz w:val="20"/>
              </w:rPr>
            </w:pPr>
          </w:p>
        </w:tc>
        <w:tc>
          <w:tcPr>
            <w:tcW w:w="916" w:type="dxa"/>
            <w:gridSpan w:val="2"/>
          </w:tcPr>
          <w:p w:rsidR="00F32CCD" w:rsidRPr="00BA7C9E" w:rsidRDefault="00F32CCD" w:rsidP="00F32CCD">
            <w:pPr>
              <w:spacing w:line="240" w:lineRule="auto"/>
              <w:rPr>
                <w:szCs w:val="19"/>
              </w:rPr>
            </w:pPr>
            <w:r w:rsidRPr="00BA7C9E">
              <w:rPr>
                <w:szCs w:val="19"/>
              </w:rPr>
              <w:t> </w:t>
            </w:r>
          </w:p>
        </w:tc>
      </w:tr>
      <w:tr w:rsidR="00F32CCD" w:rsidRPr="00BA7C9E" w:rsidTr="00F32CCD">
        <w:trPr>
          <w:gridBefore w:val="1"/>
          <w:wBefore w:w="40" w:type="dxa"/>
          <w:trHeight w:val="170"/>
        </w:trPr>
        <w:tc>
          <w:tcPr>
            <w:tcW w:w="797" w:type="dxa"/>
            <w:gridSpan w:val="3"/>
          </w:tcPr>
          <w:p w:rsidR="00F32CCD" w:rsidRPr="00BA7C9E" w:rsidRDefault="00F32CCD" w:rsidP="00F32CCD"/>
        </w:tc>
        <w:tc>
          <w:tcPr>
            <w:tcW w:w="3594" w:type="dxa"/>
            <w:gridSpan w:val="2"/>
            <w:vAlign w:val="bottom"/>
          </w:tcPr>
          <w:p w:rsidR="00F32CCD" w:rsidRPr="00BA7C9E" w:rsidRDefault="00F32CCD" w:rsidP="00F32CCD">
            <w:pPr>
              <w:spacing w:line="240" w:lineRule="auto"/>
              <w:rPr>
                <w:i/>
                <w:iCs/>
                <w:szCs w:val="19"/>
              </w:rPr>
            </w:pPr>
            <w:r w:rsidRPr="00BA7C9E">
              <w:rPr>
                <w:i/>
                <w:iCs/>
                <w:szCs w:val="19"/>
              </w:rPr>
              <w:t xml:space="preserve"> Ingående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134</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147</w:t>
            </w:r>
          </w:p>
        </w:tc>
      </w:tr>
      <w:tr w:rsidR="00F32CCD" w:rsidRPr="00BA7C9E" w:rsidTr="00F32CCD">
        <w:trPr>
          <w:gridBefore w:val="1"/>
          <w:wBefore w:w="40" w:type="dxa"/>
          <w:trHeight w:val="170"/>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pPr>
            <w:r w:rsidRPr="00BA7C9E">
              <w:t>Årets kapitalförändring föregående år</w:t>
            </w:r>
          </w:p>
        </w:tc>
        <w:tc>
          <w:tcPr>
            <w:tcW w:w="905" w:type="dxa"/>
            <w:gridSpan w:val="2"/>
            <w:vAlign w:val="bottom"/>
          </w:tcPr>
          <w:p w:rsidR="00F32CCD" w:rsidRPr="00BA7C9E" w:rsidRDefault="00F32CCD" w:rsidP="00F32CCD">
            <w:pPr>
              <w:spacing w:line="240" w:lineRule="auto"/>
              <w:jc w:val="right"/>
              <w:rPr>
                <w:i/>
              </w:rPr>
            </w:pPr>
            <w:r w:rsidRPr="00BA7C9E">
              <w:rPr>
                <w:i/>
                <w:szCs w:val="19"/>
              </w:rPr>
              <w:t>0</w:t>
            </w:r>
          </w:p>
        </w:tc>
        <w:tc>
          <w:tcPr>
            <w:tcW w:w="910" w:type="dxa"/>
            <w:vAlign w:val="bottom"/>
          </w:tcPr>
          <w:p w:rsidR="00F32CCD" w:rsidRPr="00BA7C9E" w:rsidRDefault="00F32CCD" w:rsidP="00F32CCD">
            <w:pPr>
              <w:spacing w:line="240" w:lineRule="auto"/>
              <w:jc w:val="right"/>
            </w:pPr>
            <w:r w:rsidRPr="00BA7C9E">
              <w:rPr>
                <w:szCs w:val="19"/>
              </w:rPr>
              <w:t>–</w:t>
            </w:r>
            <w:r w:rsidRPr="00BA7C9E">
              <w:t>13</w:t>
            </w:r>
          </w:p>
        </w:tc>
      </w:tr>
      <w:tr w:rsidR="00F32CCD" w:rsidRPr="00BA7C9E" w:rsidTr="00F32CCD">
        <w:trPr>
          <w:gridBefore w:val="1"/>
          <w:wBefore w:w="40" w:type="dxa"/>
          <w:trHeight w:val="170"/>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i/>
                <w:iCs/>
                <w:szCs w:val="19"/>
              </w:rPr>
            </w:pPr>
            <w:r w:rsidRPr="00BA7C9E">
              <w:rPr>
                <w:i/>
                <w:iCs/>
                <w:szCs w:val="19"/>
              </w:rPr>
              <w:t>Utgående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134</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134</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b/>
                <w:bCs/>
                <w:szCs w:val="19"/>
              </w:rPr>
            </w:pPr>
            <w:r w:rsidRPr="00BA7C9E">
              <w:rPr>
                <w:b/>
                <w:bCs/>
                <w:szCs w:val="19"/>
              </w:rPr>
              <w:t>Avgiftsfinansierad verksamhet, Intern</w:t>
            </w:r>
            <w:r w:rsidRPr="00BA7C9E">
              <w:rPr>
                <w:b/>
                <w:bCs/>
                <w:szCs w:val="19"/>
              </w:rPr>
              <w:t>a</w:t>
            </w:r>
            <w:r w:rsidRPr="00BA7C9E">
              <w:rPr>
                <w:b/>
                <w:bCs/>
                <w:szCs w:val="19"/>
              </w:rPr>
              <w:t>tionella uppdrag</w:t>
            </w:r>
          </w:p>
        </w:tc>
        <w:tc>
          <w:tcPr>
            <w:tcW w:w="905" w:type="dxa"/>
            <w:gridSpan w:val="2"/>
            <w:vAlign w:val="bottom"/>
          </w:tcPr>
          <w:p w:rsidR="00F32CCD" w:rsidRPr="00BA7C9E" w:rsidRDefault="00F32CCD" w:rsidP="00F32CCD">
            <w:pPr>
              <w:spacing w:line="240" w:lineRule="auto"/>
              <w:jc w:val="right"/>
              <w:rPr>
                <w:szCs w:val="19"/>
              </w:rPr>
            </w:pPr>
            <w:r w:rsidRPr="00BA7C9E">
              <w:rPr>
                <w:szCs w:val="19"/>
              </w:rPr>
              <w:t> </w:t>
            </w:r>
          </w:p>
        </w:tc>
        <w:tc>
          <w:tcPr>
            <w:tcW w:w="910" w:type="dxa"/>
            <w:vAlign w:val="bottom"/>
          </w:tcPr>
          <w:p w:rsidR="00F32CCD" w:rsidRPr="00BA7C9E" w:rsidRDefault="00F32CCD" w:rsidP="00F32CCD">
            <w:pPr>
              <w:spacing w:line="240" w:lineRule="auto"/>
              <w:jc w:val="right"/>
              <w:rPr>
                <w:szCs w:val="19"/>
              </w:rPr>
            </w:pPr>
            <w:r w:rsidRPr="00BA7C9E">
              <w:rPr>
                <w:szCs w:val="19"/>
              </w:rPr>
              <w:t> </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i/>
                <w:iCs/>
                <w:szCs w:val="19"/>
              </w:rPr>
            </w:pPr>
            <w:r w:rsidRPr="00BA7C9E">
              <w:rPr>
                <w:i/>
                <w:iCs/>
                <w:szCs w:val="19"/>
              </w:rPr>
              <w:t>Ingående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665</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571</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szCs w:val="19"/>
              </w:rPr>
            </w:pPr>
            <w:r w:rsidRPr="00BA7C9E">
              <w:rPr>
                <w:szCs w:val="19"/>
              </w:rPr>
              <w:t>Årets kapitalförändring föregående år</w:t>
            </w:r>
          </w:p>
        </w:tc>
        <w:tc>
          <w:tcPr>
            <w:tcW w:w="905" w:type="dxa"/>
            <w:gridSpan w:val="2"/>
            <w:vAlign w:val="bottom"/>
          </w:tcPr>
          <w:p w:rsidR="00F32CCD" w:rsidRPr="00BA7C9E" w:rsidRDefault="00F32CCD" w:rsidP="00F32CCD">
            <w:pPr>
              <w:spacing w:line="240" w:lineRule="auto"/>
              <w:jc w:val="right"/>
              <w:rPr>
                <w:szCs w:val="19"/>
              </w:rPr>
            </w:pPr>
            <w:r w:rsidRPr="00BA7C9E">
              <w:rPr>
                <w:szCs w:val="19"/>
              </w:rPr>
              <w:t>–5</w:t>
            </w:r>
          </w:p>
        </w:tc>
        <w:tc>
          <w:tcPr>
            <w:tcW w:w="910" w:type="dxa"/>
            <w:vAlign w:val="bottom"/>
          </w:tcPr>
          <w:p w:rsidR="00F32CCD" w:rsidRPr="00BA7C9E" w:rsidRDefault="00F32CCD" w:rsidP="00F32CCD">
            <w:pPr>
              <w:spacing w:line="240" w:lineRule="auto"/>
              <w:jc w:val="right"/>
              <w:rPr>
                <w:szCs w:val="19"/>
              </w:rPr>
            </w:pPr>
            <w:r w:rsidRPr="00BA7C9E">
              <w:rPr>
                <w:szCs w:val="19"/>
              </w:rPr>
              <w:t>94</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i/>
                <w:iCs/>
                <w:szCs w:val="19"/>
              </w:rPr>
            </w:pPr>
            <w:r w:rsidRPr="00BA7C9E">
              <w:rPr>
                <w:i/>
                <w:iCs/>
                <w:szCs w:val="19"/>
              </w:rPr>
              <w:t>Utgående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659</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665</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b/>
                <w:bCs/>
                <w:szCs w:val="19"/>
              </w:rPr>
            </w:pPr>
            <w:r w:rsidRPr="00BA7C9E">
              <w:rPr>
                <w:b/>
                <w:bCs/>
                <w:szCs w:val="19"/>
              </w:rPr>
              <w:t>Periodiseringsdifferenser</w:t>
            </w:r>
          </w:p>
        </w:tc>
        <w:tc>
          <w:tcPr>
            <w:tcW w:w="905" w:type="dxa"/>
            <w:gridSpan w:val="2"/>
            <w:vAlign w:val="bottom"/>
          </w:tcPr>
          <w:p w:rsidR="00F32CCD" w:rsidRPr="00BA7C9E" w:rsidRDefault="00F32CCD" w:rsidP="00F32CCD">
            <w:pPr>
              <w:spacing w:line="240" w:lineRule="auto"/>
              <w:jc w:val="right"/>
              <w:rPr>
                <w:szCs w:val="19"/>
              </w:rPr>
            </w:pPr>
            <w:r w:rsidRPr="00BA7C9E">
              <w:rPr>
                <w:szCs w:val="19"/>
              </w:rPr>
              <w:t> </w:t>
            </w:r>
          </w:p>
        </w:tc>
        <w:tc>
          <w:tcPr>
            <w:tcW w:w="910" w:type="dxa"/>
            <w:vAlign w:val="bottom"/>
          </w:tcPr>
          <w:p w:rsidR="00F32CCD" w:rsidRPr="00BA7C9E" w:rsidRDefault="00F32CCD" w:rsidP="00F32CCD">
            <w:pPr>
              <w:spacing w:line="240" w:lineRule="auto"/>
              <w:jc w:val="right"/>
              <w:rPr>
                <w:szCs w:val="19"/>
              </w:rPr>
            </w:pPr>
            <w:r w:rsidRPr="00BA7C9E">
              <w:rPr>
                <w:szCs w:val="19"/>
              </w:rPr>
              <w:t> </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i/>
                <w:iCs/>
                <w:szCs w:val="19"/>
              </w:rPr>
            </w:pPr>
            <w:r w:rsidRPr="00BA7C9E">
              <w:rPr>
                <w:i/>
                <w:iCs/>
                <w:szCs w:val="19"/>
              </w:rPr>
              <w:t>Ingående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4 565</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3 267</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szCs w:val="19"/>
              </w:rPr>
            </w:pPr>
            <w:r w:rsidRPr="00BA7C9E">
              <w:rPr>
                <w:szCs w:val="19"/>
              </w:rPr>
              <w:t>Årets kapitalförändring föregående år</w:t>
            </w:r>
          </w:p>
        </w:tc>
        <w:tc>
          <w:tcPr>
            <w:tcW w:w="905" w:type="dxa"/>
            <w:gridSpan w:val="2"/>
            <w:vAlign w:val="bottom"/>
          </w:tcPr>
          <w:p w:rsidR="00F32CCD" w:rsidRPr="00BA7C9E" w:rsidRDefault="00F32CCD" w:rsidP="00F32CCD">
            <w:pPr>
              <w:spacing w:line="240" w:lineRule="auto"/>
              <w:jc w:val="right"/>
              <w:rPr>
                <w:szCs w:val="19"/>
              </w:rPr>
            </w:pPr>
            <w:r w:rsidRPr="00BA7C9E">
              <w:rPr>
                <w:szCs w:val="19"/>
              </w:rPr>
              <w:t>–1 293</w:t>
            </w:r>
          </w:p>
        </w:tc>
        <w:tc>
          <w:tcPr>
            <w:tcW w:w="910" w:type="dxa"/>
            <w:vAlign w:val="bottom"/>
          </w:tcPr>
          <w:p w:rsidR="00F32CCD" w:rsidRPr="00BA7C9E" w:rsidRDefault="00F32CCD" w:rsidP="00F32CCD">
            <w:pPr>
              <w:spacing w:line="240" w:lineRule="auto"/>
              <w:jc w:val="right"/>
              <w:rPr>
                <w:szCs w:val="19"/>
              </w:rPr>
            </w:pPr>
            <w:r w:rsidRPr="00BA7C9E">
              <w:rPr>
                <w:szCs w:val="19"/>
              </w:rPr>
              <w:t>1 298</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i/>
                <w:iCs/>
                <w:szCs w:val="19"/>
              </w:rPr>
            </w:pPr>
            <w:r w:rsidRPr="00BA7C9E">
              <w:rPr>
                <w:i/>
                <w:iCs/>
                <w:szCs w:val="19"/>
              </w:rPr>
              <w:t>Utgående balans</w:t>
            </w:r>
          </w:p>
        </w:tc>
        <w:tc>
          <w:tcPr>
            <w:tcW w:w="905" w:type="dxa"/>
            <w:gridSpan w:val="2"/>
            <w:vAlign w:val="bottom"/>
          </w:tcPr>
          <w:p w:rsidR="00F32CCD" w:rsidRPr="00BA7C9E" w:rsidRDefault="00F32CCD" w:rsidP="00F32CCD">
            <w:pPr>
              <w:spacing w:line="240" w:lineRule="auto"/>
              <w:jc w:val="right"/>
              <w:rPr>
                <w:i/>
                <w:iCs/>
                <w:szCs w:val="19"/>
              </w:rPr>
            </w:pPr>
            <w:r w:rsidRPr="00BA7C9E">
              <w:rPr>
                <w:i/>
                <w:iCs/>
                <w:szCs w:val="19"/>
              </w:rPr>
              <w:t>3 272</w:t>
            </w:r>
          </w:p>
        </w:tc>
        <w:tc>
          <w:tcPr>
            <w:tcW w:w="910" w:type="dxa"/>
            <w:vAlign w:val="bottom"/>
          </w:tcPr>
          <w:p w:rsidR="00F32CCD" w:rsidRPr="00BA7C9E" w:rsidRDefault="00F32CCD" w:rsidP="00F32CCD">
            <w:pPr>
              <w:spacing w:line="240" w:lineRule="auto"/>
              <w:jc w:val="right"/>
              <w:rPr>
                <w:i/>
                <w:iCs/>
                <w:szCs w:val="19"/>
              </w:rPr>
            </w:pPr>
            <w:r w:rsidRPr="00BA7C9E">
              <w:rPr>
                <w:i/>
                <w:iCs/>
                <w:szCs w:val="19"/>
              </w:rPr>
              <w:t>4 565</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vAlign w:val="bottom"/>
          </w:tcPr>
          <w:p w:rsidR="00F32CCD" w:rsidRPr="00BA7C9E" w:rsidRDefault="00F32CCD" w:rsidP="00F32CCD">
            <w:pPr>
              <w:spacing w:line="240" w:lineRule="auto"/>
              <w:rPr>
                <w:b/>
                <w:bCs/>
                <w:i/>
                <w:szCs w:val="19"/>
              </w:rPr>
            </w:pPr>
            <w:r w:rsidRPr="00BA7C9E">
              <w:rPr>
                <w:b/>
                <w:bCs/>
                <w:i/>
                <w:szCs w:val="19"/>
              </w:rPr>
              <w:t>Summa utgående balans</w:t>
            </w:r>
          </w:p>
        </w:tc>
        <w:tc>
          <w:tcPr>
            <w:tcW w:w="905" w:type="dxa"/>
            <w:gridSpan w:val="2"/>
            <w:vAlign w:val="bottom"/>
          </w:tcPr>
          <w:p w:rsidR="00F32CCD" w:rsidRPr="00BA7C9E" w:rsidRDefault="00F32CCD" w:rsidP="00F32CCD">
            <w:pPr>
              <w:spacing w:line="240" w:lineRule="auto"/>
              <w:jc w:val="right"/>
              <w:rPr>
                <w:b/>
                <w:bCs/>
                <w:i/>
                <w:szCs w:val="19"/>
              </w:rPr>
            </w:pPr>
            <w:r w:rsidRPr="00BA7C9E">
              <w:rPr>
                <w:b/>
                <w:bCs/>
                <w:i/>
                <w:szCs w:val="19"/>
              </w:rPr>
              <w:t xml:space="preserve">4 065 </w:t>
            </w:r>
          </w:p>
        </w:tc>
        <w:tc>
          <w:tcPr>
            <w:tcW w:w="910" w:type="dxa"/>
            <w:vAlign w:val="bottom"/>
          </w:tcPr>
          <w:p w:rsidR="00F32CCD" w:rsidRPr="00BA7C9E" w:rsidRDefault="00F32CCD" w:rsidP="00F32CCD">
            <w:pPr>
              <w:spacing w:line="240" w:lineRule="auto"/>
              <w:jc w:val="right"/>
              <w:rPr>
                <w:b/>
                <w:bCs/>
                <w:i/>
                <w:szCs w:val="19"/>
              </w:rPr>
            </w:pPr>
            <w:r w:rsidRPr="00BA7C9E">
              <w:rPr>
                <w:b/>
                <w:bCs/>
                <w:i/>
                <w:szCs w:val="19"/>
              </w:rPr>
              <w:t>5 363</w:t>
            </w:r>
          </w:p>
        </w:tc>
      </w:tr>
      <w:tr w:rsidR="00F32CCD" w:rsidRPr="00BA7C9E" w:rsidTr="00F32CCD">
        <w:trPr>
          <w:gridBefore w:val="1"/>
          <w:wBefore w:w="40" w:type="dxa"/>
        </w:trPr>
        <w:tc>
          <w:tcPr>
            <w:tcW w:w="797" w:type="dxa"/>
            <w:gridSpan w:val="3"/>
          </w:tcPr>
          <w:p w:rsidR="00F32CCD" w:rsidRPr="00BA7C9E" w:rsidRDefault="00F32CCD" w:rsidP="00F32CCD">
            <w:pPr>
              <w:rPr>
                <w:i/>
              </w:rPr>
            </w:pPr>
          </w:p>
        </w:tc>
        <w:tc>
          <w:tcPr>
            <w:tcW w:w="3594" w:type="dxa"/>
            <w:gridSpan w:val="2"/>
          </w:tcPr>
          <w:p w:rsidR="00F32CCD" w:rsidRPr="00BA7C9E" w:rsidRDefault="00F32CCD" w:rsidP="00F32CCD">
            <w:pPr>
              <w:rPr>
                <w:i/>
              </w:rPr>
            </w:pPr>
          </w:p>
        </w:tc>
        <w:tc>
          <w:tcPr>
            <w:tcW w:w="905" w:type="dxa"/>
            <w:gridSpan w:val="2"/>
            <w:vAlign w:val="bottom"/>
          </w:tcPr>
          <w:p w:rsidR="00F32CCD" w:rsidRPr="00BA7C9E" w:rsidRDefault="00F32CCD" w:rsidP="00F32CCD">
            <w:pPr>
              <w:jc w:val="right"/>
              <w:rPr>
                <w:b/>
                <w:bCs/>
                <w:i/>
                <w:szCs w:val="19"/>
              </w:rPr>
            </w:pPr>
          </w:p>
        </w:tc>
        <w:tc>
          <w:tcPr>
            <w:tcW w:w="910" w:type="dxa"/>
            <w:vAlign w:val="bottom"/>
          </w:tcPr>
          <w:p w:rsidR="00F32CCD" w:rsidRPr="00BA7C9E" w:rsidRDefault="00F32CCD" w:rsidP="00F32CCD">
            <w:pPr>
              <w:jc w:val="right"/>
              <w:rPr>
                <w:b/>
                <w:bCs/>
                <w:i/>
                <w:szCs w:val="19"/>
              </w:rPr>
            </w:pPr>
          </w:p>
        </w:tc>
      </w:tr>
      <w:tr w:rsidR="00F32CCD" w:rsidRPr="00BA7C9E" w:rsidTr="00F32CCD">
        <w:trPr>
          <w:gridBefore w:val="1"/>
          <w:wBefore w:w="40" w:type="dxa"/>
        </w:trPr>
        <w:tc>
          <w:tcPr>
            <w:tcW w:w="797" w:type="dxa"/>
            <w:gridSpan w:val="3"/>
          </w:tcPr>
          <w:p w:rsidR="00F32CCD" w:rsidRPr="00BA7C9E" w:rsidRDefault="00F32CCD" w:rsidP="00F741AA">
            <w:pPr>
              <w:rPr>
                <w:b/>
              </w:rPr>
            </w:pPr>
            <w:r w:rsidRPr="00BA7C9E">
              <w:rPr>
                <w:b/>
              </w:rPr>
              <w:t>Not 1</w:t>
            </w:r>
            <w:r w:rsidR="00F741AA" w:rsidRPr="00BA7C9E">
              <w:rPr>
                <w:b/>
              </w:rPr>
              <w:t>5</w:t>
            </w:r>
          </w:p>
        </w:tc>
        <w:tc>
          <w:tcPr>
            <w:tcW w:w="3594" w:type="dxa"/>
            <w:gridSpan w:val="2"/>
          </w:tcPr>
          <w:p w:rsidR="00F32CCD" w:rsidRPr="00BA7C9E" w:rsidRDefault="00F32CCD" w:rsidP="00F32CCD">
            <w:pPr>
              <w:jc w:val="left"/>
              <w:rPr>
                <w:b/>
              </w:rPr>
            </w:pPr>
            <w:r w:rsidRPr="00BA7C9E">
              <w:rPr>
                <w:b/>
              </w:rPr>
              <w:t xml:space="preserve">Avsättning för pensioner och liknande förpliktelser </w:t>
            </w:r>
          </w:p>
        </w:tc>
        <w:tc>
          <w:tcPr>
            <w:tcW w:w="905" w:type="dxa"/>
            <w:gridSpan w:val="2"/>
          </w:tcPr>
          <w:p w:rsidR="00F32CCD" w:rsidRPr="00BA7C9E" w:rsidRDefault="00F32CCD" w:rsidP="00F32CCD">
            <w:pPr>
              <w:jc w:val="right"/>
              <w:rPr>
                <w:b/>
              </w:rPr>
            </w:pPr>
            <w:r w:rsidRPr="00BA7C9E">
              <w:rPr>
                <w:b/>
              </w:rPr>
              <w:t>2011</w:t>
            </w:r>
          </w:p>
        </w:tc>
        <w:tc>
          <w:tcPr>
            <w:tcW w:w="910" w:type="dxa"/>
          </w:tcPr>
          <w:p w:rsidR="00F32CCD" w:rsidRPr="00BA7C9E" w:rsidRDefault="00F32CCD" w:rsidP="00F32CCD">
            <w:pPr>
              <w:jc w:val="right"/>
              <w:rPr>
                <w:b/>
              </w:rPr>
            </w:pPr>
            <w:r w:rsidRPr="00BA7C9E">
              <w:rPr>
                <w:b/>
              </w:rPr>
              <w:t>2010</w:t>
            </w:r>
          </w:p>
        </w:tc>
      </w:tr>
      <w:tr w:rsidR="00F32CCD" w:rsidRPr="00BA7C9E" w:rsidTr="00F32CCD">
        <w:trPr>
          <w:gridBefore w:val="2"/>
          <w:wBefore w:w="46" w:type="dxa"/>
        </w:trPr>
        <w:tc>
          <w:tcPr>
            <w:tcW w:w="791" w:type="dxa"/>
            <w:gridSpan w:val="2"/>
          </w:tcPr>
          <w:p w:rsidR="00F32CCD" w:rsidRPr="00BA7C9E" w:rsidRDefault="00F32CCD" w:rsidP="00F32CCD"/>
        </w:tc>
        <w:tc>
          <w:tcPr>
            <w:tcW w:w="3594" w:type="dxa"/>
            <w:gridSpan w:val="2"/>
          </w:tcPr>
          <w:p w:rsidR="00F32CCD" w:rsidRPr="00BA7C9E" w:rsidRDefault="00F32CCD" w:rsidP="00F32CCD">
            <w:r w:rsidRPr="00BA7C9E">
              <w:t>Ingående avsättning</w:t>
            </w:r>
          </w:p>
        </w:tc>
        <w:tc>
          <w:tcPr>
            <w:tcW w:w="905" w:type="dxa"/>
            <w:gridSpan w:val="2"/>
          </w:tcPr>
          <w:p w:rsidR="00F32CCD" w:rsidRPr="00BA7C9E" w:rsidRDefault="00F32CCD" w:rsidP="00F32CCD">
            <w:pPr>
              <w:jc w:val="right"/>
              <w:rPr>
                <w:szCs w:val="19"/>
              </w:rPr>
            </w:pPr>
            <w:r w:rsidRPr="00BA7C9E">
              <w:rPr>
                <w:szCs w:val="19"/>
              </w:rPr>
              <w:t xml:space="preserve">6 957 </w:t>
            </w:r>
          </w:p>
        </w:tc>
        <w:tc>
          <w:tcPr>
            <w:tcW w:w="910" w:type="dxa"/>
          </w:tcPr>
          <w:p w:rsidR="00F32CCD" w:rsidRPr="00BA7C9E" w:rsidRDefault="00F32CCD" w:rsidP="00F32CCD">
            <w:pPr>
              <w:jc w:val="right"/>
              <w:rPr>
                <w:szCs w:val="19"/>
              </w:rPr>
            </w:pPr>
            <w:r w:rsidRPr="00BA7C9E">
              <w:rPr>
                <w:szCs w:val="19"/>
              </w:rPr>
              <w:t>8 978</w:t>
            </w:r>
          </w:p>
        </w:tc>
      </w:tr>
      <w:tr w:rsidR="00F32CCD" w:rsidRPr="00BA7C9E" w:rsidTr="00F32CCD">
        <w:trPr>
          <w:gridBefore w:val="2"/>
          <w:wBefore w:w="46" w:type="dxa"/>
        </w:trPr>
        <w:tc>
          <w:tcPr>
            <w:tcW w:w="791" w:type="dxa"/>
            <w:gridSpan w:val="2"/>
          </w:tcPr>
          <w:p w:rsidR="00F32CCD" w:rsidRPr="00BA7C9E" w:rsidRDefault="00F32CCD" w:rsidP="00F32CCD"/>
        </w:tc>
        <w:tc>
          <w:tcPr>
            <w:tcW w:w="3594" w:type="dxa"/>
            <w:gridSpan w:val="2"/>
          </w:tcPr>
          <w:p w:rsidR="00F32CCD" w:rsidRPr="00BA7C9E" w:rsidRDefault="00F32CCD" w:rsidP="00F32CCD">
            <w:r w:rsidRPr="00BA7C9E">
              <w:t>Årets pensionskostnad</w:t>
            </w:r>
          </w:p>
        </w:tc>
        <w:tc>
          <w:tcPr>
            <w:tcW w:w="905" w:type="dxa"/>
            <w:gridSpan w:val="2"/>
          </w:tcPr>
          <w:p w:rsidR="00F32CCD" w:rsidRPr="00BA7C9E" w:rsidRDefault="00F32CCD" w:rsidP="00F32CCD">
            <w:pPr>
              <w:jc w:val="right"/>
              <w:rPr>
                <w:szCs w:val="19"/>
              </w:rPr>
            </w:pPr>
            <w:r w:rsidRPr="00BA7C9E">
              <w:rPr>
                <w:szCs w:val="19"/>
              </w:rPr>
              <w:t>–467</w:t>
            </w:r>
          </w:p>
        </w:tc>
        <w:tc>
          <w:tcPr>
            <w:tcW w:w="910" w:type="dxa"/>
          </w:tcPr>
          <w:p w:rsidR="00F32CCD" w:rsidRPr="00BA7C9E" w:rsidRDefault="00F32CCD" w:rsidP="00F32CCD">
            <w:pPr>
              <w:jc w:val="right"/>
              <w:rPr>
                <w:szCs w:val="19"/>
              </w:rPr>
            </w:pPr>
            <w:r w:rsidRPr="00BA7C9E">
              <w:rPr>
                <w:szCs w:val="19"/>
              </w:rPr>
              <w:t>2 668</w:t>
            </w:r>
          </w:p>
        </w:tc>
      </w:tr>
      <w:tr w:rsidR="00F32CCD" w:rsidRPr="00BA7C9E" w:rsidTr="00F32CCD">
        <w:trPr>
          <w:gridBefore w:val="2"/>
          <w:wBefore w:w="46" w:type="dxa"/>
        </w:trPr>
        <w:tc>
          <w:tcPr>
            <w:tcW w:w="791" w:type="dxa"/>
            <w:gridSpan w:val="2"/>
          </w:tcPr>
          <w:p w:rsidR="00F32CCD" w:rsidRPr="00BA7C9E" w:rsidRDefault="00F32CCD" w:rsidP="00F32CCD"/>
        </w:tc>
        <w:tc>
          <w:tcPr>
            <w:tcW w:w="3594" w:type="dxa"/>
            <w:gridSpan w:val="2"/>
          </w:tcPr>
          <w:p w:rsidR="00F32CCD" w:rsidRPr="00BA7C9E" w:rsidRDefault="00F32CCD" w:rsidP="00F32CCD">
            <w:r w:rsidRPr="00BA7C9E">
              <w:t>Årets pensionsutbetalningar</w:t>
            </w:r>
          </w:p>
        </w:tc>
        <w:tc>
          <w:tcPr>
            <w:tcW w:w="905" w:type="dxa"/>
            <w:gridSpan w:val="2"/>
          </w:tcPr>
          <w:p w:rsidR="00F32CCD" w:rsidRPr="00BA7C9E" w:rsidRDefault="00F32CCD" w:rsidP="00F32CCD">
            <w:pPr>
              <w:jc w:val="right"/>
              <w:rPr>
                <w:szCs w:val="19"/>
              </w:rPr>
            </w:pPr>
            <w:r w:rsidRPr="00BA7C9E">
              <w:rPr>
                <w:szCs w:val="19"/>
              </w:rPr>
              <w:t xml:space="preserve">–2 585 </w:t>
            </w:r>
          </w:p>
        </w:tc>
        <w:tc>
          <w:tcPr>
            <w:tcW w:w="910" w:type="dxa"/>
          </w:tcPr>
          <w:p w:rsidR="00F32CCD" w:rsidRPr="00BA7C9E" w:rsidRDefault="00F32CCD" w:rsidP="00F32CCD">
            <w:pPr>
              <w:jc w:val="right"/>
              <w:rPr>
                <w:szCs w:val="19"/>
              </w:rPr>
            </w:pPr>
            <w:r w:rsidRPr="00BA7C9E">
              <w:rPr>
                <w:szCs w:val="19"/>
              </w:rPr>
              <w:t>–4 688</w:t>
            </w:r>
          </w:p>
        </w:tc>
      </w:tr>
      <w:tr w:rsidR="00F32CCD" w:rsidRPr="00BA7C9E" w:rsidTr="00F32CCD">
        <w:trPr>
          <w:gridBefore w:val="2"/>
          <w:wBefore w:w="46" w:type="dxa"/>
        </w:trPr>
        <w:tc>
          <w:tcPr>
            <w:tcW w:w="791" w:type="dxa"/>
            <w:gridSpan w:val="2"/>
          </w:tcPr>
          <w:p w:rsidR="00F32CCD" w:rsidRPr="00BA7C9E" w:rsidRDefault="00F32CCD" w:rsidP="00F32CCD"/>
        </w:tc>
        <w:tc>
          <w:tcPr>
            <w:tcW w:w="3594" w:type="dxa"/>
            <w:gridSpan w:val="2"/>
          </w:tcPr>
          <w:p w:rsidR="00F32CCD" w:rsidRPr="00BA7C9E" w:rsidRDefault="00F32CCD" w:rsidP="00F32CCD">
            <w:pPr>
              <w:rPr>
                <w:b/>
                <w:i/>
              </w:rPr>
            </w:pPr>
            <w:r w:rsidRPr="00BA7C9E">
              <w:rPr>
                <w:b/>
                <w:i/>
              </w:rPr>
              <w:t>Summa utgående avsättning</w:t>
            </w:r>
          </w:p>
        </w:tc>
        <w:tc>
          <w:tcPr>
            <w:tcW w:w="905" w:type="dxa"/>
            <w:gridSpan w:val="2"/>
          </w:tcPr>
          <w:p w:rsidR="00F32CCD" w:rsidRPr="00BA7C9E" w:rsidRDefault="00F32CCD" w:rsidP="00F32CCD">
            <w:pPr>
              <w:jc w:val="right"/>
              <w:rPr>
                <w:b/>
                <w:bCs/>
                <w:i/>
                <w:szCs w:val="19"/>
              </w:rPr>
            </w:pPr>
            <w:r w:rsidRPr="00BA7C9E">
              <w:rPr>
                <w:b/>
                <w:bCs/>
                <w:i/>
                <w:szCs w:val="19"/>
              </w:rPr>
              <w:t xml:space="preserve">3 905 </w:t>
            </w:r>
          </w:p>
        </w:tc>
        <w:tc>
          <w:tcPr>
            <w:tcW w:w="910" w:type="dxa"/>
          </w:tcPr>
          <w:p w:rsidR="00F32CCD" w:rsidRPr="00BA7C9E" w:rsidRDefault="00F32CCD" w:rsidP="00F32CCD">
            <w:pPr>
              <w:jc w:val="right"/>
              <w:rPr>
                <w:b/>
                <w:bCs/>
                <w:i/>
                <w:szCs w:val="19"/>
              </w:rPr>
            </w:pPr>
            <w:r w:rsidRPr="00BA7C9E">
              <w:rPr>
                <w:b/>
                <w:bCs/>
                <w:i/>
                <w:szCs w:val="19"/>
              </w:rPr>
              <w:t>6 957</w:t>
            </w:r>
          </w:p>
        </w:tc>
      </w:tr>
    </w:tbl>
    <w:p w:rsidR="00F32CCD" w:rsidRPr="00BA7C9E" w:rsidRDefault="00F32CCD" w:rsidP="00F32CCD">
      <w:pPr>
        <w:spacing w:before="0" w:line="40" w:lineRule="exact"/>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F32CCD" w:rsidRPr="00BA7C9E" w:rsidTr="00F741AA">
        <w:tc>
          <w:tcPr>
            <w:tcW w:w="794" w:type="dxa"/>
          </w:tcPr>
          <w:p w:rsidR="00F32CCD" w:rsidRPr="00BA7C9E" w:rsidRDefault="00F32CCD" w:rsidP="00F741AA">
            <w:pPr>
              <w:rPr>
                <w:b/>
              </w:rPr>
            </w:pPr>
            <w:r w:rsidRPr="00BA7C9E">
              <w:rPr>
                <w:b/>
              </w:rPr>
              <w:t>Not 1</w:t>
            </w:r>
            <w:r w:rsidR="00F741AA" w:rsidRPr="00BA7C9E">
              <w:rPr>
                <w:b/>
              </w:rPr>
              <w:t>6</w:t>
            </w:r>
          </w:p>
        </w:tc>
        <w:tc>
          <w:tcPr>
            <w:tcW w:w="3600" w:type="dxa"/>
          </w:tcPr>
          <w:p w:rsidR="00F32CCD" w:rsidRPr="00BA7C9E" w:rsidRDefault="00F32CCD" w:rsidP="00F32CCD">
            <w:pPr>
              <w:rPr>
                <w:b/>
              </w:rPr>
            </w:pPr>
            <w:r w:rsidRPr="00BA7C9E">
              <w:rPr>
                <w:b/>
              </w:rPr>
              <w:t xml:space="preserve">Lån i Riksgäldskontoret </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r>
      <w:tr w:rsidR="00F32CCD" w:rsidRPr="00BA7C9E" w:rsidTr="00F741AA">
        <w:tc>
          <w:tcPr>
            <w:tcW w:w="794" w:type="dxa"/>
          </w:tcPr>
          <w:p w:rsidR="00F32CCD" w:rsidRPr="00BA7C9E" w:rsidRDefault="00F32CCD" w:rsidP="00F32CCD">
            <w:pPr>
              <w:rPr>
                <w:i/>
              </w:rPr>
            </w:pPr>
          </w:p>
        </w:tc>
        <w:tc>
          <w:tcPr>
            <w:tcW w:w="3600" w:type="dxa"/>
          </w:tcPr>
          <w:p w:rsidR="00F32CCD" w:rsidRPr="00BA7C9E" w:rsidRDefault="00F32CCD" w:rsidP="00F32CCD">
            <w:pPr>
              <w:rPr>
                <w:i/>
              </w:rPr>
            </w:pPr>
            <w:r w:rsidRPr="00BA7C9E">
              <w:rPr>
                <w:i/>
              </w:rPr>
              <w:t>Ingående balans</w:t>
            </w:r>
          </w:p>
        </w:tc>
        <w:tc>
          <w:tcPr>
            <w:tcW w:w="907" w:type="dxa"/>
          </w:tcPr>
          <w:p w:rsidR="00F32CCD" w:rsidRPr="00BA7C9E" w:rsidRDefault="00F32CCD" w:rsidP="00F32CCD">
            <w:pPr>
              <w:jc w:val="right"/>
              <w:rPr>
                <w:i/>
                <w:szCs w:val="19"/>
              </w:rPr>
            </w:pPr>
            <w:r w:rsidRPr="00BA7C9E">
              <w:rPr>
                <w:i/>
                <w:szCs w:val="19"/>
              </w:rPr>
              <w:t>7 819</w:t>
            </w:r>
          </w:p>
        </w:tc>
        <w:tc>
          <w:tcPr>
            <w:tcW w:w="907" w:type="dxa"/>
          </w:tcPr>
          <w:p w:rsidR="00F32CCD" w:rsidRPr="00BA7C9E" w:rsidRDefault="00F32CCD" w:rsidP="00F32CCD">
            <w:pPr>
              <w:jc w:val="right"/>
              <w:rPr>
                <w:i/>
                <w:szCs w:val="19"/>
              </w:rPr>
            </w:pPr>
            <w:r w:rsidRPr="00BA7C9E">
              <w:rPr>
                <w:i/>
                <w:szCs w:val="19"/>
              </w:rPr>
              <w:t>6 490</w:t>
            </w:r>
          </w:p>
        </w:tc>
      </w:tr>
      <w:tr w:rsidR="00F32CCD" w:rsidRPr="00BA7C9E" w:rsidTr="00F741AA">
        <w:tc>
          <w:tcPr>
            <w:tcW w:w="794" w:type="dxa"/>
          </w:tcPr>
          <w:p w:rsidR="00F32CCD" w:rsidRPr="00BA7C9E" w:rsidRDefault="00F32CCD" w:rsidP="00F32CCD"/>
        </w:tc>
        <w:tc>
          <w:tcPr>
            <w:tcW w:w="3600" w:type="dxa"/>
          </w:tcPr>
          <w:p w:rsidR="00F32CCD" w:rsidRPr="00BA7C9E" w:rsidRDefault="00F32CCD" w:rsidP="00F32CCD">
            <w:r w:rsidRPr="00BA7C9E">
              <w:t>Årets nya lån</w:t>
            </w:r>
          </w:p>
        </w:tc>
        <w:tc>
          <w:tcPr>
            <w:tcW w:w="907" w:type="dxa"/>
          </w:tcPr>
          <w:p w:rsidR="00F32CCD" w:rsidRPr="00BA7C9E" w:rsidRDefault="00F32CCD" w:rsidP="00F32CCD">
            <w:pPr>
              <w:jc w:val="right"/>
              <w:rPr>
                <w:i/>
                <w:szCs w:val="19"/>
              </w:rPr>
            </w:pPr>
            <w:r w:rsidRPr="00BA7C9E">
              <w:rPr>
                <w:i/>
                <w:szCs w:val="19"/>
              </w:rPr>
              <w:t>1 772</w:t>
            </w:r>
          </w:p>
        </w:tc>
        <w:tc>
          <w:tcPr>
            <w:tcW w:w="907" w:type="dxa"/>
          </w:tcPr>
          <w:p w:rsidR="00F32CCD" w:rsidRPr="00BA7C9E" w:rsidRDefault="00F32CCD" w:rsidP="00F32CCD">
            <w:pPr>
              <w:jc w:val="right"/>
              <w:rPr>
                <w:szCs w:val="19"/>
              </w:rPr>
            </w:pPr>
            <w:r w:rsidRPr="00BA7C9E">
              <w:rPr>
                <w:szCs w:val="19"/>
              </w:rPr>
              <w:t>6 379</w:t>
            </w:r>
          </w:p>
        </w:tc>
      </w:tr>
      <w:tr w:rsidR="00F32CCD" w:rsidRPr="00BA7C9E" w:rsidTr="00F741AA">
        <w:tc>
          <w:tcPr>
            <w:tcW w:w="794" w:type="dxa"/>
          </w:tcPr>
          <w:p w:rsidR="00F32CCD" w:rsidRPr="00BA7C9E" w:rsidRDefault="00F32CCD" w:rsidP="00F32CCD"/>
        </w:tc>
        <w:tc>
          <w:tcPr>
            <w:tcW w:w="3600" w:type="dxa"/>
          </w:tcPr>
          <w:p w:rsidR="00F32CCD" w:rsidRPr="00BA7C9E" w:rsidRDefault="00F32CCD" w:rsidP="00F32CCD">
            <w:r w:rsidRPr="00BA7C9E">
              <w:t>Årets amorteringar</w:t>
            </w:r>
          </w:p>
        </w:tc>
        <w:tc>
          <w:tcPr>
            <w:tcW w:w="907" w:type="dxa"/>
          </w:tcPr>
          <w:p w:rsidR="00F32CCD" w:rsidRPr="00BA7C9E" w:rsidRDefault="00F32CCD" w:rsidP="00F32CCD">
            <w:pPr>
              <w:jc w:val="right"/>
              <w:rPr>
                <w:i/>
                <w:szCs w:val="19"/>
              </w:rPr>
            </w:pPr>
            <w:r w:rsidRPr="00BA7C9E">
              <w:rPr>
                <w:i/>
                <w:szCs w:val="19"/>
              </w:rPr>
              <w:t xml:space="preserve">–2 635 </w:t>
            </w:r>
          </w:p>
        </w:tc>
        <w:tc>
          <w:tcPr>
            <w:tcW w:w="907" w:type="dxa"/>
          </w:tcPr>
          <w:p w:rsidR="00F32CCD" w:rsidRPr="00BA7C9E" w:rsidRDefault="00F32CCD" w:rsidP="00F32CCD">
            <w:pPr>
              <w:jc w:val="right"/>
              <w:rPr>
                <w:i/>
                <w:szCs w:val="19"/>
              </w:rPr>
            </w:pPr>
            <w:r w:rsidRPr="00BA7C9E">
              <w:rPr>
                <w:i/>
                <w:szCs w:val="19"/>
              </w:rPr>
              <w:t xml:space="preserve">–5 050 </w:t>
            </w:r>
          </w:p>
        </w:tc>
      </w:tr>
      <w:tr w:rsidR="00F32CCD" w:rsidRPr="00BA7C9E" w:rsidTr="00F741AA">
        <w:tc>
          <w:tcPr>
            <w:tcW w:w="794" w:type="dxa"/>
          </w:tcPr>
          <w:p w:rsidR="00F32CCD" w:rsidRPr="00BA7C9E" w:rsidRDefault="00F32CCD" w:rsidP="00F32CCD"/>
        </w:tc>
        <w:tc>
          <w:tcPr>
            <w:tcW w:w="3600" w:type="dxa"/>
          </w:tcPr>
          <w:p w:rsidR="00F32CCD" w:rsidRPr="00BA7C9E" w:rsidRDefault="00F32CCD" w:rsidP="00F32CCD">
            <w:pPr>
              <w:rPr>
                <w:i/>
              </w:rPr>
            </w:pPr>
            <w:r w:rsidRPr="00BA7C9E">
              <w:rPr>
                <w:b/>
                <w:i/>
              </w:rPr>
              <w:t>Utgående balans</w:t>
            </w:r>
          </w:p>
        </w:tc>
        <w:tc>
          <w:tcPr>
            <w:tcW w:w="907" w:type="dxa"/>
          </w:tcPr>
          <w:p w:rsidR="00F32CCD" w:rsidRPr="00BA7C9E" w:rsidRDefault="00F32CCD" w:rsidP="00F32CCD">
            <w:pPr>
              <w:jc w:val="right"/>
              <w:rPr>
                <w:b/>
                <w:bCs/>
                <w:i/>
                <w:szCs w:val="19"/>
              </w:rPr>
            </w:pPr>
            <w:r w:rsidRPr="00BA7C9E">
              <w:rPr>
                <w:b/>
                <w:bCs/>
                <w:i/>
                <w:szCs w:val="19"/>
              </w:rPr>
              <w:t>6 955</w:t>
            </w:r>
          </w:p>
        </w:tc>
        <w:tc>
          <w:tcPr>
            <w:tcW w:w="907" w:type="dxa"/>
          </w:tcPr>
          <w:p w:rsidR="00F32CCD" w:rsidRPr="00BA7C9E" w:rsidRDefault="00F32CCD" w:rsidP="00F32CCD">
            <w:pPr>
              <w:jc w:val="right"/>
              <w:rPr>
                <w:b/>
                <w:bCs/>
                <w:i/>
                <w:szCs w:val="19"/>
              </w:rPr>
            </w:pPr>
            <w:r w:rsidRPr="00BA7C9E">
              <w:rPr>
                <w:b/>
                <w:bCs/>
                <w:i/>
                <w:szCs w:val="19"/>
              </w:rPr>
              <w:t xml:space="preserve">7 819 </w:t>
            </w:r>
          </w:p>
        </w:tc>
      </w:tr>
      <w:tr w:rsidR="00F32CCD" w:rsidRPr="00BA7C9E" w:rsidTr="00F741AA">
        <w:tc>
          <w:tcPr>
            <w:tcW w:w="794" w:type="dxa"/>
          </w:tcPr>
          <w:p w:rsidR="00F32CCD" w:rsidRPr="00BA7C9E" w:rsidRDefault="00F32CCD" w:rsidP="00F32CCD"/>
        </w:tc>
        <w:tc>
          <w:tcPr>
            <w:tcW w:w="3600" w:type="dxa"/>
          </w:tcPr>
          <w:p w:rsidR="00F32CCD" w:rsidRPr="00BA7C9E" w:rsidRDefault="00F32CCD" w:rsidP="00F32CCD">
            <w:pPr>
              <w:spacing w:before="0"/>
            </w:pPr>
            <w:r w:rsidRPr="00BA7C9E">
              <w:rPr>
                <w:sz w:val="16"/>
              </w:rPr>
              <w:t>Den beviljade låneram är 17 miljoner kronor.</w:t>
            </w:r>
          </w:p>
        </w:tc>
        <w:tc>
          <w:tcPr>
            <w:tcW w:w="907" w:type="dxa"/>
          </w:tcPr>
          <w:p w:rsidR="00F32CCD" w:rsidRPr="00BA7C9E" w:rsidRDefault="00F32CCD" w:rsidP="00F32CCD">
            <w:pPr>
              <w:jc w:val="right"/>
              <w:rPr>
                <w:szCs w:val="19"/>
              </w:rPr>
            </w:pPr>
          </w:p>
        </w:tc>
        <w:tc>
          <w:tcPr>
            <w:tcW w:w="907" w:type="dxa"/>
          </w:tcPr>
          <w:p w:rsidR="00F32CCD" w:rsidRPr="00BA7C9E" w:rsidRDefault="00F32CCD" w:rsidP="00F32CCD"/>
        </w:tc>
      </w:tr>
    </w:tbl>
    <w:p w:rsidR="00F32CCD" w:rsidRPr="00BA7C9E" w:rsidRDefault="00F32CCD" w:rsidP="00F32CCD">
      <w:pPr>
        <w:spacing w:before="0" w:line="40" w:lineRule="exact"/>
      </w:pPr>
    </w:p>
    <w:p w:rsidR="00F32CCD" w:rsidRPr="00BA7C9E" w:rsidRDefault="00F32CCD" w:rsidP="00F32CCD"/>
    <w:tbl>
      <w:tblPr>
        <w:tblW w:w="6208" w:type="dxa"/>
        <w:tblLayout w:type="fixed"/>
        <w:tblLook w:val="01E0" w:firstRow="1" w:lastRow="1" w:firstColumn="1" w:lastColumn="1" w:noHBand="0" w:noVBand="0"/>
      </w:tblPr>
      <w:tblGrid>
        <w:gridCol w:w="794"/>
        <w:gridCol w:w="3600"/>
        <w:gridCol w:w="907"/>
        <w:gridCol w:w="907"/>
      </w:tblGrid>
      <w:tr w:rsidR="00F32CCD" w:rsidRPr="00BA7C9E" w:rsidTr="00F32CCD">
        <w:tc>
          <w:tcPr>
            <w:tcW w:w="794" w:type="dxa"/>
          </w:tcPr>
          <w:p w:rsidR="00F32CCD" w:rsidRPr="00BA7C9E" w:rsidRDefault="00F32CCD" w:rsidP="00F741AA">
            <w:pPr>
              <w:rPr>
                <w:b/>
              </w:rPr>
            </w:pPr>
            <w:r w:rsidRPr="00BA7C9E">
              <w:rPr>
                <w:b/>
              </w:rPr>
              <w:t>Not 1</w:t>
            </w:r>
            <w:r w:rsidR="00F741AA" w:rsidRPr="00BA7C9E">
              <w:rPr>
                <w:b/>
              </w:rPr>
              <w:t>7</w:t>
            </w:r>
          </w:p>
        </w:tc>
        <w:tc>
          <w:tcPr>
            <w:tcW w:w="3600" w:type="dxa"/>
          </w:tcPr>
          <w:p w:rsidR="00F32CCD" w:rsidRPr="00BA7C9E" w:rsidRDefault="00F32CCD" w:rsidP="00F32CCD">
            <w:pPr>
              <w:jc w:val="left"/>
              <w:rPr>
                <w:b/>
              </w:rPr>
            </w:pPr>
            <w:r w:rsidRPr="00BA7C9E">
              <w:rPr>
                <w:b/>
              </w:rPr>
              <w:t>Periodavgränsningsposter</w:t>
            </w:r>
          </w:p>
        </w:tc>
        <w:tc>
          <w:tcPr>
            <w:tcW w:w="907" w:type="dxa"/>
          </w:tcPr>
          <w:p w:rsidR="00F32CCD" w:rsidRPr="00BA7C9E" w:rsidRDefault="00F32CCD" w:rsidP="00F32CCD">
            <w:pPr>
              <w:jc w:val="right"/>
              <w:rPr>
                <w:b/>
              </w:rPr>
            </w:pPr>
            <w:r w:rsidRPr="00BA7C9E">
              <w:rPr>
                <w:b/>
              </w:rPr>
              <w:t>2011</w:t>
            </w:r>
          </w:p>
        </w:tc>
        <w:tc>
          <w:tcPr>
            <w:tcW w:w="907" w:type="dxa"/>
          </w:tcPr>
          <w:p w:rsidR="00F32CCD" w:rsidRPr="00BA7C9E" w:rsidRDefault="00F32CCD" w:rsidP="00F32CCD">
            <w:pPr>
              <w:jc w:val="right"/>
              <w:rPr>
                <w:b/>
              </w:rPr>
            </w:pPr>
            <w:r w:rsidRPr="00BA7C9E">
              <w:rPr>
                <w:b/>
              </w:rPr>
              <w:t>2010</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Semester- och löneskuld inklusive avgifter</w:t>
            </w:r>
          </w:p>
        </w:tc>
        <w:tc>
          <w:tcPr>
            <w:tcW w:w="907" w:type="dxa"/>
          </w:tcPr>
          <w:p w:rsidR="00F32CCD" w:rsidRPr="00BA7C9E" w:rsidRDefault="00F32CCD" w:rsidP="00F32CCD">
            <w:pPr>
              <w:jc w:val="right"/>
              <w:rPr>
                <w:i/>
                <w:szCs w:val="19"/>
              </w:rPr>
            </w:pPr>
            <w:r w:rsidRPr="00BA7C9E">
              <w:rPr>
                <w:i/>
                <w:szCs w:val="19"/>
              </w:rPr>
              <w:t>–22 550</w:t>
            </w:r>
          </w:p>
        </w:tc>
        <w:tc>
          <w:tcPr>
            <w:tcW w:w="907" w:type="dxa"/>
          </w:tcPr>
          <w:p w:rsidR="00F32CCD" w:rsidRPr="00BA7C9E" w:rsidRDefault="00F32CCD" w:rsidP="00F32CCD">
            <w:pPr>
              <w:jc w:val="right"/>
              <w:rPr>
                <w:i/>
                <w:szCs w:val="19"/>
              </w:rPr>
            </w:pPr>
            <w:r w:rsidRPr="00BA7C9E">
              <w:rPr>
                <w:i/>
                <w:szCs w:val="19"/>
              </w:rPr>
              <w:t>–22 004</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r w:rsidRPr="00BA7C9E">
              <w:t>Övriga upplupna kostnader</w:t>
            </w:r>
          </w:p>
        </w:tc>
        <w:tc>
          <w:tcPr>
            <w:tcW w:w="907" w:type="dxa"/>
          </w:tcPr>
          <w:p w:rsidR="00F32CCD" w:rsidRPr="00BA7C9E" w:rsidRDefault="00F32CCD" w:rsidP="00F32CCD">
            <w:pPr>
              <w:jc w:val="right"/>
              <w:rPr>
                <w:i/>
                <w:szCs w:val="19"/>
              </w:rPr>
            </w:pPr>
            <w:r w:rsidRPr="00BA7C9E">
              <w:rPr>
                <w:i/>
                <w:szCs w:val="19"/>
              </w:rPr>
              <w:t>–2 631</w:t>
            </w:r>
          </w:p>
        </w:tc>
        <w:tc>
          <w:tcPr>
            <w:tcW w:w="907" w:type="dxa"/>
          </w:tcPr>
          <w:p w:rsidR="00F32CCD" w:rsidRPr="00BA7C9E" w:rsidRDefault="00F32CCD" w:rsidP="00F32CCD">
            <w:pPr>
              <w:jc w:val="right"/>
              <w:rPr>
                <w:i/>
                <w:szCs w:val="19"/>
              </w:rPr>
            </w:pPr>
            <w:r w:rsidRPr="00BA7C9E">
              <w:rPr>
                <w:i/>
                <w:szCs w:val="19"/>
              </w:rPr>
              <w:t>–1 988</w:t>
            </w:r>
          </w:p>
        </w:tc>
      </w:tr>
      <w:tr w:rsidR="00F32CCD" w:rsidRPr="00BA7C9E" w:rsidTr="00F32CCD">
        <w:tc>
          <w:tcPr>
            <w:tcW w:w="794" w:type="dxa"/>
          </w:tcPr>
          <w:p w:rsidR="00F32CCD" w:rsidRPr="00BA7C9E" w:rsidRDefault="00F32CCD" w:rsidP="00F32CCD">
            <w:pPr>
              <w:spacing w:before="0"/>
            </w:pPr>
          </w:p>
        </w:tc>
        <w:tc>
          <w:tcPr>
            <w:tcW w:w="3600" w:type="dxa"/>
          </w:tcPr>
          <w:p w:rsidR="00F32CCD" w:rsidRPr="00BA7C9E" w:rsidRDefault="00F32CCD" w:rsidP="00F32CCD">
            <w:pPr>
              <w:rPr>
                <w:b/>
                <w:i/>
              </w:rPr>
            </w:pPr>
            <w:r w:rsidRPr="00BA7C9E">
              <w:rPr>
                <w:b/>
                <w:i/>
              </w:rPr>
              <w:t>Summa</w:t>
            </w:r>
          </w:p>
        </w:tc>
        <w:tc>
          <w:tcPr>
            <w:tcW w:w="907" w:type="dxa"/>
          </w:tcPr>
          <w:p w:rsidR="00F32CCD" w:rsidRPr="00BA7C9E" w:rsidRDefault="00F32CCD" w:rsidP="00F32CCD">
            <w:pPr>
              <w:jc w:val="center"/>
              <w:rPr>
                <w:b/>
                <w:bCs/>
                <w:i/>
                <w:szCs w:val="19"/>
              </w:rPr>
            </w:pPr>
            <w:r w:rsidRPr="00BA7C9E">
              <w:rPr>
                <w:b/>
                <w:i/>
                <w:szCs w:val="19"/>
              </w:rPr>
              <w:t>–25 181</w:t>
            </w:r>
          </w:p>
        </w:tc>
        <w:tc>
          <w:tcPr>
            <w:tcW w:w="907" w:type="dxa"/>
          </w:tcPr>
          <w:p w:rsidR="00F32CCD" w:rsidRPr="00BA7C9E" w:rsidRDefault="00F32CCD" w:rsidP="00F32CCD">
            <w:pPr>
              <w:jc w:val="right"/>
              <w:rPr>
                <w:b/>
                <w:bCs/>
                <w:i/>
                <w:szCs w:val="19"/>
              </w:rPr>
            </w:pPr>
            <w:r w:rsidRPr="00BA7C9E">
              <w:rPr>
                <w:b/>
                <w:i/>
                <w:szCs w:val="19"/>
              </w:rPr>
              <w:t>–</w:t>
            </w:r>
            <w:r w:rsidRPr="00BA7C9E">
              <w:rPr>
                <w:b/>
                <w:bCs/>
                <w:i/>
                <w:szCs w:val="19"/>
              </w:rPr>
              <w:t>23 992</w:t>
            </w:r>
          </w:p>
        </w:tc>
      </w:tr>
      <w:tr w:rsidR="00F32CCD" w:rsidRPr="00BA7C9E" w:rsidTr="00F32CCD">
        <w:tc>
          <w:tcPr>
            <w:tcW w:w="794" w:type="dxa"/>
          </w:tcPr>
          <w:p w:rsidR="00F32CCD" w:rsidRPr="00BA7C9E" w:rsidRDefault="00F32CCD" w:rsidP="00F32CCD">
            <w:pPr>
              <w:spacing w:before="0"/>
            </w:pPr>
          </w:p>
        </w:tc>
        <w:tc>
          <w:tcPr>
            <w:tcW w:w="5414" w:type="dxa"/>
            <w:gridSpan w:val="3"/>
          </w:tcPr>
          <w:p w:rsidR="00F32CCD" w:rsidRPr="00BA7C9E" w:rsidRDefault="00F32CCD" w:rsidP="00F32CCD">
            <w:pPr>
              <w:spacing w:before="0"/>
              <w:jc w:val="left"/>
              <w:rPr>
                <w:sz w:val="16"/>
              </w:rPr>
            </w:pPr>
          </w:p>
        </w:tc>
      </w:tr>
      <w:tr w:rsidR="00F32CCD" w:rsidRPr="00BA7C9E" w:rsidTr="00F32CCD">
        <w:tc>
          <w:tcPr>
            <w:tcW w:w="794" w:type="dxa"/>
          </w:tcPr>
          <w:p w:rsidR="00F32CCD" w:rsidRPr="00BA7C9E" w:rsidRDefault="00F32CCD" w:rsidP="00F741AA">
            <w:pPr>
              <w:rPr>
                <w:b/>
              </w:rPr>
            </w:pPr>
            <w:r w:rsidRPr="00BA7C9E">
              <w:rPr>
                <w:b/>
              </w:rPr>
              <w:t xml:space="preserve">Not </w:t>
            </w:r>
            <w:r w:rsidR="00F741AA" w:rsidRPr="00BA7C9E">
              <w:rPr>
                <w:b/>
              </w:rPr>
              <w:t>18</w:t>
            </w:r>
          </w:p>
        </w:tc>
        <w:tc>
          <w:tcPr>
            <w:tcW w:w="5414" w:type="dxa"/>
            <w:gridSpan w:val="3"/>
          </w:tcPr>
          <w:p w:rsidR="00F32CCD" w:rsidRPr="00BA7C9E" w:rsidRDefault="00F32CCD" w:rsidP="00F32CCD">
            <w:pPr>
              <w:rPr>
                <w:b/>
              </w:rPr>
            </w:pPr>
            <w:r w:rsidRPr="00BA7C9E">
              <w:rPr>
                <w:b/>
              </w:rPr>
              <w:t>Ansvarsförbindelser</w:t>
            </w:r>
          </w:p>
        </w:tc>
      </w:tr>
      <w:tr w:rsidR="00F32CCD" w:rsidRPr="00BA7C9E" w:rsidTr="00F32CCD">
        <w:tc>
          <w:tcPr>
            <w:tcW w:w="794" w:type="dxa"/>
          </w:tcPr>
          <w:p w:rsidR="00F32CCD" w:rsidRPr="00BA7C9E" w:rsidRDefault="00F32CCD" w:rsidP="00F32CCD">
            <w:pPr>
              <w:rPr>
                <w:b/>
              </w:rPr>
            </w:pPr>
          </w:p>
        </w:tc>
        <w:tc>
          <w:tcPr>
            <w:tcW w:w="5414" w:type="dxa"/>
            <w:gridSpan w:val="3"/>
          </w:tcPr>
          <w:p w:rsidR="00F32CCD" w:rsidRPr="00BA7C9E" w:rsidRDefault="00F32CCD" w:rsidP="00E43D1F">
            <w:pPr>
              <w:spacing w:before="0" w:line="240" w:lineRule="auto"/>
            </w:pPr>
            <w:r w:rsidRPr="00BA7C9E">
              <w:rPr>
                <w:sz w:val="16"/>
                <w:szCs w:val="16"/>
              </w:rPr>
              <w:t>Ansvarsförbindelsen avser chefspension till Eva Lindström för åren 2013 – 20</w:t>
            </w:r>
            <w:r w:rsidR="003C7480" w:rsidRPr="00BA7C9E">
              <w:rPr>
                <w:sz w:val="16"/>
                <w:szCs w:val="16"/>
              </w:rPr>
              <w:t>22</w:t>
            </w:r>
            <w:r w:rsidRPr="00BA7C9E">
              <w:rPr>
                <w:sz w:val="16"/>
                <w:szCs w:val="16"/>
              </w:rPr>
              <w:t>. Se även avsnittet Framtida åtaganden.</w:t>
            </w:r>
          </w:p>
        </w:tc>
      </w:tr>
    </w:tbl>
    <w:p w:rsidR="00F32CCD" w:rsidRPr="00BA7C9E" w:rsidRDefault="00F32CCD" w:rsidP="00F32CCD">
      <w:pPr>
        <w:spacing w:before="0"/>
        <w:ind w:firstLine="227"/>
      </w:pPr>
    </w:p>
    <w:tbl>
      <w:tblPr>
        <w:tblW w:w="6208" w:type="dxa"/>
        <w:tblLayout w:type="fixed"/>
        <w:tblLook w:val="01E0" w:firstRow="1" w:lastRow="1" w:firstColumn="1" w:lastColumn="1" w:noHBand="0" w:noVBand="0"/>
      </w:tblPr>
      <w:tblGrid>
        <w:gridCol w:w="794"/>
        <w:gridCol w:w="3600"/>
        <w:gridCol w:w="907"/>
        <w:gridCol w:w="907"/>
      </w:tblGrid>
      <w:tr w:rsidR="00F32CCD" w:rsidRPr="00BA7C9E" w:rsidTr="00F32CCD">
        <w:tc>
          <w:tcPr>
            <w:tcW w:w="794" w:type="dxa"/>
          </w:tcPr>
          <w:p w:rsidR="00F32CCD" w:rsidRPr="00BA7C9E" w:rsidRDefault="00F32CCD" w:rsidP="00F741AA">
            <w:pPr>
              <w:rPr>
                <w:b/>
              </w:rPr>
            </w:pPr>
            <w:r w:rsidRPr="00BA7C9E">
              <w:rPr>
                <w:b/>
              </w:rPr>
              <w:t xml:space="preserve">Not </w:t>
            </w:r>
            <w:r w:rsidR="00F741AA" w:rsidRPr="00BA7C9E">
              <w:rPr>
                <w:b/>
              </w:rPr>
              <w:t>19</w:t>
            </w:r>
          </w:p>
        </w:tc>
        <w:tc>
          <w:tcPr>
            <w:tcW w:w="3600" w:type="dxa"/>
          </w:tcPr>
          <w:p w:rsidR="00F32CCD" w:rsidRPr="00BA7C9E" w:rsidRDefault="00F32CCD" w:rsidP="00F32CCD">
            <w:pPr>
              <w:jc w:val="left"/>
              <w:rPr>
                <w:b/>
              </w:rPr>
            </w:pPr>
            <w:r w:rsidRPr="00BA7C9E">
              <w:rPr>
                <w:b/>
              </w:rPr>
              <w:t>Redovisning mot bemyndiganden</w:t>
            </w:r>
          </w:p>
        </w:tc>
        <w:tc>
          <w:tcPr>
            <w:tcW w:w="907" w:type="dxa"/>
          </w:tcPr>
          <w:p w:rsidR="00F32CCD" w:rsidRPr="00BA7C9E" w:rsidRDefault="00F32CCD" w:rsidP="00F32CCD">
            <w:pPr>
              <w:jc w:val="right"/>
              <w:rPr>
                <w:b/>
              </w:rPr>
            </w:pPr>
          </w:p>
        </w:tc>
        <w:tc>
          <w:tcPr>
            <w:tcW w:w="907" w:type="dxa"/>
          </w:tcPr>
          <w:p w:rsidR="00F32CCD" w:rsidRPr="00BA7C9E" w:rsidRDefault="00F32CCD" w:rsidP="00F32CCD">
            <w:pPr>
              <w:jc w:val="right"/>
              <w:rPr>
                <w:b/>
              </w:rPr>
            </w:pPr>
          </w:p>
        </w:tc>
      </w:tr>
      <w:tr w:rsidR="00F32CCD" w:rsidRPr="00BA7C9E" w:rsidTr="00F32CCD">
        <w:tc>
          <w:tcPr>
            <w:tcW w:w="794" w:type="dxa"/>
          </w:tcPr>
          <w:p w:rsidR="00F32CCD" w:rsidRPr="00BA7C9E" w:rsidRDefault="00F32CCD" w:rsidP="00F32CCD"/>
        </w:tc>
        <w:tc>
          <w:tcPr>
            <w:tcW w:w="5414" w:type="dxa"/>
            <w:gridSpan w:val="3"/>
          </w:tcPr>
          <w:p w:rsidR="00F32CCD" w:rsidRPr="00BA7C9E" w:rsidRDefault="00F32CCD" w:rsidP="00E43D1F">
            <w:pPr>
              <w:spacing w:before="0" w:line="240" w:lineRule="auto"/>
              <w:rPr>
                <w:sz w:val="16"/>
                <w:szCs w:val="16"/>
              </w:rPr>
            </w:pPr>
            <w:r w:rsidRPr="00BA7C9E">
              <w:rPr>
                <w:sz w:val="16"/>
                <w:szCs w:val="16"/>
              </w:rPr>
              <w:t xml:space="preserve">Riksrevisionen har en viktig roll när det gäller internationella biståndsinsatser för att stärka de nationella revisionsorganens förmåga att bedriva offentlig revision och för att bygga upp en god förvaltning med kapacitet att motverka korruption. Insatserna löper ofta över flera år varför Riksrevisionen bemyndigats att ingå åtaganden som medför utgifter under senare budgetår än det år statens budget avser. Utestående åtaganden som täcks av ett redan anvisat anslag uppgår till 883 tkr. </w:t>
            </w:r>
          </w:p>
          <w:p w:rsidR="00F32CCD" w:rsidRPr="00BA7C9E" w:rsidRDefault="00F32CCD" w:rsidP="00F32CCD">
            <w:pPr>
              <w:jc w:val="left"/>
              <w:rPr>
                <w:color w:val="FF0000"/>
                <w:sz w:val="16"/>
                <w:szCs w:val="16"/>
              </w:rPr>
            </w:pPr>
          </w:p>
          <w:p w:rsidR="00F32CCD" w:rsidRPr="00BA7C9E" w:rsidRDefault="00F32CCD" w:rsidP="00F32CCD">
            <w:pPr>
              <w:jc w:val="left"/>
              <w:rPr>
                <w:color w:val="FF0000"/>
                <w:sz w:val="16"/>
                <w:szCs w:val="16"/>
              </w:rPr>
            </w:pPr>
          </w:p>
        </w:tc>
      </w:tr>
    </w:tbl>
    <w:p w:rsidR="00F32CCD" w:rsidRPr="00BA7C9E" w:rsidRDefault="00F32CCD" w:rsidP="00F32CCD">
      <w:pPr>
        <w:spacing w:before="0"/>
        <w:ind w:firstLine="227"/>
      </w:pPr>
    </w:p>
    <w:p w:rsidR="00F32CCD" w:rsidRPr="00BA7C9E" w:rsidRDefault="00F32CCD" w:rsidP="00C449F5">
      <w:pPr>
        <w:pStyle w:val="Rubrik2"/>
        <w:spacing w:before="0"/>
      </w:pPr>
      <w:bookmarkStart w:id="143" w:name="_Toc254267615"/>
      <w:bookmarkStart w:id="144" w:name="_Toc311187655"/>
      <w:r w:rsidRPr="00BA7C9E">
        <w:br w:type="page"/>
      </w:r>
      <w:bookmarkStart w:id="145" w:name="_Toc315253464"/>
      <w:bookmarkStart w:id="146" w:name="_Toc318101653"/>
      <w:r w:rsidRPr="00BA7C9E">
        <w:t>Uppgifter om ledande befattningshavare</w:t>
      </w:r>
      <w:bookmarkEnd w:id="143"/>
      <w:bookmarkEnd w:id="144"/>
      <w:bookmarkEnd w:id="145"/>
      <w:bookmarkEnd w:id="146"/>
    </w:p>
    <w:p w:rsidR="00F32CCD" w:rsidRPr="00BA7C9E" w:rsidRDefault="00F32CCD" w:rsidP="00F32CCD">
      <w:r w:rsidRPr="00BA7C9E">
        <w:t>Riksrevisionen ska enligt 7 kap. 10 § föreskriften (FRS 2006:10) om tilläm</w:t>
      </w:r>
      <w:r w:rsidRPr="00BA7C9E">
        <w:t>p</w:t>
      </w:r>
      <w:r w:rsidRPr="00BA7C9E">
        <w:t>ningen av lagen (2006:999) med ekonomiadministrativa bestämmelser m.m. för riksdagsförvaltningen, Riksdagens ombudsmän och Riksrevisionen red</w:t>
      </w:r>
      <w:r w:rsidRPr="00BA7C9E">
        <w:t>o</w:t>
      </w:r>
      <w:r w:rsidRPr="00BA7C9E">
        <w:t>visa uppgifter relaterade till styrelseledamöter, rådsledamöter och ledande befattningshavare enligt 7 kap. 2 § förordningen (2000:605) om årsredovi</w:t>
      </w:r>
      <w:r w:rsidRPr="00BA7C9E">
        <w:t>s</w:t>
      </w:r>
      <w:r w:rsidRPr="00BA7C9E">
        <w:t>ning och budgetunderlag. Riksrevisionen ska uppge vilka uppdrag som styre</w:t>
      </w:r>
      <w:r w:rsidRPr="00BA7C9E">
        <w:t>l</w:t>
      </w:r>
      <w:r w:rsidRPr="00BA7C9E">
        <w:t>se- eller rådsledamot i andra statliga myndigheter och uppdrag som styrels</w:t>
      </w:r>
      <w:r w:rsidRPr="00BA7C9E">
        <w:t>e</w:t>
      </w:r>
      <w:r w:rsidRPr="00BA7C9E">
        <w:t>ledamot i aktiebolag (utredningsuppdrag i myndighetsform ingår inte i sa</w:t>
      </w:r>
      <w:r w:rsidRPr="00BA7C9E">
        <w:t>m</w:t>
      </w:r>
      <w:r w:rsidRPr="00BA7C9E">
        <w:t>manställningen) som dessa personer har haft. Myndigheten ska även redovisa de skattepliktiga ersättningar och andra förmåner som betalats ut till dessa personer under räkenskapsåret samt de framtida åtaganden som avtalats för var och en.</w:t>
      </w:r>
    </w:p>
    <w:p w:rsidR="00F32CCD" w:rsidRPr="00BA7C9E" w:rsidRDefault="00F32CCD" w:rsidP="000D2CA4">
      <w:pPr>
        <w:pStyle w:val="R4"/>
        <w:spacing w:after="120"/>
      </w:pPr>
      <w:r w:rsidRPr="00BA7C9E">
        <w:t>Uppgifter om andra uppdrag för ledamöter i Riksrevisionens parlamentariska råd</w:t>
      </w:r>
    </w:p>
    <w:p w:rsidR="00F32CCD" w:rsidRPr="00BA7C9E" w:rsidRDefault="00F32CCD" w:rsidP="00F32CCD">
      <w:pPr>
        <w:keepNext/>
        <w:rPr>
          <w:sz w:val="14"/>
          <w:szCs w:val="14"/>
        </w:rPr>
      </w:pPr>
      <w:r w:rsidRPr="00BA7C9E">
        <w:rPr>
          <w:sz w:val="14"/>
          <w:szCs w:val="14"/>
        </w:rPr>
        <w:t>UPPGIFTER FÖR ORDINARIE LEDAMÖTER FÖR 2011</w:t>
      </w:r>
    </w:p>
    <w:tbl>
      <w:tblPr>
        <w:tblW w:w="0" w:type="auto"/>
        <w:tblLook w:val="04A0" w:firstRow="1" w:lastRow="0" w:firstColumn="1" w:lastColumn="0" w:noHBand="0" w:noVBand="1"/>
      </w:tblPr>
      <w:tblGrid>
        <w:gridCol w:w="2206"/>
        <w:gridCol w:w="3747"/>
      </w:tblGrid>
      <w:tr w:rsidR="00F32CCD" w:rsidRPr="00BA7C9E" w:rsidTr="00F32CCD">
        <w:tc>
          <w:tcPr>
            <w:tcW w:w="2518" w:type="dxa"/>
          </w:tcPr>
          <w:p w:rsidR="00F32CCD" w:rsidRPr="00BA7C9E" w:rsidRDefault="00F32CCD" w:rsidP="00F32CCD">
            <w:r w:rsidRPr="00BA7C9E">
              <w:t>Emma Henriksson</w:t>
            </w:r>
          </w:p>
        </w:tc>
        <w:tc>
          <w:tcPr>
            <w:tcW w:w="4425" w:type="dxa"/>
          </w:tcPr>
          <w:p w:rsidR="00F32CCD" w:rsidRPr="00BA7C9E" w:rsidRDefault="00F32CCD" w:rsidP="00F32CCD">
            <w:r w:rsidRPr="00BA7C9E">
              <w:t>Ledamot i Ungdomsstyrelsens insynsråd</w:t>
            </w:r>
          </w:p>
          <w:p w:rsidR="00F32CCD" w:rsidRPr="00BA7C9E" w:rsidRDefault="00F32CCD" w:rsidP="00F32CCD">
            <w:r w:rsidRPr="00BA7C9E">
              <w:t>Ledamot i insynsrådet för Allmänna reklam</w:t>
            </w:r>
            <w:r w:rsidRPr="00BA7C9E">
              <w:t>a</w:t>
            </w:r>
            <w:r w:rsidRPr="00BA7C9E">
              <w:t>tionsnämnden</w:t>
            </w:r>
          </w:p>
        </w:tc>
      </w:tr>
      <w:tr w:rsidR="00F32CCD" w:rsidRPr="00BA7C9E" w:rsidTr="00F32CCD">
        <w:tc>
          <w:tcPr>
            <w:tcW w:w="2518" w:type="dxa"/>
          </w:tcPr>
          <w:p w:rsidR="00F32CCD" w:rsidRPr="00BA7C9E" w:rsidRDefault="00F32CCD" w:rsidP="00F32CCD">
            <w:r w:rsidRPr="00BA7C9E">
              <w:t>Billy Gustafsson</w:t>
            </w:r>
          </w:p>
          <w:p w:rsidR="00F32CCD" w:rsidRPr="00BA7C9E" w:rsidRDefault="00F32CCD" w:rsidP="00F32CCD">
            <w:pPr>
              <w:keepNext/>
              <w:spacing w:line="240" w:lineRule="auto"/>
            </w:pPr>
            <w:r w:rsidRPr="00BA7C9E">
              <w:rPr>
                <w:i/>
                <w:sz w:val="15"/>
                <w:szCs w:val="15"/>
              </w:rPr>
              <w:t>(från 2011-05-06)</w:t>
            </w:r>
          </w:p>
        </w:tc>
        <w:tc>
          <w:tcPr>
            <w:tcW w:w="4425" w:type="dxa"/>
          </w:tcPr>
          <w:p w:rsidR="00F32CCD" w:rsidRPr="00BA7C9E" w:rsidRDefault="00F32CCD" w:rsidP="00F32CCD">
            <w:r w:rsidRPr="00BA7C9E">
              <w:t>Ersättare i styrelsen Norrköpings hamn och stuveri AB</w:t>
            </w:r>
          </w:p>
          <w:p w:rsidR="00F32CCD" w:rsidRPr="00BA7C9E" w:rsidRDefault="00F32CCD" w:rsidP="00F32CCD">
            <w:r w:rsidRPr="00BA7C9E">
              <w:t>Ledamot i styrelsen för Nya Folkbladet i Öste</w:t>
            </w:r>
            <w:r w:rsidRPr="00BA7C9E">
              <w:t>r</w:t>
            </w:r>
            <w:r w:rsidRPr="00BA7C9E">
              <w:t>götland AB</w:t>
            </w:r>
          </w:p>
        </w:tc>
      </w:tr>
      <w:tr w:rsidR="00F32CCD" w:rsidRPr="00BA7C9E" w:rsidTr="00F32CCD">
        <w:tc>
          <w:tcPr>
            <w:tcW w:w="2518" w:type="dxa"/>
          </w:tcPr>
          <w:p w:rsidR="00F32CCD" w:rsidRPr="00BA7C9E" w:rsidRDefault="00F32CCD" w:rsidP="00F32CCD">
            <w:r w:rsidRPr="00BA7C9E">
              <w:t>Elisabeth Svantesson</w:t>
            </w:r>
          </w:p>
        </w:tc>
        <w:tc>
          <w:tcPr>
            <w:tcW w:w="4425" w:type="dxa"/>
          </w:tcPr>
          <w:p w:rsidR="00F32CCD" w:rsidRPr="00BA7C9E" w:rsidRDefault="00F32CCD" w:rsidP="00F32CCD">
            <w:r w:rsidRPr="00BA7C9E">
              <w:t>Suppleant i Riksbankens Jubileumsfond</w:t>
            </w:r>
          </w:p>
        </w:tc>
      </w:tr>
      <w:tr w:rsidR="00F32CCD" w:rsidRPr="00BA7C9E" w:rsidTr="00F32CCD">
        <w:tc>
          <w:tcPr>
            <w:tcW w:w="2518" w:type="dxa"/>
          </w:tcPr>
          <w:p w:rsidR="00F32CCD" w:rsidRPr="00BA7C9E" w:rsidRDefault="00F32CCD" w:rsidP="00F32CCD">
            <w:r w:rsidRPr="00BA7C9E">
              <w:t>Ulf Holm</w:t>
            </w:r>
          </w:p>
        </w:tc>
        <w:tc>
          <w:tcPr>
            <w:tcW w:w="4425" w:type="dxa"/>
          </w:tcPr>
          <w:p w:rsidR="00F32CCD" w:rsidRPr="00BA7C9E" w:rsidRDefault="00F32CCD" w:rsidP="00F32CCD">
            <w:r w:rsidRPr="00BA7C9E">
              <w:t>–</w:t>
            </w:r>
          </w:p>
        </w:tc>
      </w:tr>
      <w:tr w:rsidR="00F32CCD" w:rsidRPr="00BA7C9E" w:rsidTr="00F32CCD">
        <w:tc>
          <w:tcPr>
            <w:tcW w:w="2518" w:type="dxa"/>
          </w:tcPr>
          <w:p w:rsidR="00F32CCD" w:rsidRPr="00BA7C9E" w:rsidRDefault="00F32CCD" w:rsidP="00F32CCD">
            <w:r w:rsidRPr="00BA7C9E">
              <w:t>Gunnar Andrén</w:t>
            </w:r>
          </w:p>
        </w:tc>
        <w:tc>
          <w:tcPr>
            <w:tcW w:w="4425" w:type="dxa"/>
          </w:tcPr>
          <w:p w:rsidR="00F32CCD" w:rsidRPr="00BA7C9E" w:rsidRDefault="00F32CCD" w:rsidP="00F32CCD">
            <w:r w:rsidRPr="00BA7C9E">
              <w:t>Ledamot i Liab Liberal Information AB</w:t>
            </w:r>
          </w:p>
        </w:tc>
      </w:tr>
      <w:tr w:rsidR="00F32CCD" w:rsidRPr="00BA7C9E" w:rsidTr="00F32CCD">
        <w:tc>
          <w:tcPr>
            <w:tcW w:w="2518" w:type="dxa"/>
          </w:tcPr>
          <w:p w:rsidR="00F32CCD" w:rsidRPr="00BA7C9E" w:rsidRDefault="00F32CCD" w:rsidP="00F32CCD">
            <w:r w:rsidRPr="00BA7C9E">
              <w:t>Anders W Jonsson</w:t>
            </w:r>
          </w:p>
        </w:tc>
        <w:tc>
          <w:tcPr>
            <w:tcW w:w="4425" w:type="dxa"/>
          </w:tcPr>
          <w:p w:rsidR="00F32CCD" w:rsidRPr="00BA7C9E" w:rsidRDefault="00F32CCD" w:rsidP="00F32CCD">
            <w:r w:rsidRPr="00BA7C9E">
              <w:t>Ledamot i Genetiknämnden</w:t>
            </w:r>
          </w:p>
        </w:tc>
      </w:tr>
      <w:tr w:rsidR="00F32CCD" w:rsidRPr="00BA7C9E" w:rsidTr="00F32CCD">
        <w:tc>
          <w:tcPr>
            <w:tcW w:w="2518" w:type="dxa"/>
          </w:tcPr>
          <w:p w:rsidR="00F32CCD" w:rsidRPr="00BA7C9E" w:rsidRDefault="00F32CCD" w:rsidP="00F32CCD">
            <w:r w:rsidRPr="00BA7C9E">
              <w:t>David Lång</w:t>
            </w:r>
          </w:p>
        </w:tc>
        <w:tc>
          <w:tcPr>
            <w:tcW w:w="4425" w:type="dxa"/>
          </w:tcPr>
          <w:p w:rsidR="00F32CCD" w:rsidRPr="00BA7C9E" w:rsidRDefault="00F32CCD" w:rsidP="00F32CCD">
            <w:r w:rsidRPr="00BA7C9E">
              <w:t>–</w:t>
            </w:r>
          </w:p>
        </w:tc>
      </w:tr>
      <w:tr w:rsidR="00F32CCD" w:rsidRPr="00BA7C9E" w:rsidTr="00F32CCD">
        <w:tc>
          <w:tcPr>
            <w:tcW w:w="2518" w:type="dxa"/>
          </w:tcPr>
          <w:p w:rsidR="00F32CCD" w:rsidRPr="00BA7C9E" w:rsidRDefault="00F32CCD" w:rsidP="00F32CCD">
            <w:r w:rsidRPr="00BA7C9E">
              <w:t>Jacob Johnsson</w:t>
            </w:r>
          </w:p>
        </w:tc>
        <w:tc>
          <w:tcPr>
            <w:tcW w:w="4425" w:type="dxa"/>
          </w:tcPr>
          <w:p w:rsidR="00F32CCD" w:rsidRPr="00BA7C9E" w:rsidRDefault="00F32CCD" w:rsidP="00F32CCD">
            <w:r w:rsidRPr="00BA7C9E">
              <w:t>Ledamot i Livsmedelsverkets insynsråd</w:t>
            </w:r>
          </w:p>
        </w:tc>
      </w:tr>
      <w:tr w:rsidR="00F32CCD" w:rsidRPr="00BA7C9E" w:rsidTr="00F32CCD">
        <w:tc>
          <w:tcPr>
            <w:tcW w:w="2518" w:type="dxa"/>
          </w:tcPr>
          <w:p w:rsidR="00F32CCD" w:rsidRPr="00BA7C9E" w:rsidRDefault="00F32CCD" w:rsidP="00F32CCD">
            <w:r w:rsidRPr="00BA7C9E">
              <w:t>Tommy Waidelich</w:t>
            </w:r>
          </w:p>
          <w:p w:rsidR="00F32CCD" w:rsidRPr="00BA7C9E" w:rsidRDefault="00F32CCD" w:rsidP="00F32CCD">
            <w:pPr>
              <w:keepNext/>
              <w:spacing w:line="240" w:lineRule="auto"/>
            </w:pPr>
            <w:r w:rsidRPr="00BA7C9E">
              <w:rPr>
                <w:i/>
                <w:sz w:val="15"/>
                <w:szCs w:val="15"/>
              </w:rPr>
              <w:t>(2011-01-01–2011-05-04)</w:t>
            </w:r>
          </w:p>
        </w:tc>
        <w:tc>
          <w:tcPr>
            <w:tcW w:w="4425" w:type="dxa"/>
          </w:tcPr>
          <w:p w:rsidR="00F32CCD" w:rsidRPr="00BA7C9E" w:rsidRDefault="00F32CCD" w:rsidP="00F32CCD">
            <w:r w:rsidRPr="00BA7C9E">
              <w:t>Suppleant i Riksbanksfullmäktige</w:t>
            </w:r>
          </w:p>
        </w:tc>
      </w:tr>
    </w:tbl>
    <w:p w:rsidR="00F32CCD" w:rsidRPr="00BA7C9E" w:rsidRDefault="00F32CCD" w:rsidP="00F32CCD">
      <w:pPr>
        <w:spacing w:before="0"/>
        <w:ind w:firstLine="227"/>
      </w:pPr>
    </w:p>
    <w:p w:rsidR="00F32CCD" w:rsidRPr="00BA7C9E" w:rsidRDefault="00F32CCD" w:rsidP="002F1DC1">
      <w:pPr>
        <w:pStyle w:val="R4"/>
      </w:pPr>
      <w:r w:rsidRPr="00BA7C9E">
        <w:t>Ersättningar och förmåner som betalats ut under 2011</w:t>
      </w:r>
    </w:p>
    <w:p w:rsidR="00F32CCD" w:rsidRPr="00BA7C9E" w:rsidRDefault="00F32CCD" w:rsidP="00F32CCD">
      <w:pPr>
        <w:keepNext/>
      </w:pPr>
      <w:r w:rsidRPr="00BA7C9E">
        <w:t>(kronor)</w:t>
      </w:r>
    </w:p>
    <w:p w:rsidR="00F32CCD" w:rsidRPr="00BA7C9E" w:rsidRDefault="00F32CCD" w:rsidP="00F32CCD">
      <w:pPr>
        <w:keepNext/>
        <w:rPr>
          <w:sz w:val="14"/>
          <w:szCs w:val="14"/>
        </w:rPr>
      </w:pPr>
      <w:r w:rsidRPr="00BA7C9E">
        <w:rPr>
          <w:sz w:val="14"/>
          <w:szCs w:val="14"/>
        </w:rPr>
        <w:t>RIKSREVISORER</w:t>
      </w:r>
    </w:p>
    <w:tbl>
      <w:tblPr>
        <w:tblW w:w="0" w:type="auto"/>
        <w:tblLook w:val="04A0" w:firstRow="1" w:lastRow="0" w:firstColumn="1" w:lastColumn="0" w:noHBand="0" w:noVBand="1"/>
      </w:tblPr>
      <w:tblGrid>
        <w:gridCol w:w="2376"/>
        <w:gridCol w:w="1701"/>
      </w:tblGrid>
      <w:tr w:rsidR="00F32CCD" w:rsidRPr="00BA7C9E" w:rsidTr="00F32CCD">
        <w:trPr>
          <w:trHeight w:val="170"/>
        </w:trPr>
        <w:tc>
          <w:tcPr>
            <w:tcW w:w="2376" w:type="dxa"/>
          </w:tcPr>
          <w:p w:rsidR="00F32CCD" w:rsidRPr="00BA7C9E" w:rsidRDefault="00F32CCD" w:rsidP="00F32CCD">
            <w:pPr>
              <w:keepNext/>
              <w:tabs>
                <w:tab w:val="left" w:pos="1671"/>
              </w:tabs>
              <w:spacing w:line="240" w:lineRule="auto"/>
              <w:rPr>
                <w:szCs w:val="19"/>
              </w:rPr>
            </w:pPr>
            <w:r w:rsidRPr="00BA7C9E">
              <w:rPr>
                <w:szCs w:val="19"/>
              </w:rPr>
              <w:t>Claes Norgren</w:t>
            </w:r>
          </w:p>
        </w:tc>
        <w:tc>
          <w:tcPr>
            <w:tcW w:w="1701" w:type="dxa"/>
          </w:tcPr>
          <w:p w:rsidR="00F32CCD" w:rsidRPr="00BA7C9E" w:rsidRDefault="00F32CCD" w:rsidP="00F32CCD">
            <w:pPr>
              <w:keepNext/>
              <w:spacing w:line="240" w:lineRule="auto"/>
              <w:jc w:val="right"/>
              <w:rPr>
                <w:szCs w:val="19"/>
              </w:rPr>
            </w:pPr>
            <w:r w:rsidRPr="00BA7C9E">
              <w:rPr>
                <w:szCs w:val="19"/>
              </w:rPr>
              <w:t>1 502 427</w:t>
            </w:r>
          </w:p>
        </w:tc>
      </w:tr>
      <w:tr w:rsidR="00F32CCD" w:rsidRPr="00BA7C9E" w:rsidTr="00F32CCD">
        <w:trPr>
          <w:trHeight w:val="170"/>
        </w:trPr>
        <w:tc>
          <w:tcPr>
            <w:tcW w:w="2376" w:type="dxa"/>
          </w:tcPr>
          <w:p w:rsidR="00F32CCD" w:rsidRPr="00BA7C9E" w:rsidRDefault="00F32CCD" w:rsidP="00F32CCD">
            <w:pPr>
              <w:keepNext/>
              <w:tabs>
                <w:tab w:val="left" w:pos="1671"/>
              </w:tabs>
              <w:spacing w:line="240" w:lineRule="auto"/>
              <w:rPr>
                <w:szCs w:val="19"/>
              </w:rPr>
            </w:pPr>
            <w:r w:rsidRPr="00BA7C9E">
              <w:rPr>
                <w:szCs w:val="19"/>
              </w:rPr>
              <w:t>Gudrun Antemar</w:t>
            </w:r>
          </w:p>
        </w:tc>
        <w:tc>
          <w:tcPr>
            <w:tcW w:w="1701" w:type="dxa"/>
          </w:tcPr>
          <w:p w:rsidR="00F32CCD" w:rsidRPr="00BA7C9E" w:rsidRDefault="00F32CCD" w:rsidP="00F32CCD">
            <w:pPr>
              <w:keepNext/>
              <w:spacing w:line="240" w:lineRule="auto"/>
              <w:jc w:val="right"/>
              <w:rPr>
                <w:szCs w:val="19"/>
              </w:rPr>
            </w:pPr>
            <w:r w:rsidRPr="00BA7C9E">
              <w:rPr>
                <w:szCs w:val="19"/>
              </w:rPr>
              <w:t xml:space="preserve">   1 408 617</w:t>
            </w:r>
          </w:p>
        </w:tc>
      </w:tr>
      <w:tr w:rsidR="00F32CCD" w:rsidRPr="00BA7C9E" w:rsidTr="00F32CCD">
        <w:trPr>
          <w:trHeight w:val="170"/>
        </w:trPr>
        <w:tc>
          <w:tcPr>
            <w:tcW w:w="2376" w:type="dxa"/>
          </w:tcPr>
          <w:p w:rsidR="00F32CCD" w:rsidRPr="00BA7C9E" w:rsidRDefault="00F32CCD" w:rsidP="00F32CCD">
            <w:pPr>
              <w:keepNext/>
              <w:tabs>
                <w:tab w:val="left" w:pos="1671"/>
              </w:tabs>
              <w:spacing w:line="240" w:lineRule="auto"/>
              <w:rPr>
                <w:szCs w:val="19"/>
              </w:rPr>
            </w:pPr>
            <w:r w:rsidRPr="00BA7C9E">
              <w:rPr>
                <w:szCs w:val="19"/>
              </w:rPr>
              <w:t>Jan Landahl</w:t>
            </w:r>
          </w:p>
        </w:tc>
        <w:tc>
          <w:tcPr>
            <w:tcW w:w="1701" w:type="dxa"/>
          </w:tcPr>
          <w:p w:rsidR="00F32CCD" w:rsidRPr="00BA7C9E" w:rsidRDefault="00F32CCD" w:rsidP="00F32CCD">
            <w:pPr>
              <w:keepNext/>
              <w:spacing w:line="240" w:lineRule="auto"/>
              <w:jc w:val="right"/>
              <w:rPr>
                <w:szCs w:val="19"/>
              </w:rPr>
            </w:pPr>
            <w:r w:rsidRPr="00BA7C9E">
              <w:rPr>
                <w:szCs w:val="19"/>
              </w:rPr>
              <w:t>1 415 171</w:t>
            </w:r>
          </w:p>
        </w:tc>
      </w:tr>
      <w:tr w:rsidR="00F32CCD" w:rsidRPr="00BA7C9E" w:rsidTr="00F32CCD">
        <w:trPr>
          <w:trHeight w:val="170"/>
        </w:trPr>
        <w:tc>
          <w:tcPr>
            <w:tcW w:w="2376" w:type="dxa"/>
          </w:tcPr>
          <w:p w:rsidR="00F32CCD" w:rsidRPr="00BA7C9E" w:rsidRDefault="00F32CCD" w:rsidP="00F32CCD">
            <w:pPr>
              <w:keepNext/>
              <w:spacing w:line="240" w:lineRule="auto"/>
              <w:rPr>
                <w:szCs w:val="19"/>
              </w:rPr>
            </w:pPr>
          </w:p>
        </w:tc>
        <w:tc>
          <w:tcPr>
            <w:tcW w:w="1701" w:type="dxa"/>
          </w:tcPr>
          <w:p w:rsidR="00F32CCD" w:rsidRPr="00BA7C9E" w:rsidRDefault="00F32CCD" w:rsidP="00F32CCD">
            <w:pPr>
              <w:keepNext/>
              <w:spacing w:line="240" w:lineRule="auto"/>
              <w:jc w:val="right"/>
              <w:rPr>
                <w:szCs w:val="19"/>
              </w:rPr>
            </w:pPr>
          </w:p>
        </w:tc>
      </w:tr>
    </w:tbl>
    <w:p w:rsidR="00F32CCD" w:rsidRPr="00BA7C9E" w:rsidRDefault="00F32CCD" w:rsidP="000D2CA4">
      <w:pPr>
        <w:keepNext/>
        <w:spacing w:before="0"/>
        <w:rPr>
          <w:sz w:val="14"/>
          <w:szCs w:val="14"/>
        </w:rPr>
      </w:pPr>
      <w:r w:rsidRPr="00BA7C9E">
        <w:rPr>
          <w:sz w:val="14"/>
          <w:szCs w:val="14"/>
        </w:rPr>
        <w:t>LEDAMÖTER I DET PARLAMENTARISKA RÅDET</w:t>
      </w:r>
    </w:p>
    <w:tbl>
      <w:tblPr>
        <w:tblW w:w="5778" w:type="dxa"/>
        <w:tblLook w:val="04A0" w:firstRow="1" w:lastRow="0" w:firstColumn="1" w:lastColumn="0" w:noHBand="0" w:noVBand="1"/>
      </w:tblPr>
      <w:tblGrid>
        <w:gridCol w:w="2376"/>
        <w:gridCol w:w="1701"/>
        <w:gridCol w:w="1701"/>
      </w:tblGrid>
      <w:tr w:rsidR="00F32CCD" w:rsidRPr="00BA7C9E" w:rsidTr="00F32CCD">
        <w:trPr>
          <w:trHeight w:val="142"/>
        </w:trPr>
        <w:tc>
          <w:tcPr>
            <w:tcW w:w="2376" w:type="dxa"/>
          </w:tcPr>
          <w:p w:rsidR="00F32CCD" w:rsidRPr="00BA7C9E" w:rsidRDefault="00F32CCD" w:rsidP="00D75012">
            <w:pPr>
              <w:keepNext/>
              <w:spacing w:line="240" w:lineRule="auto"/>
              <w:rPr>
                <w:sz w:val="18"/>
                <w:szCs w:val="18"/>
              </w:rPr>
            </w:pPr>
            <w:r w:rsidRPr="00BA7C9E">
              <w:rPr>
                <w:sz w:val="18"/>
                <w:szCs w:val="18"/>
              </w:rPr>
              <w:t>Billy Gustafsson</w:t>
            </w:r>
          </w:p>
        </w:tc>
        <w:tc>
          <w:tcPr>
            <w:tcW w:w="1701" w:type="dxa"/>
          </w:tcPr>
          <w:p w:rsidR="00F32CCD" w:rsidRPr="00BA7C9E" w:rsidRDefault="00F32CCD" w:rsidP="00D75012">
            <w:pPr>
              <w:keepNext/>
              <w:spacing w:line="240" w:lineRule="auto"/>
              <w:jc w:val="right"/>
              <w:rPr>
                <w:sz w:val="18"/>
                <w:szCs w:val="18"/>
              </w:rPr>
            </w:pPr>
            <w:r w:rsidRPr="00BA7C9E">
              <w:rPr>
                <w:sz w:val="18"/>
                <w:szCs w:val="18"/>
              </w:rPr>
              <w:t>33 260</w:t>
            </w:r>
          </w:p>
        </w:tc>
        <w:tc>
          <w:tcPr>
            <w:tcW w:w="1701" w:type="dxa"/>
          </w:tcPr>
          <w:p w:rsidR="00F32CCD" w:rsidRPr="00BA7C9E" w:rsidRDefault="00F32CCD" w:rsidP="00D75012">
            <w:pPr>
              <w:keepNext/>
              <w:spacing w:line="240" w:lineRule="auto"/>
              <w:rPr>
                <w:i/>
                <w:sz w:val="15"/>
                <w:szCs w:val="15"/>
              </w:rPr>
            </w:pPr>
            <w:r w:rsidRPr="00BA7C9E">
              <w:rPr>
                <w:i/>
                <w:sz w:val="15"/>
                <w:szCs w:val="15"/>
              </w:rPr>
              <w:t xml:space="preserve"> från 2011-05-06</w:t>
            </w: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Tommy Waidelich</w:t>
            </w:r>
          </w:p>
        </w:tc>
        <w:tc>
          <w:tcPr>
            <w:tcW w:w="1701" w:type="dxa"/>
          </w:tcPr>
          <w:p w:rsidR="00F32CCD" w:rsidRPr="00BA7C9E" w:rsidRDefault="00F32CCD" w:rsidP="00D75012">
            <w:pPr>
              <w:keepNext/>
              <w:spacing w:line="240" w:lineRule="auto"/>
              <w:jc w:val="right"/>
              <w:rPr>
                <w:sz w:val="18"/>
                <w:szCs w:val="18"/>
              </w:rPr>
            </w:pPr>
            <w:r w:rsidRPr="00BA7C9E">
              <w:rPr>
                <w:sz w:val="18"/>
                <w:szCs w:val="18"/>
              </w:rPr>
              <w:t>17 150</w:t>
            </w:r>
          </w:p>
        </w:tc>
        <w:tc>
          <w:tcPr>
            <w:tcW w:w="1701" w:type="dxa"/>
          </w:tcPr>
          <w:p w:rsidR="00F32CCD" w:rsidRPr="00BA7C9E" w:rsidRDefault="00F32CCD" w:rsidP="00D75012">
            <w:pPr>
              <w:keepNext/>
              <w:spacing w:line="240" w:lineRule="auto"/>
              <w:jc w:val="right"/>
              <w:rPr>
                <w:i/>
                <w:sz w:val="15"/>
                <w:szCs w:val="15"/>
              </w:rPr>
            </w:pPr>
            <w:r w:rsidRPr="00BA7C9E">
              <w:rPr>
                <w:i/>
                <w:sz w:val="15"/>
                <w:szCs w:val="15"/>
              </w:rPr>
              <w:t>2011-01-01-2011-05-04</w:t>
            </w: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Elisabeth Svantesson</w:t>
            </w:r>
          </w:p>
        </w:tc>
        <w:tc>
          <w:tcPr>
            <w:tcW w:w="1701" w:type="dxa"/>
          </w:tcPr>
          <w:p w:rsidR="00F32CCD" w:rsidRPr="00BA7C9E" w:rsidRDefault="00F32CCD" w:rsidP="00D75012">
            <w:pPr>
              <w:keepNext/>
              <w:spacing w:line="240" w:lineRule="auto"/>
              <w:jc w:val="right"/>
              <w:rPr>
                <w:sz w:val="18"/>
                <w:szCs w:val="18"/>
              </w:rPr>
            </w:pPr>
            <w:r w:rsidRPr="00BA7C9E">
              <w:rPr>
                <w:sz w:val="18"/>
                <w:szCs w:val="18"/>
              </w:rPr>
              <w:t>14 880</w:t>
            </w: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Ulf Holm</w:t>
            </w:r>
          </w:p>
        </w:tc>
        <w:tc>
          <w:tcPr>
            <w:tcW w:w="1701" w:type="dxa"/>
          </w:tcPr>
          <w:p w:rsidR="00F32CCD" w:rsidRPr="00BA7C9E" w:rsidRDefault="00F32CCD" w:rsidP="00D75012">
            <w:pPr>
              <w:keepNext/>
              <w:spacing w:line="240" w:lineRule="auto"/>
              <w:jc w:val="right"/>
              <w:rPr>
                <w:sz w:val="18"/>
                <w:szCs w:val="18"/>
              </w:rPr>
            </w:pPr>
            <w:r w:rsidRPr="00BA7C9E">
              <w:rPr>
                <w:sz w:val="18"/>
                <w:szCs w:val="18"/>
              </w:rPr>
              <w:t>15 230</w:t>
            </w: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Gunnar Andrén</w:t>
            </w:r>
          </w:p>
        </w:tc>
        <w:tc>
          <w:tcPr>
            <w:tcW w:w="1701" w:type="dxa"/>
          </w:tcPr>
          <w:p w:rsidR="00F32CCD" w:rsidRPr="00BA7C9E" w:rsidRDefault="00F32CCD" w:rsidP="00D75012">
            <w:pPr>
              <w:keepNext/>
              <w:spacing w:line="240" w:lineRule="auto"/>
              <w:jc w:val="right"/>
              <w:rPr>
                <w:sz w:val="18"/>
                <w:szCs w:val="18"/>
              </w:rPr>
            </w:pPr>
            <w:r w:rsidRPr="00BA7C9E">
              <w:rPr>
                <w:sz w:val="18"/>
                <w:szCs w:val="18"/>
              </w:rPr>
              <w:t>15 230</w:t>
            </w: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Anders W Jonsson</w:t>
            </w:r>
          </w:p>
        </w:tc>
        <w:tc>
          <w:tcPr>
            <w:tcW w:w="1701" w:type="dxa"/>
          </w:tcPr>
          <w:p w:rsidR="00F32CCD" w:rsidRPr="00BA7C9E" w:rsidRDefault="00F32CCD" w:rsidP="00D75012">
            <w:pPr>
              <w:keepNext/>
              <w:spacing w:line="240" w:lineRule="auto"/>
              <w:jc w:val="right"/>
              <w:rPr>
                <w:sz w:val="18"/>
                <w:szCs w:val="18"/>
              </w:rPr>
            </w:pPr>
            <w:r w:rsidRPr="00BA7C9E">
              <w:rPr>
                <w:sz w:val="18"/>
                <w:szCs w:val="18"/>
              </w:rPr>
              <w:t>14 880</w:t>
            </w: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David Lång</w:t>
            </w:r>
          </w:p>
          <w:p w:rsidR="00F32CCD" w:rsidRPr="00BA7C9E" w:rsidRDefault="00F32CCD" w:rsidP="00D75012">
            <w:pPr>
              <w:keepNext/>
              <w:tabs>
                <w:tab w:val="left" w:pos="1671"/>
              </w:tabs>
              <w:spacing w:line="240" w:lineRule="auto"/>
              <w:rPr>
                <w:sz w:val="18"/>
                <w:szCs w:val="18"/>
              </w:rPr>
            </w:pPr>
          </w:p>
        </w:tc>
        <w:tc>
          <w:tcPr>
            <w:tcW w:w="1701" w:type="dxa"/>
          </w:tcPr>
          <w:p w:rsidR="00F32CCD" w:rsidRPr="00BA7C9E" w:rsidRDefault="00F32CCD" w:rsidP="00D75012">
            <w:pPr>
              <w:keepNext/>
              <w:spacing w:line="240" w:lineRule="auto"/>
              <w:jc w:val="right"/>
              <w:rPr>
                <w:sz w:val="18"/>
                <w:szCs w:val="18"/>
              </w:rPr>
            </w:pPr>
            <w:r w:rsidRPr="00BA7C9E">
              <w:rPr>
                <w:sz w:val="18"/>
                <w:szCs w:val="18"/>
              </w:rPr>
              <w:t>15 230</w:t>
            </w:r>
          </w:p>
          <w:p w:rsidR="00F32CCD" w:rsidRPr="00BA7C9E" w:rsidRDefault="00F32CCD" w:rsidP="00D75012">
            <w:pPr>
              <w:ind w:firstLine="227"/>
            </w:pP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Jacob Johnson</w:t>
            </w:r>
          </w:p>
        </w:tc>
        <w:tc>
          <w:tcPr>
            <w:tcW w:w="1701" w:type="dxa"/>
          </w:tcPr>
          <w:p w:rsidR="00F32CCD" w:rsidRPr="00BA7C9E" w:rsidRDefault="00F32CCD" w:rsidP="00D75012">
            <w:pPr>
              <w:keepNext/>
              <w:spacing w:line="240" w:lineRule="auto"/>
              <w:jc w:val="right"/>
              <w:rPr>
                <w:sz w:val="18"/>
                <w:szCs w:val="18"/>
              </w:rPr>
            </w:pPr>
            <w:r w:rsidRPr="00BA7C9E">
              <w:rPr>
                <w:sz w:val="18"/>
                <w:szCs w:val="18"/>
              </w:rPr>
              <w:t>14 880</w:t>
            </w:r>
          </w:p>
        </w:tc>
        <w:tc>
          <w:tcPr>
            <w:tcW w:w="1701" w:type="dxa"/>
          </w:tcPr>
          <w:p w:rsidR="00F32CCD" w:rsidRPr="00BA7C9E" w:rsidRDefault="00F32CCD" w:rsidP="00D75012">
            <w:pPr>
              <w:keepNext/>
              <w:spacing w:line="240" w:lineRule="auto"/>
              <w:jc w:val="right"/>
              <w:rPr>
                <w:sz w:val="18"/>
                <w:szCs w:val="18"/>
              </w:rPr>
            </w:pPr>
          </w:p>
        </w:tc>
      </w:tr>
      <w:tr w:rsidR="00F32CCD" w:rsidRPr="00BA7C9E" w:rsidTr="00F32CCD">
        <w:trPr>
          <w:trHeight w:hRule="exact" w:val="284"/>
        </w:trPr>
        <w:tc>
          <w:tcPr>
            <w:tcW w:w="2376" w:type="dxa"/>
          </w:tcPr>
          <w:p w:rsidR="00F32CCD" w:rsidRPr="00BA7C9E" w:rsidRDefault="00F32CCD" w:rsidP="00D75012">
            <w:pPr>
              <w:keepNext/>
              <w:tabs>
                <w:tab w:val="left" w:pos="1671"/>
              </w:tabs>
              <w:spacing w:line="240" w:lineRule="auto"/>
              <w:rPr>
                <w:sz w:val="18"/>
                <w:szCs w:val="18"/>
              </w:rPr>
            </w:pPr>
            <w:r w:rsidRPr="00BA7C9E">
              <w:rPr>
                <w:sz w:val="18"/>
                <w:szCs w:val="18"/>
              </w:rPr>
              <w:t>Emma Henriksson</w:t>
            </w:r>
          </w:p>
        </w:tc>
        <w:tc>
          <w:tcPr>
            <w:tcW w:w="1701" w:type="dxa"/>
          </w:tcPr>
          <w:p w:rsidR="00F32CCD" w:rsidRPr="00BA7C9E" w:rsidRDefault="00F32CCD" w:rsidP="00D75012">
            <w:pPr>
              <w:keepNext/>
              <w:spacing w:line="240" w:lineRule="auto"/>
              <w:jc w:val="right"/>
              <w:rPr>
                <w:sz w:val="18"/>
                <w:szCs w:val="18"/>
              </w:rPr>
            </w:pPr>
            <w:r w:rsidRPr="00BA7C9E">
              <w:rPr>
                <w:sz w:val="18"/>
                <w:szCs w:val="18"/>
              </w:rPr>
              <w:t>69 150</w:t>
            </w:r>
          </w:p>
        </w:tc>
        <w:tc>
          <w:tcPr>
            <w:tcW w:w="1701" w:type="dxa"/>
          </w:tcPr>
          <w:p w:rsidR="00F32CCD" w:rsidRPr="00BA7C9E" w:rsidRDefault="00F32CCD" w:rsidP="00D75012">
            <w:pPr>
              <w:keepNext/>
              <w:spacing w:line="240" w:lineRule="auto"/>
              <w:jc w:val="right"/>
              <w:rPr>
                <w:sz w:val="18"/>
                <w:szCs w:val="18"/>
              </w:rPr>
            </w:pPr>
          </w:p>
        </w:tc>
      </w:tr>
    </w:tbl>
    <w:p w:rsidR="00F32CCD" w:rsidRPr="00BA7C9E" w:rsidRDefault="00F32CCD" w:rsidP="002F1DC1">
      <w:pPr>
        <w:pStyle w:val="Rubrik2"/>
      </w:pPr>
      <w:bookmarkStart w:id="147" w:name="_Toc284579700"/>
      <w:bookmarkStart w:id="148" w:name="_Toc285705866"/>
      <w:bookmarkStart w:id="149" w:name="_Toc318101654"/>
      <w:r w:rsidRPr="00BA7C9E">
        <w:t>Framtida åtaganden</w:t>
      </w:r>
      <w:bookmarkEnd w:id="147"/>
      <w:bookmarkEnd w:id="148"/>
      <w:bookmarkEnd w:id="149"/>
    </w:p>
    <w:p w:rsidR="00F32CCD" w:rsidRPr="00BA7C9E" w:rsidRDefault="00F32CCD" w:rsidP="00F32CCD">
      <w:pPr>
        <w:keepNext/>
      </w:pPr>
      <w:r w:rsidRPr="00BA7C9E">
        <w:t>Tidigare riksrevisor Eva Lindström fullgjorde sitt sjuårsförordnande under 2010 och är därefter berättigad till hel chefspension. Denna chefspension föranleder ett framtida ekonomiskt åtagande för Riksrevisionen som maximalt sträcker sig över perioden 2012 – 2022. Riksrevisionen bedömer att det är möjligt att prognostisera åtagandet ett år i taget. Denna del redovisas som en avsättning. Den resterande delen, där sannolikheten för och storleken på antagandet är svårbedömt, redovisas som ansvarsförbindelse. Ansvarsförbi</w:t>
      </w:r>
      <w:r w:rsidRPr="00BA7C9E">
        <w:t>n</w:t>
      </w:r>
      <w:r w:rsidRPr="00BA7C9E">
        <w:t xml:space="preserve">delsen upphör om en pensionerad riksrevisor får en ny anställning. </w:t>
      </w:r>
    </w:p>
    <w:p w:rsidR="00F32CCD" w:rsidRPr="00BA7C9E" w:rsidRDefault="00F32CCD" w:rsidP="00E43D1F">
      <w:pPr>
        <w:pStyle w:val="Normaltindrag"/>
      </w:pPr>
      <w:r w:rsidRPr="00BA7C9E">
        <w:t>För anställning som riksrevisor gäller i övrigt förordningarna (1991:1160, 1995:1038 och 2003:55) om statliga chefspensioner, vilka antagits av riksd</w:t>
      </w:r>
      <w:r w:rsidRPr="00BA7C9E">
        <w:t>a</w:t>
      </w:r>
      <w:r w:rsidRPr="00BA7C9E">
        <w:t>gens förvaltningsstyrelse för tillämpning inom riksdagen och dess myndigh</w:t>
      </w:r>
      <w:r w:rsidRPr="00BA7C9E">
        <w:t>e</w:t>
      </w:r>
      <w:r w:rsidRPr="00BA7C9E">
        <w:t>ter (RFS 1996:4). Rätten till hel chefspension uppnås efter en förordnandep</w:t>
      </w:r>
      <w:r w:rsidRPr="00BA7C9E">
        <w:t>e</w:t>
      </w:r>
      <w:r w:rsidRPr="00BA7C9E">
        <w:t>riod på sju år.</w:t>
      </w:r>
    </w:p>
    <w:p w:rsidR="00F32CCD" w:rsidRPr="00BA7C9E" w:rsidRDefault="00F32CCD" w:rsidP="00F32CCD"/>
    <w:p w:rsidR="00162449" w:rsidRPr="00BA7C9E" w:rsidRDefault="00162449" w:rsidP="00867737">
      <w:pPr>
        <w:pStyle w:val="Normaltindrag"/>
      </w:pPr>
    </w:p>
    <w:p w:rsidR="00162449" w:rsidRPr="00BA7C9E" w:rsidRDefault="00162449" w:rsidP="00162449">
      <w:pPr>
        <w:pStyle w:val="Tryckort"/>
        <w:framePr w:wrap="around"/>
      </w:pPr>
      <w:r w:rsidRPr="00BA7C9E">
        <w:t>Elanders Gotab, Stockholm  2012</w:t>
      </w:r>
    </w:p>
    <w:p w:rsidR="00867737" w:rsidRPr="00BA7C9E" w:rsidRDefault="00867737" w:rsidP="00867737">
      <w:pPr>
        <w:pStyle w:val="Normaltindrag"/>
      </w:pPr>
    </w:p>
    <w:sectPr w:rsidR="00867737" w:rsidRPr="00BA7C9E" w:rsidSect="00F32CCD">
      <w:headerReference w:type="even" r:id="rId65"/>
      <w:headerReference w:type="default" r:id="rId66"/>
      <w:footerReference w:type="even" r:id="rId67"/>
      <w:footerReference w:type="default" r:id="rId68"/>
      <w:headerReference w:type="first" r:id="rId69"/>
      <w:footerReference w:type="first" r:id="rId7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BD2" w:rsidRPr="00BA7C9E" w:rsidRDefault="00BF4BD2">
      <w:pPr>
        <w:spacing w:before="0" w:line="240" w:lineRule="auto"/>
      </w:pPr>
      <w:r w:rsidRPr="00BA7C9E">
        <w:separator/>
      </w:r>
    </w:p>
  </w:endnote>
  <w:endnote w:type="continuationSeparator" w:id="0">
    <w:p w:rsidR="00BF4BD2" w:rsidRPr="00BA7C9E" w:rsidRDefault="00BF4BD2">
      <w:pPr>
        <w:spacing w:before="0" w:line="240" w:lineRule="auto"/>
      </w:pPr>
      <w:r w:rsidRPr="00BA7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OALF H+ Stempel Garamon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4</w:t>
    </w:r>
    <w:r w:rsidRPr="00BA7C9E">
      <w:fldChar w:fldCharType="end"/>
    </w:r>
  </w:p>
  <w:p w:rsidR="00162449" w:rsidRPr="00BA7C9E" w:rsidRDefault="001624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C9691D">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4</w:instrText>
    </w:r>
    <w:r w:rsidRPr="00BA7C9E">
      <w:fldChar w:fldCharType="end"/>
    </w:r>
    <w:r w:rsidRPr="00BA7C9E">
      <w:instrText xml:space="preserve">/2 </w:instrText>
    </w:r>
    <w:r w:rsidRPr="00BA7C9E">
      <w:fldChar w:fldCharType="separate"/>
    </w:r>
    <w:r w:rsidR="006673DD" w:rsidRPr="00BA7C9E">
      <w:instrText>2</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4</w:instrText>
    </w:r>
    <w:r w:rsidRPr="00BA7C9E">
      <w:fldChar w:fldCharType="end"/>
    </w:r>
    <w:r w:rsidRPr="00BA7C9E">
      <w:instrText xml:space="preserve">/2) </w:instrText>
    </w:r>
    <w:r w:rsidRPr="00BA7C9E">
      <w:fldChar w:fldCharType="separate"/>
    </w:r>
    <w:r w:rsidR="006673DD" w:rsidRPr="00BA7C9E">
      <w:instrText>2</w:instrText>
    </w:r>
    <w:r w:rsidRPr="00BA7C9E">
      <w:fldChar w:fldCharType="end"/>
    </w:r>
    <w:r w:rsidRPr="00BA7C9E">
      <w:fldChar w:fldCharType="separate"/>
    </w:r>
    <w:r w:rsidR="006673DD" w:rsidRPr="00BA7C9E">
      <w:instrText>0</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006673DD" w:rsidRPr="00BA7C9E">
      <w:instrText>4</w:instrText>
    </w:r>
    <w:r w:rsidRPr="00BA7C9E">
      <w:fldChar w:fldCharType="end"/>
    </w:r>
  </w:p>
  <w:p w:rsidR="006673DD" w:rsidRPr="00BA7C9E" w:rsidRDefault="00162449" w:rsidP="00C9691D">
    <w:pPr>
      <w:pStyle w:val="SidfotV"/>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Pr="00BA7C9E">
      <w:instrText>5</w:instrText>
    </w:r>
    <w:r w:rsidRPr="00BA7C9E">
      <w:fldChar w:fldCharType="end"/>
    </w:r>
    <w:r w:rsidRPr="00BA7C9E">
      <w:instrText>"</w:instrText>
    </w:r>
    <w:r w:rsidRPr="00BA7C9E">
      <w:fldChar w:fldCharType="separate"/>
    </w:r>
    <w:r w:rsidR="006673DD" w:rsidRPr="00BA7C9E">
      <w:t>4</w:t>
    </w:r>
  </w:p>
  <w:p w:rsidR="00162449" w:rsidRPr="00BA7C9E" w:rsidRDefault="00162449" w:rsidP="00C9691D">
    <w:pPr>
      <w:pStyle w:val="SidfotH"/>
      <w:framePr w:w="8732" w:h="284" w:hRule="exact" w:hSpace="0" w:vSpace="0" w:wrap="around" w:xAlign="inside" w:y="13042" w:anchorLock="0"/>
    </w:pPr>
    <w:r w:rsidRPr="00BA7C9E">
      <w:fldChar w:fldCharType="end"/>
    </w:r>
  </w:p>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4</w:instrText>
    </w:r>
    <w:r w:rsidRPr="00BA7C9E">
      <w:fldChar w:fldCharType="end"/>
    </w:r>
    <w:r w:rsidRPr="00BA7C9E">
      <w:instrText xml:space="preserve">/2 </w:instrText>
    </w:r>
    <w:r w:rsidRPr="00BA7C9E">
      <w:fldChar w:fldCharType="separate"/>
    </w:r>
    <w:r w:rsidR="006673DD" w:rsidRPr="00BA7C9E">
      <w:instrText>2</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4</w:instrText>
    </w:r>
    <w:r w:rsidRPr="00BA7C9E">
      <w:fldChar w:fldCharType="end"/>
    </w:r>
    <w:r w:rsidRPr="00BA7C9E">
      <w:instrText xml:space="preserve">/2) </w:instrText>
    </w:r>
    <w:r w:rsidRPr="00BA7C9E">
      <w:fldChar w:fldCharType="separate"/>
    </w:r>
    <w:r w:rsidR="006673DD" w:rsidRPr="00BA7C9E">
      <w:instrText>2</w:instrText>
    </w:r>
    <w:r w:rsidRPr="00BA7C9E">
      <w:fldChar w:fldCharType="end"/>
    </w:r>
    <w:r w:rsidRPr="00BA7C9E">
      <w:fldChar w:fldCharType="separate"/>
    </w:r>
    <w:r w:rsidR="006673DD" w:rsidRPr="00BA7C9E">
      <w:instrText>0</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006673DD" w:rsidRPr="00BA7C9E">
      <w:instrText>4</w:instrText>
    </w:r>
    <w:r w:rsidRPr="00BA7C9E">
      <w:fldChar w:fldCharType="end"/>
    </w:r>
  </w:p>
  <w:p w:rsidR="006673DD" w:rsidRPr="00BA7C9E" w:rsidRDefault="00162449">
    <w:pPr>
      <w:pStyle w:val="SidfotV"/>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Pr="00BA7C9E">
      <w:instrText>5</w:instrText>
    </w:r>
    <w:r w:rsidRPr="00BA7C9E">
      <w:fldChar w:fldCharType="end"/>
    </w:r>
    <w:r w:rsidRPr="00BA7C9E">
      <w:instrText>"</w:instrText>
    </w:r>
    <w:r w:rsidRPr="00BA7C9E">
      <w:fldChar w:fldCharType="separate"/>
    </w:r>
    <w:r w:rsidR="006673DD" w:rsidRPr="00BA7C9E">
      <w:t>4</w:t>
    </w:r>
  </w:p>
  <w:p w:rsidR="00162449" w:rsidRPr="00BA7C9E" w:rsidRDefault="00162449">
    <w:pPr>
      <w:pStyle w:val="SidfotH"/>
      <w:framePr w:w="8732" w:h="284" w:hRule="exact" w:hSpace="0" w:vSpace="0" w:wrap="around" w:xAlign="inside" w:y="13042" w:anchorLock="0"/>
    </w:pPr>
    <w:r w:rsidRPr="00BA7C9E">
      <w:fldChar w:fldCharType="end"/>
    </w:r>
  </w:p>
  <w:p w:rsidR="00162449" w:rsidRPr="00BA7C9E" w:rsidRDefault="001624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006673DD" w:rsidRPr="00BA7C9E">
      <w:t>42</w:t>
    </w:r>
    <w:r w:rsidRPr="00BA7C9E">
      <w:fldChar w:fldCharType="end"/>
    </w:r>
  </w:p>
  <w:p w:rsidR="00162449" w:rsidRPr="00BA7C9E" w:rsidRDefault="001624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006673DD" w:rsidRPr="00BA7C9E">
      <w:t>41</w:t>
    </w:r>
    <w:r w:rsidRPr="00BA7C9E">
      <w:fldChar w:fldCharType="end"/>
    </w:r>
  </w:p>
  <w:p w:rsidR="00162449" w:rsidRPr="00BA7C9E" w:rsidRDefault="001624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6</w:instrText>
    </w:r>
    <w:r w:rsidRPr="00BA7C9E">
      <w:fldChar w:fldCharType="end"/>
    </w:r>
    <w:r w:rsidRPr="00BA7C9E">
      <w:instrText xml:space="preserve">/2 </w:instrText>
    </w:r>
    <w:r w:rsidRPr="00BA7C9E">
      <w:fldChar w:fldCharType="separate"/>
    </w:r>
    <w:r w:rsidR="006673DD" w:rsidRPr="00BA7C9E">
      <w:instrText>3</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6</w:instrText>
    </w:r>
    <w:r w:rsidRPr="00BA7C9E">
      <w:fldChar w:fldCharType="end"/>
    </w:r>
    <w:r w:rsidRPr="00BA7C9E">
      <w:instrText xml:space="preserve">/2) </w:instrText>
    </w:r>
    <w:r w:rsidRPr="00BA7C9E">
      <w:fldChar w:fldCharType="separate"/>
    </w:r>
    <w:r w:rsidR="006673DD" w:rsidRPr="00BA7C9E">
      <w:instrText>3</w:instrText>
    </w:r>
    <w:r w:rsidRPr="00BA7C9E">
      <w:fldChar w:fldCharType="end"/>
    </w:r>
    <w:r w:rsidRPr="00BA7C9E">
      <w:fldChar w:fldCharType="separate"/>
    </w:r>
    <w:r w:rsidR="006673DD" w:rsidRPr="00BA7C9E">
      <w:instrText>0</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006673DD" w:rsidRPr="00BA7C9E">
      <w:instrText>6</w:instrText>
    </w:r>
    <w:r w:rsidRPr="00BA7C9E">
      <w:fldChar w:fldCharType="end"/>
    </w:r>
  </w:p>
  <w:p w:rsidR="006673DD" w:rsidRPr="00BA7C9E" w:rsidRDefault="00162449">
    <w:pPr>
      <w:pStyle w:val="SidfotV"/>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Pr="00BA7C9E">
      <w:instrText>7</w:instrText>
    </w:r>
    <w:r w:rsidRPr="00BA7C9E">
      <w:fldChar w:fldCharType="end"/>
    </w:r>
    <w:r w:rsidRPr="00BA7C9E">
      <w:instrText>"</w:instrText>
    </w:r>
    <w:r w:rsidRPr="00BA7C9E">
      <w:fldChar w:fldCharType="separate"/>
    </w:r>
    <w:r w:rsidR="006673DD" w:rsidRPr="00BA7C9E">
      <w:t>6</w:t>
    </w:r>
  </w:p>
  <w:p w:rsidR="00162449" w:rsidRPr="00BA7C9E" w:rsidRDefault="00162449">
    <w:pPr>
      <w:pStyle w:val="SidfotH"/>
      <w:framePr w:w="8732" w:h="284" w:hRule="exact" w:hSpace="0" w:vSpace="0" w:wrap="around" w:xAlign="inside" w:y="13042" w:anchorLock="0"/>
    </w:pPr>
    <w:r w:rsidRPr="00BA7C9E">
      <w:fldChar w:fldCharType="end"/>
    </w:r>
  </w:p>
  <w:p w:rsidR="00162449" w:rsidRPr="00BA7C9E" w:rsidRDefault="001624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48</w:t>
    </w:r>
    <w:r w:rsidRPr="00BA7C9E">
      <w:fldChar w:fldCharType="end"/>
    </w:r>
  </w:p>
  <w:p w:rsidR="00162449" w:rsidRPr="00BA7C9E" w:rsidRDefault="001624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49</w:t>
    </w:r>
    <w:r w:rsidRPr="00BA7C9E">
      <w:fldChar w:fldCharType="end"/>
    </w:r>
  </w:p>
  <w:p w:rsidR="00162449" w:rsidRPr="00BA7C9E" w:rsidRDefault="001624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43</w:instrText>
    </w:r>
    <w:r w:rsidRPr="00BA7C9E">
      <w:fldChar w:fldCharType="end"/>
    </w:r>
    <w:r w:rsidRPr="00BA7C9E">
      <w:instrText xml:space="preserve">/2 </w:instrText>
    </w:r>
    <w:r w:rsidRPr="00BA7C9E">
      <w:fldChar w:fldCharType="separate"/>
    </w:r>
    <w:r w:rsidR="006673DD" w:rsidRPr="00BA7C9E">
      <w:instrText>21,5</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43</w:instrText>
    </w:r>
    <w:r w:rsidRPr="00BA7C9E">
      <w:fldChar w:fldCharType="end"/>
    </w:r>
    <w:r w:rsidRPr="00BA7C9E">
      <w:instrText xml:space="preserve">/2) </w:instrText>
    </w:r>
    <w:r w:rsidRPr="00BA7C9E">
      <w:fldChar w:fldCharType="separate"/>
    </w:r>
    <w:r w:rsidR="006673DD" w:rsidRPr="00BA7C9E">
      <w:instrText>21</w:instrText>
    </w:r>
    <w:r w:rsidRPr="00BA7C9E">
      <w:fldChar w:fldCharType="end"/>
    </w:r>
    <w:r w:rsidRPr="00BA7C9E">
      <w:fldChar w:fldCharType="separate"/>
    </w:r>
    <w:r w:rsidR="006673DD" w:rsidRPr="00BA7C9E">
      <w:instrText>0,5</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Pr="00BA7C9E">
      <w:instrText>44</w:instrText>
    </w:r>
    <w:r w:rsidRPr="00BA7C9E">
      <w:fldChar w:fldCharType="end"/>
    </w:r>
  </w:p>
  <w:p w:rsidR="00162449" w:rsidRPr="00BA7C9E" w:rsidRDefault="00162449">
    <w:pPr>
      <w:pStyle w:val="SidfotH"/>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006673DD" w:rsidRPr="00BA7C9E">
      <w:instrText>43</w:instrText>
    </w:r>
    <w:r w:rsidRPr="00BA7C9E">
      <w:fldChar w:fldCharType="end"/>
    </w:r>
    <w:r w:rsidRPr="00BA7C9E">
      <w:instrText>"</w:instrText>
    </w:r>
    <w:r w:rsidRPr="00BA7C9E">
      <w:fldChar w:fldCharType="separate"/>
    </w:r>
    <w:r w:rsidR="006673DD" w:rsidRPr="00BA7C9E">
      <w:t>43</w:t>
    </w:r>
    <w:r w:rsidRPr="00BA7C9E">
      <w:fldChar w:fldCharType="end"/>
    </w:r>
  </w:p>
  <w:p w:rsidR="00162449" w:rsidRPr="00BA7C9E" w:rsidRDefault="001624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006673DD" w:rsidRPr="00BA7C9E">
      <w:t>56</w:t>
    </w:r>
    <w:r w:rsidRPr="00BA7C9E">
      <w:fldChar w:fldCharType="end"/>
    </w:r>
  </w:p>
  <w:p w:rsidR="00162449" w:rsidRPr="00BA7C9E" w:rsidRDefault="001624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006673DD" w:rsidRPr="00BA7C9E">
      <w:t>57</w:t>
    </w:r>
    <w:r w:rsidRPr="00BA7C9E">
      <w:fldChar w:fldCharType="end"/>
    </w:r>
  </w:p>
  <w:p w:rsidR="00162449" w:rsidRPr="00BA7C9E" w:rsidRDefault="001624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44</w:instrText>
    </w:r>
    <w:r w:rsidRPr="00BA7C9E">
      <w:fldChar w:fldCharType="end"/>
    </w:r>
    <w:r w:rsidRPr="00BA7C9E">
      <w:instrText xml:space="preserve">/2 </w:instrText>
    </w:r>
    <w:r w:rsidRPr="00BA7C9E">
      <w:fldChar w:fldCharType="separate"/>
    </w:r>
    <w:r w:rsidR="006673DD" w:rsidRPr="00BA7C9E">
      <w:instrText>22</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44</w:instrText>
    </w:r>
    <w:r w:rsidRPr="00BA7C9E">
      <w:fldChar w:fldCharType="end"/>
    </w:r>
    <w:r w:rsidRPr="00BA7C9E">
      <w:instrText xml:space="preserve">/2) </w:instrText>
    </w:r>
    <w:r w:rsidRPr="00BA7C9E">
      <w:fldChar w:fldCharType="separate"/>
    </w:r>
    <w:r w:rsidR="006673DD" w:rsidRPr="00BA7C9E">
      <w:instrText>22</w:instrText>
    </w:r>
    <w:r w:rsidRPr="00BA7C9E">
      <w:fldChar w:fldCharType="end"/>
    </w:r>
    <w:r w:rsidRPr="00BA7C9E">
      <w:fldChar w:fldCharType="separate"/>
    </w:r>
    <w:r w:rsidR="006673DD" w:rsidRPr="00BA7C9E">
      <w:instrText>0</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006673DD" w:rsidRPr="00BA7C9E">
      <w:instrText>44</w:instrText>
    </w:r>
    <w:r w:rsidRPr="00BA7C9E">
      <w:fldChar w:fldCharType="end"/>
    </w:r>
  </w:p>
  <w:p w:rsidR="006673DD" w:rsidRPr="00BA7C9E" w:rsidRDefault="00162449">
    <w:pPr>
      <w:pStyle w:val="SidfotV"/>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Pr="00BA7C9E">
      <w:instrText>45</w:instrText>
    </w:r>
    <w:r w:rsidRPr="00BA7C9E">
      <w:fldChar w:fldCharType="end"/>
    </w:r>
    <w:r w:rsidRPr="00BA7C9E">
      <w:instrText>"</w:instrText>
    </w:r>
    <w:r w:rsidRPr="00BA7C9E">
      <w:fldChar w:fldCharType="separate"/>
    </w:r>
    <w:r w:rsidR="006673DD" w:rsidRPr="00BA7C9E">
      <w:t>44</w:t>
    </w:r>
  </w:p>
  <w:p w:rsidR="00162449" w:rsidRPr="00BA7C9E" w:rsidRDefault="00162449">
    <w:pPr>
      <w:pStyle w:val="SidfotH"/>
      <w:framePr w:w="8732" w:h="284" w:hRule="exact" w:hSpace="0" w:vSpace="0" w:wrap="around" w:xAlign="inside" w:y="13042" w:anchorLock="0"/>
    </w:pPr>
    <w:r w:rsidRPr="00BA7C9E">
      <w:fldChar w:fldCharType="end"/>
    </w:r>
  </w:p>
  <w:p w:rsidR="00162449" w:rsidRPr="00BA7C9E" w:rsidRDefault="001624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3</w:t>
    </w:r>
    <w:r w:rsidRPr="00BA7C9E">
      <w:fldChar w:fldCharType="end"/>
    </w:r>
  </w:p>
  <w:p w:rsidR="00162449" w:rsidRPr="00BA7C9E" w:rsidRDefault="001624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E74C1E">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BA7C9E">
      <w:rPr>
        <w:noProof/>
      </w:rPr>
      <w:instrText>1</w:instrText>
    </w:r>
    <w:r w:rsidRPr="00BA7C9E">
      <w:fldChar w:fldCharType="end"/>
    </w:r>
    <w:r w:rsidRPr="00BA7C9E">
      <w:instrText xml:space="preserve">/2 </w:instrText>
    </w:r>
    <w:r w:rsidRPr="00BA7C9E">
      <w:fldChar w:fldCharType="separate"/>
    </w:r>
    <w:r w:rsidR="00BA7C9E">
      <w:rPr>
        <w:noProof/>
      </w:rPr>
      <w:instrText>0,5</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BA7C9E">
      <w:rPr>
        <w:noProof/>
      </w:rPr>
      <w:instrText>1</w:instrText>
    </w:r>
    <w:r w:rsidRPr="00BA7C9E">
      <w:fldChar w:fldCharType="end"/>
    </w:r>
    <w:r w:rsidRPr="00BA7C9E">
      <w:instrText xml:space="preserve">/2) </w:instrText>
    </w:r>
    <w:r w:rsidRPr="00BA7C9E">
      <w:fldChar w:fldCharType="separate"/>
    </w:r>
    <w:r w:rsidR="00BA7C9E">
      <w:rPr>
        <w:noProof/>
      </w:rPr>
      <w:instrText>0</w:instrText>
    </w:r>
    <w:r w:rsidRPr="00BA7C9E">
      <w:fldChar w:fldCharType="end"/>
    </w:r>
    <w:r w:rsidRPr="00BA7C9E">
      <w:fldChar w:fldCharType="separate"/>
    </w:r>
    <w:r w:rsidR="00BA7C9E">
      <w:rPr>
        <w:noProof/>
      </w:rPr>
      <w:instrText>0,5</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Pr="00BA7C9E">
      <w:instrText>4</w:instrText>
    </w:r>
    <w:r w:rsidRPr="00BA7C9E">
      <w:fldChar w:fldCharType="end"/>
    </w:r>
  </w:p>
  <w:p w:rsidR="00162449" w:rsidRPr="00BA7C9E" w:rsidRDefault="00162449" w:rsidP="00E74C1E">
    <w:pPr>
      <w:pStyle w:val="SidfotH"/>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00BA7C9E">
      <w:rPr>
        <w:noProof/>
      </w:rPr>
      <w:instrText>1</w:instrText>
    </w:r>
    <w:r w:rsidRPr="00BA7C9E">
      <w:fldChar w:fldCharType="end"/>
    </w:r>
    <w:r w:rsidRPr="00BA7C9E">
      <w:instrText>"</w:instrText>
    </w:r>
    <w:r w:rsidRPr="00BA7C9E">
      <w:fldChar w:fldCharType="separate"/>
    </w:r>
    <w:r w:rsidR="00BA7C9E">
      <w:rPr>
        <w:noProof/>
      </w:rPr>
      <w:t>1</w:t>
    </w:r>
    <w:r w:rsidRPr="00BA7C9E">
      <w:fldChar w:fldCharType="end"/>
    </w:r>
  </w:p>
  <w:p w:rsidR="00162449" w:rsidRPr="00BA7C9E" w:rsidRDefault="001624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4</w:t>
    </w:r>
    <w:r w:rsidRPr="00BA7C9E">
      <w:fldChar w:fldCharType="end"/>
    </w:r>
  </w:p>
  <w:p w:rsidR="00162449" w:rsidRPr="00BA7C9E" w:rsidRDefault="001624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3</w:t>
    </w:r>
    <w:r w:rsidRPr="00BA7C9E">
      <w:fldChar w:fldCharType="end"/>
    </w:r>
  </w:p>
  <w:p w:rsidR="00162449" w:rsidRPr="00BA7C9E" w:rsidRDefault="001624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006673DD" w:rsidRPr="00BA7C9E">
      <w:instrText>3</w:instrText>
    </w:r>
    <w:r w:rsidRPr="00BA7C9E">
      <w:fldChar w:fldCharType="end"/>
    </w:r>
    <w:r w:rsidRPr="00BA7C9E">
      <w:instrText xml:space="preserve">/2 </w:instrText>
    </w:r>
    <w:r w:rsidRPr="00BA7C9E">
      <w:fldChar w:fldCharType="separate"/>
    </w:r>
    <w:r w:rsidR="006673DD" w:rsidRPr="00BA7C9E">
      <w:instrText>1,5</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006673DD" w:rsidRPr="00BA7C9E">
      <w:instrText>3</w:instrText>
    </w:r>
    <w:r w:rsidRPr="00BA7C9E">
      <w:fldChar w:fldCharType="end"/>
    </w:r>
    <w:r w:rsidRPr="00BA7C9E">
      <w:instrText xml:space="preserve">/2) </w:instrText>
    </w:r>
    <w:r w:rsidRPr="00BA7C9E">
      <w:fldChar w:fldCharType="separate"/>
    </w:r>
    <w:r w:rsidR="006673DD" w:rsidRPr="00BA7C9E">
      <w:instrText>1</w:instrText>
    </w:r>
    <w:r w:rsidRPr="00BA7C9E">
      <w:fldChar w:fldCharType="end"/>
    </w:r>
    <w:r w:rsidRPr="00BA7C9E">
      <w:fldChar w:fldCharType="separate"/>
    </w:r>
    <w:r w:rsidR="006673DD" w:rsidRPr="00BA7C9E">
      <w:instrText>0,5</w:instrText>
    </w:r>
    <w:r w:rsidRPr="00BA7C9E">
      <w:fldChar w:fldCharType="end"/>
    </w:r>
    <w:r w:rsidRPr="00BA7C9E">
      <w:instrText xml:space="preserve"> = 0 "</w:instrText>
    </w:r>
    <w:r w:rsidRPr="00BA7C9E">
      <w:fldChar w:fldCharType="begin" w:fldLock="1"/>
    </w:r>
    <w:r w:rsidRPr="00BA7C9E">
      <w:instrText xml:space="preserve"> PAGE </w:instrText>
    </w:r>
    <w:r w:rsidRPr="00BA7C9E">
      <w:fldChar w:fldCharType="separate"/>
    </w:r>
    <w:r w:rsidRPr="00BA7C9E">
      <w:instrText>4</w:instrText>
    </w:r>
    <w:r w:rsidRPr="00BA7C9E">
      <w:fldChar w:fldCharType="end"/>
    </w:r>
  </w:p>
  <w:p w:rsidR="00162449" w:rsidRPr="00BA7C9E" w:rsidRDefault="00162449">
    <w:pPr>
      <w:pStyle w:val="SidfotH"/>
      <w:framePr w:w="8732" w:h="284" w:hRule="exact" w:hSpace="0" w:vSpace="0" w:wrap="around" w:xAlign="inside" w:y="13042" w:anchorLock="0"/>
    </w:pPr>
    <w:r w:rsidRPr="00BA7C9E">
      <w:instrText>""</w:instrText>
    </w:r>
    <w:r w:rsidRPr="00BA7C9E">
      <w:fldChar w:fldCharType="begin" w:fldLock="1"/>
    </w:r>
    <w:r w:rsidRPr="00BA7C9E">
      <w:instrText xml:space="preserve"> PAGE </w:instrText>
    </w:r>
    <w:r w:rsidRPr="00BA7C9E">
      <w:fldChar w:fldCharType="separate"/>
    </w:r>
    <w:r w:rsidR="006673DD" w:rsidRPr="00BA7C9E">
      <w:instrText>3</w:instrText>
    </w:r>
    <w:r w:rsidRPr="00BA7C9E">
      <w:fldChar w:fldCharType="end"/>
    </w:r>
    <w:r w:rsidRPr="00BA7C9E">
      <w:instrText>"</w:instrText>
    </w:r>
    <w:r w:rsidRPr="00BA7C9E">
      <w:fldChar w:fldCharType="separate"/>
    </w:r>
    <w:r w:rsidR="006673DD" w:rsidRPr="00BA7C9E">
      <w:t>3</w:t>
    </w:r>
    <w:r w:rsidRPr="00BA7C9E">
      <w:fldChar w:fldCharType="end"/>
    </w:r>
  </w:p>
  <w:p w:rsidR="00162449" w:rsidRPr="00BA7C9E" w:rsidRDefault="001624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V"/>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Pr="00BA7C9E">
      <w:t>6</w:t>
    </w:r>
    <w:r w:rsidRPr="00BA7C9E">
      <w:fldChar w:fldCharType="end"/>
    </w:r>
  </w:p>
  <w:p w:rsidR="00162449" w:rsidRPr="00BA7C9E" w:rsidRDefault="001624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fotH"/>
      <w:framePr w:w="8732" w:h="284" w:hRule="exact" w:hSpace="0" w:vSpace="0" w:wrap="around" w:xAlign="inside" w:y="13042" w:anchorLock="0"/>
    </w:pPr>
    <w:r w:rsidRPr="00BA7C9E">
      <w:fldChar w:fldCharType="begin" w:fldLock="1"/>
    </w:r>
    <w:r w:rsidRPr="00BA7C9E">
      <w:instrText xml:space="preserve"> PAGE </w:instrText>
    </w:r>
    <w:r w:rsidRPr="00BA7C9E">
      <w:fldChar w:fldCharType="separate"/>
    </w:r>
    <w:r w:rsidR="006673DD" w:rsidRPr="00BA7C9E">
      <w:t>5</w:t>
    </w:r>
    <w:r w:rsidRPr="00BA7C9E">
      <w:fldChar w:fldCharType="end"/>
    </w:r>
  </w:p>
  <w:p w:rsidR="00162449" w:rsidRPr="00BA7C9E" w:rsidRDefault="00162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BD2" w:rsidRPr="00BA7C9E" w:rsidRDefault="00BF4BD2">
      <w:pPr>
        <w:pStyle w:val="Sidfot"/>
      </w:pPr>
      <w:r w:rsidRPr="00BA7C9E">
        <w:separator/>
      </w:r>
    </w:p>
  </w:footnote>
  <w:footnote w:type="continuationSeparator" w:id="0">
    <w:p w:rsidR="00BF4BD2" w:rsidRPr="00BA7C9E" w:rsidRDefault="00BF4BD2">
      <w:pPr>
        <w:spacing w:before="0" w:line="240" w:lineRule="auto"/>
      </w:pPr>
      <w:r w:rsidRPr="00BA7C9E">
        <w:continuationSeparator/>
      </w:r>
    </w:p>
  </w:footnote>
  <w:footnote w:id="1">
    <w:p w:rsidR="00162449" w:rsidRPr="00BA7C9E" w:rsidRDefault="00162449" w:rsidP="00EA261E">
      <w:pPr>
        <w:pStyle w:val="Fotnotstextindrag"/>
      </w:pPr>
      <w:r w:rsidRPr="00BA7C9E">
        <w:rPr>
          <w:rStyle w:val="Fotnotsreferens"/>
        </w:rPr>
        <w:footnoteRef/>
      </w:r>
      <w:r w:rsidRPr="00BA7C9E">
        <w:t xml:space="preserve"> Med peer review avses en referentgranskning, vilket i Riksrevisionens fall innebär att systerorganisationer från andra länder bjuds in att granska myndighetens verksamhet inom ett överenskommet område. Arbetssättet har använts alltmer frekvent bland nationella revisionsmyndigheter de senaste åren, och 2010 beslutade man om en i</w:t>
      </w:r>
      <w:r w:rsidRPr="00BA7C9E">
        <w:t>n</w:t>
      </w:r>
      <w:r w:rsidRPr="00BA7C9E">
        <w:t>ternationell standard på området, ISSAI 5600 – Peer Review Guideline.</w:t>
      </w:r>
    </w:p>
    <w:p w:rsidR="00162449" w:rsidRPr="00BA7C9E" w:rsidRDefault="00162449">
      <w:pPr>
        <w:pStyle w:val="Fotnotstext"/>
      </w:pPr>
    </w:p>
  </w:footnote>
  <w:footnote w:id="2">
    <w:p w:rsidR="00162449" w:rsidRPr="00BA7C9E" w:rsidRDefault="00162449">
      <w:pPr>
        <w:pStyle w:val="Fotnotstext"/>
      </w:pPr>
      <w:r w:rsidRPr="00BA7C9E">
        <w:rPr>
          <w:rStyle w:val="Fotnotsreferens"/>
        </w:rPr>
        <w:footnoteRef/>
      </w:r>
      <w:r w:rsidRPr="00BA7C9E">
        <w:t xml:space="preserve"> Motsvarar det tidigare använda begreppet invändning.</w:t>
      </w:r>
    </w:p>
  </w:footnote>
  <w:footnote w:id="3">
    <w:p w:rsidR="00162449" w:rsidRPr="00BA7C9E" w:rsidRDefault="00162449" w:rsidP="006F211A">
      <w:pPr>
        <w:pStyle w:val="Fotnotstextindrag"/>
        <w:rPr>
          <w:rStyle w:val="Fotnotsreferens"/>
          <w:vertAlign w:val="baseline"/>
        </w:rPr>
      </w:pPr>
      <w:r w:rsidRPr="00BA7C9E">
        <w:rPr>
          <w:rStyle w:val="Fotnotsreferens"/>
        </w:rPr>
        <w:footnoteRef/>
      </w:r>
      <w:r w:rsidRPr="00BA7C9E">
        <w:rPr>
          <w:rStyle w:val="Fotnotsreferens"/>
        </w:rPr>
        <w:t xml:space="preserve"> </w:t>
      </w:r>
      <w:r w:rsidRPr="00BA7C9E">
        <w:rPr>
          <w:rStyle w:val="Fotnotsreferens"/>
          <w:vertAlign w:val="baseline"/>
        </w:rPr>
        <w:t>Inom parentes anges jämförelsesiffran för föregående år.</w:t>
      </w:r>
    </w:p>
  </w:footnote>
  <w:footnote w:id="4">
    <w:p w:rsidR="00162449" w:rsidRPr="00BA7C9E" w:rsidRDefault="00162449" w:rsidP="00867737">
      <w:pPr>
        <w:pStyle w:val="Fotnotstext"/>
        <w:rPr>
          <w:rStyle w:val="Fotnotsreferens"/>
          <w:vertAlign w:val="baseline"/>
        </w:rPr>
      </w:pPr>
      <w:r w:rsidRPr="00BA7C9E">
        <w:rPr>
          <w:rStyle w:val="Fotnotsreferens"/>
        </w:rPr>
        <w:footnoteRef/>
      </w:r>
      <w:r w:rsidRPr="00BA7C9E">
        <w:rPr>
          <w:rStyle w:val="Fotnotsreferens"/>
        </w:rPr>
        <w:t xml:space="preserve"> </w:t>
      </w:r>
      <w:r w:rsidRPr="00BA7C9E">
        <w:rPr>
          <w:rStyle w:val="Fotnotsreferens"/>
          <w:vertAlign w:val="baseline"/>
        </w:rPr>
        <w:t>En tredjedel (76 st) av myndigheterna tillfrågades. Av dem svarade 47 vilket motsv</w:t>
      </w:r>
      <w:r w:rsidRPr="00BA7C9E">
        <w:rPr>
          <w:rStyle w:val="Fotnotsreferens"/>
          <w:vertAlign w:val="baseline"/>
        </w:rPr>
        <w:t>a</w:t>
      </w:r>
      <w:r w:rsidRPr="00BA7C9E">
        <w:rPr>
          <w:rStyle w:val="Fotnotsreferens"/>
          <w:vertAlign w:val="baseline"/>
        </w:rPr>
        <w:t xml:space="preserve">rar en svarsfrekvens på 62 (73) </w:t>
      </w:r>
      <w:r w:rsidRPr="00BA7C9E">
        <w:t>procent</w:t>
      </w:r>
      <w:r w:rsidRPr="00BA7C9E">
        <w:rPr>
          <w:rStyle w:val="Fotnotsreferens"/>
          <w:vertAlign w:val="baseline"/>
        </w:rPr>
        <w:t xml:space="preserve">. 46 av de myndigheter som svarade gjorde helt eller i huvudsak en samlad positiv bedömning. </w:t>
      </w:r>
    </w:p>
  </w:footnote>
  <w:footnote w:id="5">
    <w:p w:rsidR="00162449" w:rsidRPr="00BA7C9E" w:rsidRDefault="00162449" w:rsidP="008261AD">
      <w:pPr>
        <w:pStyle w:val="Fotnotstextindrag"/>
        <w:rPr>
          <w:rStyle w:val="Fotnotsreferens"/>
          <w:vertAlign w:val="baseline"/>
        </w:rPr>
      </w:pPr>
      <w:r w:rsidRPr="00BA7C9E">
        <w:rPr>
          <w:rStyle w:val="Fotnotsreferens"/>
        </w:rPr>
        <w:footnoteRef/>
      </w:r>
      <w:r w:rsidRPr="00BA7C9E">
        <w:rPr>
          <w:rStyle w:val="Fotnotsreferens"/>
        </w:rPr>
        <w:t xml:space="preserve"> </w:t>
      </w:r>
      <w:r w:rsidRPr="00BA7C9E">
        <w:rPr>
          <w:rStyle w:val="Fotnotsreferens"/>
          <w:vertAlign w:val="baseline"/>
        </w:rPr>
        <w:t>Med stora myndigheter avses de myndigheter som ska lämna särskild dokumentation enligt Ekonomistyrningsverkets föreskrifter till 2 kap. 3 § förordningen (2000:605) om årsredovisning och budgetunderlag samt Riksbanken.</w:t>
      </w:r>
    </w:p>
  </w:footnote>
  <w:footnote w:id="6">
    <w:p w:rsidR="00162449" w:rsidRPr="00BA7C9E" w:rsidRDefault="00162449" w:rsidP="00495C7A">
      <w:pPr>
        <w:pStyle w:val="Fotnotstextindrag"/>
      </w:pPr>
      <w:r w:rsidRPr="00BA7C9E">
        <w:rPr>
          <w:rStyle w:val="Fotnotsreferens"/>
        </w:rPr>
        <w:footnoteRef/>
      </w:r>
      <w:r w:rsidRPr="00BA7C9E">
        <w:t xml:space="preserve"> Tabellen omfattar antalet publicerade granskningar under året. Föregående år redov</w:t>
      </w:r>
      <w:r w:rsidRPr="00BA7C9E">
        <w:t>i</w:t>
      </w:r>
      <w:r w:rsidRPr="00BA7C9E">
        <w:t>sades fördelningen mellan granskningsinriktningarna för färdigställda granskningar på grund av de särskilda omständigheter som då gällde med anledning av att styrelsen upphörde och rapporteringsvägen ändrades. Jämförelsesiffrorna för 2010 har ändrats jämfört med årsredovisningen för 2010. Antal färdigställda granskningar redovisas inom parantes.</w:t>
      </w:r>
    </w:p>
  </w:footnote>
  <w:footnote w:id="7">
    <w:p w:rsidR="00162449" w:rsidRPr="00BA7C9E" w:rsidRDefault="00162449" w:rsidP="006E5753">
      <w:pPr>
        <w:pStyle w:val="Fotnotstextindrag"/>
      </w:pPr>
      <w:r w:rsidRPr="00BA7C9E">
        <w:rPr>
          <w:rStyle w:val="Fotnotsreferens"/>
        </w:rPr>
        <w:footnoteRef/>
      </w:r>
      <w:r w:rsidRPr="00BA7C9E">
        <w:t xml:space="preserve"> International Organisation of Supreme Audit Institutions är en global paraplyorgan</w:t>
      </w:r>
      <w:r w:rsidRPr="00BA7C9E">
        <w:t>i</w:t>
      </w:r>
      <w:r w:rsidRPr="00BA7C9E">
        <w:t>sation för nationella revisionsorgan – Supreme Audit Institutions, SAI. Organisati</w:t>
      </w:r>
      <w:r w:rsidRPr="00BA7C9E">
        <w:t>o</w:t>
      </w:r>
      <w:r w:rsidRPr="00BA7C9E">
        <w:t>nen har 190 medlemsländer och dess generalsekretariat finns vid det nationella rev</w:t>
      </w:r>
      <w:r w:rsidRPr="00BA7C9E">
        <w:t>i</w:t>
      </w:r>
      <w:r w:rsidRPr="00BA7C9E">
        <w:t>sionsorganet i Österrike</w:t>
      </w:r>
    </w:p>
  </w:footnote>
  <w:footnote w:id="8">
    <w:p w:rsidR="00162449" w:rsidRPr="00BA7C9E" w:rsidRDefault="00162449" w:rsidP="006E5753">
      <w:pPr>
        <w:pStyle w:val="Fotnotstextindrag"/>
      </w:pPr>
      <w:r w:rsidRPr="00BA7C9E">
        <w:rPr>
          <w:rStyle w:val="Fotnotsreferens"/>
        </w:rPr>
        <w:footnoteRef/>
      </w:r>
      <w:r w:rsidRPr="00BA7C9E">
        <w:t xml:space="preserve"> Landets administrativa indelning innebär att vardera av de två s.k. entiteterna har en revisionsmyndighet. Vidare har ett distrikt en egen fristående myndighet. På en öve</w:t>
      </w:r>
      <w:r w:rsidRPr="00BA7C9E">
        <w:t>r</w:t>
      </w:r>
      <w:r w:rsidRPr="00BA7C9E">
        <w:t xml:space="preserve">gripande nivå, ”state level”, finns en fjärde revisionsmyndighet. </w:t>
      </w:r>
    </w:p>
  </w:footnote>
  <w:footnote w:id="9">
    <w:p w:rsidR="00162449" w:rsidRPr="00BA7C9E" w:rsidRDefault="00162449" w:rsidP="0018439F">
      <w:pPr>
        <w:pStyle w:val="Fotnotstextindrag"/>
      </w:pPr>
      <w:r w:rsidRPr="00BA7C9E">
        <w:rPr>
          <w:rStyle w:val="Fotnotsreferens"/>
        </w:rPr>
        <w:footnoteRef/>
      </w:r>
      <w:r w:rsidRPr="00BA7C9E">
        <w:t xml:space="preserve"> Verksamhetens kostnader inklusive transfereringar.</w:t>
      </w:r>
    </w:p>
  </w:footnote>
  <w:footnote w:id="10">
    <w:p w:rsidR="00162449" w:rsidRPr="00BA7C9E" w:rsidRDefault="00162449">
      <w:pPr>
        <w:pStyle w:val="Fotnotstext"/>
      </w:pPr>
      <w:r w:rsidRPr="00BA7C9E">
        <w:rPr>
          <w:rStyle w:val="Fotnotsreferens"/>
        </w:rPr>
        <w:footnoteRef/>
      </w:r>
      <w:r w:rsidRPr="00BA7C9E">
        <w:t xml:space="preserve"> Se avsnittet Tillämpade redovisningsprinciper i kapitlet Tilläggsupplysningar och noter för beskrivning av modellen. </w:t>
      </w:r>
    </w:p>
  </w:footnote>
  <w:footnote w:id="11">
    <w:p w:rsidR="00162449" w:rsidRPr="00BA7C9E" w:rsidRDefault="00162449" w:rsidP="0034215B">
      <w:pPr>
        <w:pStyle w:val="Fotnotstextindrag"/>
      </w:pPr>
      <w:r w:rsidRPr="00BA7C9E">
        <w:rPr>
          <w:rStyle w:val="Fotnotsreferens"/>
        </w:rPr>
        <w:footnoteRef/>
      </w:r>
      <w:r w:rsidRPr="00BA7C9E">
        <w:t xml:space="preserve"> European Organisation of Supreme Audit Institutions är en regional arbetsgrupp inom INTOSAI och består av 49 europeiska nationella revisionsorgan, inklusive E</w:t>
      </w:r>
      <w:r w:rsidRPr="00BA7C9E">
        <w:t>u</w:t>
      </w:r>
      <w:r w:rsidRPr="00BA7C9E">
        <w:t>ropeiska revisionsrätten. EUROSAI har fyra arbetsgrupper, varav Sverige deltar i arbetsgruppen om miljörevision.</w:t>
      </w:r>
    </w:p>
    <w:p w:rsidR="00162449" w:rsidRPr="00BA7C9E" w:rsidRDefault="00162449" w:rsidP="00F32CCD">
      <w:pPr>
        <w:pStyle w:val="Fotnotstext"/>
      </w:pPr>
    </w:p>
  </w:footnote>
  <w:footnote w:id="12">
    <w:p w:rsidR="00162449" w:rsidRPr="00BA7C9E" w:rsidRDefault="00162449" w:rsidP="0034215B">
      <w:pPr>
        <w:pStyle w:val="Fotnotstextindrag"/>
      </w:pPr>
      <w:r w:rsidRPr="00BA7C9E">
        <w:rPr>
          <w:rStyle w:val="Fotnotsreferens"/>
        </w:rPr>
        <w:footnoteRef/>
      </w:r>
      <w:r w:rsidRPr="00BA7C9E">
        <w:t xml:space="preserve"> Se 7 kap. 6 § föreskriften (FRS 2006:10) om tillämpningen av lagen (2006:999) med ekonomiadministrativa bestämmelser m.m. för riksdagsförvaltningen, Riksdagens ombudsmän och Riksrevisionen.</w:t>
      </w:r>
    </w:p>
  </w:footnote>
  <w:footnote w:id="13">
    <w:p w:rsidR="00162449" w:rsidRPr="00BA7C9E" w:rsidRDefault="00162449">
      <w:pPr>
        <w:pStyle w:val="Fotnotstext"/>
      </w:pPr>
      <w:r w:rsidRPr="00BA7C9E">
        <w:rPr>
          <w:rStyle w:val="Fotnotsreferens"/>
        </w:rPr>
        <w:footnoteRef/>
      </w:r>
      <w:r w:rsidRPr="00BA7C9E">
        <w:t xml:space="preserve"> Personalomsättningen på Riksrevisionen beräknas genom att antalet avgångar div</w:t>
      </w:r>
      <w:r w:rsidRPr="00BA7C9E">
        <w:t>i</w:t>
      </w:r>
      <w:r w:rsidRPr="00BA7C9E">
        <w:t>deras med medelantalet anställda i tjänst.</w:t>
      </w:r>
    </w:p>
  </w:footnote>
  <w:footnote w:id="14">
    <w:p w:rsidR="00162449" w:rsidRPr="00BA7C9E" w:rsidRDefault="00162449" w:rsidP="001C66C8">
      <w:pPr>
        <w:pStyle w:val="Fotnotstextindrag"/>
      </w:pPr>
      <w:r w:rsidRPr="00BA7C9E">
        <w:rPr>
          <w:rStyle w:val="Fotnotsreferens"/>
        </w:rPr>
        <w:footnoteRef/>
      </w:r>
      <w:r w:rsidRPr="00BA7C9E">
        <w:t xml:space="preserve"> Lagen (2006:999) med ekonomiadministrativa bestämmelser m.m. för riksdagsfö</w:t>
      </w:r>
      <w:r w:rsidRPr="00BA7C9E">
        <w:t>r</w:t>
      </w:r>
      <w:r w:rsidRPr="00BA7C9E">
        <w:t>valtningen, Riksdagens ombudsmän och Riksrevisionen.</w:t>
      </w:r>
    </w:p>
  </w:footnote>
  <w:footnote w:id="15">
    <w:p w:rsidR="00162449" w:rsidRPr="00BA7C9E" w:rsidRDefault="00162449" w:rsidP="001C66C8">
      <w:pPr>
        <w:pStyle w:val="Fotnotstextindrag"/>
      </w:pPr>
      <w:r w:rsidRPr="00BA7C9E">
        <w:rPr>
          <w:rStyle w:val="Fotnotsreferens"/>
        </w:rPr>
        <w:footnoteRef/>
      </w:r>
      <w:r w:rsidRPr="00BA7C9E">
        <w:t xml:space="preserve"> Regeringsformen 13 kap. 8 §.</w:t>
      </w:r>
    </w:p>
  </w:footnote>
  <w:footnote w:id="16">
    <w:p w:rsidR="00162449" w:rsidRPr="00BA7C9E" w:rsidRDefault="00162449" w:rsidP="001C66C8">
      <w:pPr>
        <w:pStyle w:val="Fotnotstextindrag"/>
      </w:pPr>
      <w:r w:rsidRPr="00BA7C9E">
        <w:rPr>
          <w:rStyle w:val="Fotnotsreferens"/>
        </w:rPr>
        <w:footnoteRef/>
      </w:r>
      <w:r w:rsidRPr="00BA7C9E">
        <w:t xml:space="preserve"> Lagen (2002:1023) med instruktion för Riksrevisionen.</w:t>
      </w:r>
    </w:p>
  </w:footnote>
  <w:footnote w:id="17">
    <w:p w:rsidR="00162449" w:rsidRPr="00BA7C9E" w:rsidRDefault="00162449" w:rsidP="001C66C8">
      <w:pPr>
        <w:pStyle w:val="Fotnotstextindrag"/>
      </w:pPr>
      <w:r w:rsidRPr="00BA7C9E">
        <w:rPr>
          <w:rStyle w:val="Fotnotsreferens"/>
        </w:rPr>
        <w:footnoteRef/>
      </w:r>
      <w:r w:rsidRPr="00BA7C9E">
        <w:t xml:space="preserve"> Riksdagen har beslutat om en högsta taxenivå.</w:t>
      </w:r>
    </w:p>
  </w:footnote>
  <w:footnote w:id="18">
    <w:p w:rsidR="00162449" w:rsidRPr="00BA7C9E" w:rsidRDefault="00162449" w:rsidP="001C66C8">
      <w:pPr>
        <w:pStyle w:val="Fotnotstextindrag"/>
      </w:pPr>
      <w:r w:rsidRPr="00BA7C9E">
        <w:rPr>
          <w:rStyle w:val="Fotnotsreferens"/>
        </w:rPr>
        <w:footnoteRef/>
      </w:r>
      <w:r w:rsidRPr="00BA7C9E">
        <w:t xml:space="preserve"> För en korrekt kostnadsfördelning per anställd reduceras underlaget antal anställda med 50 procent för utlandsstationerad personal.</w:t>
      </w:r>
    </w:p>
  </w:footnote>
  <w:footnote w:id="19">
    <w:p w:rsidR="00162449" w:rsidRPr="00BA7C9E" w:rsidRDefault="00162449" w:rsidP="001C66C8">
      <w:pPr>
        <w:pStyle w:val="Fotnotstextindrag"/>
      </w:pPr>
      <w:r w:rsidRPr="00BA7C9E">
        <w:rPr>
          <w:rStyle w:val="Fotnotsreferens"/>
        </w:rPr>
        <w:footnoteRef/>
      </w:r>
      <w:r w:rsidRPr="00BA7C9E">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w:t>
    </w:r>
    <w:r w:rsidRPr="00BA7C9E">
      <w:rPr>
        <w:rStyle w:val="SidhuvudUtskott"/>
      </w:rPr>
      <w:fldChar w:fldCharType="begin" w:fldLock="1"/>
    </w:r>
    <w:r w:rsidRPr="00BA7C9E">
      <w:rPr>
        <w:rStyle w:val="SidhuvudUtskott"/>
      </w:rPr>
      <w:instrText xml:space="preserve"> DOCPROPERTY Utskott</w:instrText>
    </w:r>
    <w:r w:rsidRPr="00BA7C9E">
      <w:rPr>
        <w:rStyle w:val="SidhuvudUtskott"/>
      </w:rPr>
      <w:fldChar w:fldCharType="separate"/>
    </w:r>
    <w:r w:rsidR="00D529EB" w:rsidRPr="00BA7C9E">
      <w:rPr>
        <w:rStyle w:val="SidhuvudUtskott"/>
      </w:rPr>
      <w:t>RRS</w: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00D529EB" w:rsidRPr="00BA7C9E">
      <w:rPr>
        <w:rStyle w:val="SidhuvudUtskott"/>
      </w:rPr>
      <w:t>1</w:t>
    </w:r>
    <w:r w:rsidRPr="00BA7C9E">
      <w:rPr>
        <w:rStyle w:val="SidhuvudUtskott"/>
      </w:rPr>
      <w:fldChar w:fldCharType="end"/>
    </w:r>
    <w:r w:rsidRPr="00BA7C9E">
      <w:t xml:space="preserve">     </w:t>
    </w:r>
    <w:r w:rsidRPr="00BA7C9E">
      <w:rPr>
        <w:rStyle w:val="SidhuvudBilaga"/>
      </w:rPr>
      <w:t xml:space="preserve"> </w:t>
    </w:r>
    <w:r w:rsidRPr="00BA7C9E">
      <w:rPr>
        <w:rStyle w:val="SidhuvudRubrikReferens"/>
      </w:rPr>
      <w:fldChar w:fldCharType="begin" w:fldLock="1"/>
    </w:r>
    <w:r w:rsidRPr="00BA7C9E">
      <w:rPr>
        <w:rStyle w:val="SidhuvudRubrikReferens"/>
      </w:rPr>
      <w:instrText xml:space="preserve"> StyleREF "Rubrik 1" </w:instrText>
    </w:r>
    <w:r w:rsidRPr="00BA7C9E">
      <w:rPr>
        <w:rStyle w:val="SidhuvudRubrikReferens"/>
      </w:rPr>
      <w:fldChar w:fldCharType="separate"/>
    </w:r>
    <w:r w:rsidR="00D529EB" w:rsidRPr="00BA7C9E">
      <w:rPr>
        <w:rStyle w:val="SidhuvudRubrikReferens"/>
      </w:rPr>
      <w:t>Grundläggande bestämmelser</w:t>
    </w:r>
    <w:r w:rsidRPr="00BA7C9E">
      <w:rPr>
        <w:rStyle w:val="SidhuvudRubrikReferens"/>
      </w:rPr>
      <w:fldChar w:fldCharType="end"/>
    </w:r>
  </w:p>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00D529EB" w:rsidRPr="00BA7C9E">
      <w:rPr>
        <w:rStyle w:val="SidhuvudUtskott"/>
      </w:rPr>
      <w:t>Utkast</w:t>
    </w:r>
    <w:r w:rsidRPr="00BA7C9E">
      <w:rPr>
        <w:rStyle w:val="SidhuvudUtskott"/>
      </w:rPr>
      <w:fldChar w:fldCharType="end"/>
    </w: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00D529EB" w:rsidRPr="00BA7C9E">
      <w:rPr>
        <w:rStyle w:val="SidhuvudUtskott"/>
      </w:rPr>
      <w:instrText>Nej</w:instrText>
    </w:r>
    <w:r w:rsidRPr="00BA7C9E">
      <w:rPr>
        <w:rStyle w:val="SidhuvudUtskott"/>
      </w:rPr>
      <w:fldChar w:fldCharType="end"/>
    </w:r>
    <w:r w:rsidRPr="00BA7C9E">
      <w:rPr>
        <w:rStyle w:val="SidhuvudUtskott"/>
      </w:rPr>
      <w:instrText xml:space="preserve"> = "Ja" "    </w:instrText>
    </w:r>
    <w:r w:rsidRPr="00BA7C9E">
      <w:rPr>
        <w:rStyle w:val="SidhuvudUtskott"/>
      </w:rPr>
      <w:fldChar w:fldCharType="begin" w:fldLock="1"/>
    </w:r>
    <w:r w:rsidRPr="00BA7C9E">
      <w:rPr>
        <w:rStyle w:val="SidhuvudUtskott"/>
      </w:rPr>
      <w:instrText xml:space="preserve"> PRINTDATE \@ "yyyy-MM-dd HH.mm"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p>
  <w:p w:rsidR="00162449" w:rsidRPr="00BA7C9E" w:rsidRDefault="001624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AC7744">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rsidP="00745D06">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AC7744">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resultatredovisning</w:t>
    </w:r>
  </w:p>
  <w:p w:rsidR="00162449" w:rsidRPr="00BA7C9E" w:rsidRDefault="001624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C9691D">
    <w:pPr>
      <w:pStyle w:val="SidhuvudKantUdda"/>
      <w:framePr w:w="8732" w:h="567" w:hRule="exact" w:vSpace="0" w:wrap="around" w:vAnchor="page" w:y="341" w:anchorLock="0"/>
    </w:pPr>
    <w:r w:rsidRPr="00BA7C9E">
      <w:rPr>
        <w:rStyle w:val="SidhuvudBilaga"/>
      </w:rPr>
      <w:t xml:space="preserve">resultatredovisning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p>
  <w:p w:rsidR="00162449" w:rsidRPr="00BA7C9E" w:rsidRDefault="001624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944D81">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AC7744">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C9691D">
    <w:pPr>
      <w:pStyle w:val="SidhuvudKantUdda"/>
      <w:framePr w:w="8732" w:h="567" w:hRule="exact" w:vSpace="0" w:wrap="around" w:vAnchor="page" w:y="341" w:anchorLock="0"/>
    </w:pPr>
    <w:r w:rsidRPr="00BA7C9E">
      <w:rPr>
        <w:rStyle w:val="SidhuvudBilaga"/>
      </w:rPr>
      <w:t xml:space="preserve">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p>
  <w:p w:rsidR="00162449" w:rsidRPr="00BA7C9E" w:rsidRDefault="001624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8C468F">
    <w:pPr>
      <w:pStyle w:val="SidhuvudKantJmn"/>
      <w:framePr w:w="8732" w:h="567" w:hRule="exact" w:vSpace="0" w:wrap="around" w:vAnchor="page" w:y="341" w:anchorLock="0"/>
      <w:jc w:val="right"/>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AC7744">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finansiell redovisning</w:t>
    </w:r>
  </w:p>
  <w:p w:rsidR="00162449" w:rsidRPr="00BA7C9E" w:rsidRDefault="001624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EC51A7">
    <w:pPr>
      <w:pStyle w:val="SidhuvudKantUdda"/>
      <w:framePr w:w="8732" w:h="567" w:hRule="exact" w:vSpace="0" w:wrap="around" w:vAnchor="page" w:y="341" w:anchorLock="0"/>
    </w:pPr>
    <w:r w:rsidRPr="00BA7C9E">
      <w:rPr>
        <w:rStyle w:val="SidhuvudBilaga"/>
      </w:rPr>
      <w:t xml:space="preserve">finansiell redovisning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p>
  <w:p w:rsidR="00162449" w:rsidRPr="00BA7C9E" w:rsidRDefault="001624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8C468F">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Udda"/>
      <w:framePr w:w="8732" w:h="567" w:hRule="exact" w:vSpace="0" w:wrap="around" w:vAnchor="page" w:y="341" w:anchorLock="0"/>
    </w:pPr>
    <w:r w:rsidRPr="00BA7C9E">
      <w:rPr>
        <w:rStyle w:val="SidhuvudRubrikReferens"/>
      </w:rPr>
      <w:fldChar w:fldCharType="begin" w:fldLock="1"/>
    </w:r>
    <w:r w:rsidRPr="00BA7C9E">
      <w:rPr>
        <w:rStyle w:val="SidhuvudRubrikReferens"/>
      </w:rPr>
      <w:instrText xml:space="preserve"> StyleREF "Rubrik 1" </w:instrText>
    </w:r>
    <w:r w:rsidRPr="00BA7C9E">
      <w:rPr>
        <w:rStyle w:val="SidhuvudRubrikReferens"/>
      </w:rPr>
      <w:fldChar w:fldCharType="separate"/>
    </w:r>
    <w:r w:rsidR="00D529EB" w:rsidRPr="00BA7C9E">
      <w:rPr>
        <w:rStyle w:val="SidhuvudRubrikReferens"/>
      </w:rPr>
      <w:t>Grundläggande bestämmelser</w:t>
    </w:r>
    <w:r w:rsidRPr="00BA7C9E">
      <w:rPr>
        <w:rStyle w:val="SidhuvudRubrikReferens"/>
      </w:rPr>
      <w:fldChar w:fldCharType="end"/>
    </w:r>
    <w:r w:rsidRPr="00BA7C9E">
      <w:rPr>
        <w:rStyle w:val="SidhuvudBilaga"/>
      </w:rPr>
      <w:t xml:space="preserve">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w:t>
    </w:r>
    <w:r w:rsidRPr="00BA7C9E">
      <w:rPr>
        <w:rStyle w:val="SidhuvudUtskott"/>
      </w:rPr>
      <w:fldChar w:fldCharType="begin" w:fldLock="1"/>
    </w:r>
    <w:r w:rsidRPr="00BA7C9E">
      <w:rPr>
        <w:rStyle w:val="SidhuvudUtskott"/>
      </w:rPr>
      <w:instrText xml:space="preserve"> DOCPROPERTY</w:instrText>
    </w:r>
    <w:r w:rsidRPr="00BA7C9E">
      <w:instrText xml:space="preserve"> </w:instrText>
    </w:r>
    <w:r w:rsidRPr="00BA7C9E">
      <w:rPr>
        <w:rStyle w:val="SidhuvudUtskott"/>
      </w:rPr>
      <w:instrText>Utskott</w:instrText>
    </w:r>
    <w:r w:rsidRPr="00BA7C9E">
      <w:rPr>
        <w:rStyle w:val="SidhuvudUtskott"/>
      </w:rPr>
      <w:fldChar w:fldCharType="separate"/>
    </w:r>
    <w:r w:rsidR="00D529EB" w:rsidRPr="00BA7C9E">
      <w:rPr>
        <w:rStyle w:val="SidhuvudUtskott"/>
      </w:rPr>
      <w:t>RRS</w: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00D529EB" w:rsidRPr="00BA7C9E">
      <w:rPr>
        <w:rStyle w:val="SidhuvudUtskott"/>
      </w:rPr>
      <w:t>1</w:t>
    </w:r>
    <w:r w:rsidRPr="00BA7C9E">
      <w:rPr>
        <w:rStyle w:val="SidhuvudUtskott"/>
      </w:rPr>
      <w:fldChar w:fldCharType="end"/>
    </w:r>
  </w:p>
  <w:p w:rsidR="00162449" w:rsidRPr="00BA7C9E" w:rsidRDefault="00162449">
    <w:pPr>
      <w:pStyle w:val="SidhuvudKantUdda"/>
      <w:framePr w:w="8732" w:h="567" w:hRule="exact" w:vSpace="0" w:wrap="around" w:vAnchor="page" w:y="341" w:anchorLock="0"/>
    </w:pP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00D529EB" w:rsidRPr="00BA7C9E">
      <w:rPr>
        <w:rStyle w:val="SidhuvudUtskott"/>
      </w:rPr>
      <w:instrText>Nej</w:instrText>
    </w:r>
    <w:r w:rsidRPr="00BA7C9E">
      <w:rPr>
        <w:rStyle w:val="SidhuvudUtskott"/>
      </w:rPr>
      <w:fldChar w:fldCharType="end"/>
    </w:r>
    <w:r w:rsidRPr="00BA7C9E">
      <w:rPr>
        <w:rStyle w:val="SidhuvudUtskott"/>
      </w:rPr>
      <w:instrText xml:space="preserve"> = "Ja" "</w:instrText>
    </w:r>
    <w:r w:rsidRPr="00BA7C9E">
      <w:rPr>
        <w:rStyle w:val="SidhuvudUtskott"/>
      </w:rPr>
      <w:fldChar w:fldCharType="begin" w:fldLock="1"/>
    </w:r>
    <w:r w:rsidRPr="00BA7C9E">
      <w:rPr>
        <w:rStyle w:val="SidhuvudUtskott"/>
      </w:rPr>
      <w:instrText xml:space="preserve"> PRINTDATE \@ "yyyy-MM-dd HH.mm    "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00D529EB" w:rsidRPr="00BA7C9E">
      <w:rPr>
        <w:rStyle w:val="SidhuvudUtskott"/>
      </w:rPr>
      <w:t>Utkast</w:t>
    </w:r>
    <w:r w:rsidRPr="00BA7C9E">
      <w:rPr>
        <w:rStyle w:val="SidhuvudUtskott"/>
      </w:rPr>
      <w:fldChar w:fldCharType="end"/>
    </w:r>
  </w:p>
  <w:p w:rsidR="00162449" w:rsidRPr="00BA7C9E" w:rsidRDefault="001624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Jmn"/>
      <w:framePr w:w="8732" w:h="567" w:hRule="exact" w:vSpace="0" w:wrap="around" w:vAnchor="page" w:y="341" w:anchorLock="0"/>
    </w:pPr>
    <w:r w:rsidRPr="00BA7C9E">
      <w:fldChar w:fldCharType="begin" w:fldLock="1"/>
    </w:r>
    <w:r w:rsidRPr="00BA7C9E">
      <w:instrText xml:space="preserve"> if </w:instrText>
    </w:r>
    <w:r w:rsidRPr="00BA7C9E">
      <w:fldChar w:fldCharType="begin" w:fldLock="1"/>
    </w:r>
    <w:r w:rsidRPr="00BA7C9E">
      <w:instrText xml:space="preserve"> page</w:instrText>
    </w:r>
    <w:r w:rsidRPr="00BA7C9E">
      <w:fldChar w:fldCharType="separate"/>
    </w:r>
    <w:r w:rsidR="00BA7C9E">
      <w:rPr>
        <w:noProof/>
      </w:rPr>
      <w:instrText>1</w:instrText>
    </w:r>
    <w:r w:rsidRPr="00BA7C9E">
      <w:fldChar w:fldCharType="end"/>
    </w:r>
    <w:r w:rsidRPr="00BA7C9E">
      <w:instrText xml:space="preserve"> &gt; 1 "</w:instrText>
    </w:r>
    <w:r w:rsidRPr="00BA7C9E">
      <w:fldChar w:fldCharType="begin" w:fldLock="1"/>
    </w:r>
    <w:r w:rsidRPr="00BA7C9E">
      <w:instrText xml:space="preserve"> if </w:instrText>
    </w:r>
    <w:r w:rsidRPr="00BA7C9E">
      <w:fldChar w:fldCharType="begin" w:fldLock="1"/>
    </w:r>
    <w:r w:rsidRPr="00BA7C9E">
      <w:instrText xml:space="preserve"> = </w:instrText>
    </w:r>
    <w:r w:rsidRPr="00BA7C9E">
      <w:fldChar w:fldCharType="begin" w:fldLock="1"/>
    </w:r>
    <w:r w:rsidRPr="00BA7C9E">
      <w:instrText xml:space="preserve"> = </w:instrText>
    </w:r>
    <w:r w:rsidRPr="00BA7C9E">
      <w:fldChar w:fldCharType="begin" w:fldLock="1"/>
    </w:r>
    <w:r w:rsidRPr="00BA7C9E">
      <w:instrText xml:space="preserve"> page</w:instrText>
    </w:r>
    <w:r w:rsidRPr="00BA7C9E">
      <w:fldChar w:fldCharType="separate"/>
    </w:r>
    <w:r w:rsidRPr="00BA7C9E">
      <w:instrText>2</w:instrText>
    </w:r>
    <w:r w:rsidRPr="00BA7C9E">
      <w:fldChar w:fldCharType="end"/>
    </w:r>
    <w:r w:rsidRPr="00BA7C9E">
      <w:instrText xml:space="preserve">/2 </w:instrText>
    </w:r>
    <w:r w:rsidRPr="00BA7C9E">
      <w:fldChar w:fldCharType="separate"/>
    </w:r>
    <w:r w:rsidRPr="00BA7C9E">
      <w:instrText>1</w:instrText>
    </w:r>
    <w:r w:rsidRPr="00BA7C9E">
      <w:fldChar w:fldCharType="end"/>
    </w:r>
    <w:r w:rsidRPr="00BA7C9E">
      <w:instrText xml:space="preserve"> - </w:instrText>
    </w:r>
    <w:r w:rsidRPr="00BA7C9E">
      <w:fldChar w:fldCharType="begin" w:fldLock="1"/>
    </w:r>
    <w:r w:rsidRPr="00BA7C9E">
      <w:instrText xml:space="preserve"> = int(</w:instrText>
    </w:r>
    <w:r w:rsidRPr="00BA7C9E">
      <w:fldChar w:fldCharType="begin" w:fldLock="1"/>
    </w:r>
    <w:r w:rsidRPr="00BA7C9E">
      <w:instrText xml:space="preserve"> page</w:instrText>
    </w:r>
    <w:r w:rsidRPr="00BA7C9E">
      <w:fldChar w:fldCharType="separate"/>
    </w:r>
    <w:r w:rsidRPr="00BA7C9E">
      <w:instrText>2</w:instrText>
    </w:r>
    <w:r w:rsidRPr="00BA7C9E">
      <w:fldChar w:fldCharType="end"/>
    </w:r>
    <w:r w:rsidRPr="00BA7C9E">
      <w:instrText xml:space="preserve">/2) </w:instrText>
    </w:r>
    <w:r w:rsidRPr="00BA7C9E">
      <w:fldChar w:fldCharType="separate"/>
    </w:r>
    <w:r w:rsidRPr="00BA7C9E">
      <w:instrText>1</w:instrText>
    </w:r>
    <w:r w:rsidRPr="00BA7C9E">
      <w:fldChar w:fldCharType="end"/>
    </w:r>
    <w:r w:rsidRPr="00BA7C9E">
      <w:fldChar w:fldCharType="separate"/>
    </w:r>
    <w:r w:rsidRPr="00BA7C9E">
      <w:instrText>0</w:instrText>
    </w:r>
    <w:r w:rsidRPr="00BA7C9E">
      <w:fldChar w:fldCharType="end"/>
    </w:r>
    <w:r w:rsidRPr="00BA7C9E">
      <w:instrText xml:space="preserve"> = 0 "</w:instrTex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Pr="00BA7C9E">
      <w:rPr>
        <w:rStyle w:val="SidhuvudUtskott"/>
      </w:rPr>
      <w:instrText>2011/12</w:instrText>
    </w:r>
    <w:r w:rsidRPr="00BA7C9E">
      <w:rPr>
        <w:rStyle w:val="SidhuvudUtskott"/>
      </w:rPr>
      <w:fldChar w:fldCharType="end"/>
    </w:r>
    <w:r w:rsidRPr="00BA7C9E">
      <w:rPr>
        <w:rStyle w:val="SidhuvudUtskott"/>
      </w:rPr>
      <w:instrText>:</w:instrText>
    </w:r>
    <w:r w:rsidRPr="00BA7C9E">
      <w:rPr>
        <w:rStyle w:val="SidhuvudUtskott"/>
      </w:rPr>
      <w:fldChar w:fldCharType="begin" w:fldLock="1"/>
    </w:r>
    <w:r w:rsidRPr="00BA7C9E">
      <w:rPr>
        <w:rStyle w:val="SidhuvudUtskott"/>
      </w:rPr>
      <w:instrText xml:space="preserve"> DOCPROPERTY Utskott</w:instrText>
    </w:r>
    <w:r w:rsidRPr="00BA7C9E">
      <w:rPr>
        <w:rStyle w:val="SidhuvudUtskott"/>
      </w:rPr>
      <w:fldChar w:fldCharType="separate"/>
    </w:r>
    <w:r w:rsidRPr="00BA7C9E">
      <w:rPr>
        <w:rStyle w:val="SidhuvudUtskott"/>
      </w:rPr>
      <w:instrText>RRS</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Pr="00BA7C9E">
      <w:rPr>
        <w:rStyle w:val="SidhuvudUtskott"/>
      </w:rPr>
      <w:instrText>1</w:instrText>
    </w:r>
    <w:r w:rsidRPr="00BA7C9E">
      <w:rPr>
        <w:rStyle w:val="SidhuvudUtskott"/>
      </w:rPr>
      <w:fldChar w:fldCharType="end"/>
    </w:r>
    <w:r w:rsidRPr="00BA7C9E">
      <w:instrText xml:space="preserve">    </w:instrText>
    </w:r>
  </w:p>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Pr="00BA7C9E">
      <w:rPr>
        <w:rStyle w:val="SidhuvudUtskott"/>
      </w:rPr>
      <w:instrText>Utkast</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Pr="00BA7C9E">
      <w:rPr>
        <w:rStyle w:val="SidhuvudUtskott"/>
      </w:rPr>
      <w:instrText>Nej</w:instrText>
    </w:r>
    <w:r w:rsidRPr="00BA7C9E">
      <w:rPr>
        <w:rStyle w:val="SidhuvudUtskott"/>
      </w:rPr>
      <w:fldChar w:fldCharType="end"/>
    </w:r>
    <w:r w:rsidRPr="00BA7C9E">
      <w:rPr>
        <w:rStyle w:val="SidhuvudUtskott"/>
      </w:rPr>
      <w:instrText xml:space="preserve"> = "Ja" "    </w:instrText>
    </w:r>
    <w:r w:rsidRPr="00BA7C9E">
      <w:rPr>
        <w:rStyle w:val="SidhuvudUtskott"/>
      </w:rPr>
      <w:fldChar w:fldCharType="begin" w:fldLock="1"/>
    </w:r>
    <w:r w:rsidRPr="00BA7C9E">
      <w:rPr>
        <w:rStyle w:val="SidhuvudUtskott"/>
      </w:rPr>
      <w:instrText xml:space="preserve"> PRINTDATE \@ "yyyy-MM-dd HH.mm"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p>
  <w:p w:rsidR="00162449" w:rsidRPr="00BA7C9E" w:rsidRDefault="00162449">
    <w:pPr>
      <w:pStyle w:val="SidhuvudKantUdda"/>
      <w:framePr w:w="8732" w:h="567" w:hRule="exact" w:vSpace="0" w:wrap="around" w:vAnchor="page" w:y="341" w:anchorLock="0"/>
    </w:pPr>
    <w:r w:rsidRPr="00BA7C9E">
      <w:rPr>
        <w:rStyle w:val="SidhuvudRubrikReferens"/>
        <w:smallCaps w:val="0"/>
        <w:spacing w:val="0"/>
        <w:sz w:val="19"/>
      </w:rPr>
      <w:instrText xml:space="preserve"> </w:instrText>
    </w:r>
    <w:r w:rsidRPr="00BA7C9E">
      <w:instrText xml:space="preserve">"  "  </w:instrTex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Pr="00BA7C9E">
      <w:rPr>
        <w:rStyle w:val="SidhuvudUtskott"/>
      </w:rPr>
      <w:instrText>1999/2000</w:instrText>
    </w:r>
    <w:r w:rsidRPr="00BA7C9E">
      <w:rPr>
        <w:rStyle w:val="SidhuvudUtskott"/>
      </w:rPr>
      <w:fldChar w:fldCharType="end"/>
    </w:r>
    <w:r w:rsidRPr="00BA7C9E">
      <w:rPr>
        <w:rStyle w:val="SidhuvudUtskott"/>
      </w:rPr>
      <w:instrText>:</w:instrText>
    </w:r>
    <w:r w:rsidRPr="00BA7C9E">
      <w:rPr>
        <w:rStyle w:val="SidhuvudUtskott"/>
      </w:rPr>
      <w:fldChar w:fldCharType="begin" w:fldLock="1"/>
    </w:r>
    <w:r w:rsidRPr="00BA7C9E">
      <w:rPr>
        <w:rStyle w:val="SidhuvudUtskott"/>
      </w:rPr>
      <w:instrText xml:space="preserve"> DOCPROPERTY Utskott</w:instrText>
    </w:r>
    <w:r w:rsidRPr="00BA7C9E">
      <w:rPr>
        <w:rStyle w:val="SidhuvudUtskott"/>
      </w:rPr>
      <w:fldChar w:fldCharType="separate"/>
    </w:r>
    <w:r w:rsidRPr="00BA7C9E">
      <w:rPr>
        <w:rStyle w:val="SidhuvudUtskott"/>
      </w:rPr>
      <w:instrText>BoU</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Pr="00BA7C9E">
      <w:rPr>
        <w:rStyle w:val="SidhuvudUtskott"/>
      </w:rPr>
      <w:instrText>6678</w:instrText>
    </w:r>
    <w:r w:rsidRPr="00BA7C9E">
      <w:rPr>
        <w:rStyle w:val="SidhuvudUtskott"/>
      </w:rPr>
      <w:fldChar w:fldCharType="end"/>
    </w:r>
  </w:p>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Pr="00BA7C9E">
      <w:rPr>
        <w:rStyle w:val="SidhuvudUtskott"/>
      </w:rPr>
      <w:instrText>Nej</w:instrText>
    </w:r>
    <w:r w:rsidRPr="00BA7C9E">
      <w:rPr>
        <w:rStyle w:val="SidhuvudUtskott"/>
      </w:rPr>
      <w:fldChar w:fldCharType="end"/>
    </w:r>
    <w:r w:rsidRPr="00BA7C9E">
      <w:rPr>
        <w:rStyle w:val="SidhuvudUtskott"/>
      </w:rPr>
      <w:instrText xml:space="preserve"> = "Ja" "</w:instrText>
    </w:r>
    <w:r w:rsidRPr="00BA7C9E">
      <w:rPr>
        <w:rStyle w:val="SidhuvudUtskott"/>
      </w:rPr>
      <w:fldChar w:fldCharType="begin" w:fldLock="1"/>
    </w:r>
    <w:r w:rsidRPr="00BA7C9E">
      <w:rPr>
        <w:rStyle w:val="SidhuvudUtskott"/>
      </w:rPr>
      <w:instrText xml:space="preserve"> PRINTDATE \@ "yyyy-MM-dd HH.mm    "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Pr="00BA7C9E">
      <w:rPr>
        <w:rStyle w:val="SidhuvudUtskott"/>
      </w:rPr>
      <w:instrText>Utkast 2</w:instrText>
    </w:r>
    <w:r w:rsidRPr="00BA7C9E">
      <w:rPr>
        <w:rStyle w:val="SidhuvudUtskott"/>
      </w:rPr>
      <w:fldChar w:fldCharType="end"/>
    </w:r>
    <w:r w:rsidRPr="00BA7C9E">
      <w:instrText>"</w:instrText>
    </w:r>
    <w:r w:rsidRPr="00BA7C9E">
      <w:fldChar w:fldCharType="separate"/>
    </w:r>
    <w:r w:rsidRPr="00BA7C9E">
      <w:rPr>
        <w:rStyle w:val="SidhuvudUtskott"/>
      </w:rPr>
      <w:instrText>2011/12:RRS1</w:instrText>
    </w:r>
    <w:r w:rsidRPr="00BA7C9E">
      <w:instrText xml:space="preserve">    </w:instrText>
    </w:r>
  </w:p>
  <w:p w:rsidR="00162449" w:rsidRPr="00BA7C9E" w:rsidRDefault="00162449">
    <w:pPr>
      <w:pStyle w:val="SidhuvudKantJmn"/>
      <w:framePr w:w="8732" w:h="567" w:hRule="exact" w:vSpace="0" w:wrap="around" w:vAnchor="page" w:y="341" w:anchorLock="0"/>
    </w:pPr>
    <w:r w:rsidRPr="00BA7C9E">
      <w:rPr>
        <w:rStyle w:val="SidhuvudUtskott"/>
      </w:rPr>
      <w:instrText>Utkast</w:instrText>
    </w:r>
  </w:p>
  <w:p w:rsidR="00162449" w:rsidRPr="00BA7C9E" w:rsidRDefault="00162449">
    <w:pPr>
      <w:pStyle w:val="SidhuvudKantUdda"/>
      <w:framePr w:w="8732" w:h="567" w:hRule="exact" w:vSpace="0" w:wrap="around" w:vAnchor="page" w:y="341" w:anchorLock="0"/>
    </w:pPr>
    <w:r w:rsidRPr="00BA7C9E">
      <w:rPr>
        <w:rStyle w:val="SidhuvudRubrikReferens"/>
        <w:smallCaps w:val="0"/>
        <w:spacing w:val="0"/>
        <w:sz w:val="19"/>
      </w:rPr>
      <w:instrText xml:space="preserve"> </w:instrText>
    </w:r>
    <w:r w:rsidRPr="00BA7C9E">
      <w:fldChar w:fldCharType="end"/>
    </w:r>
    <w:r w:rsidRPr="00BA7C9E">
      <w:instrText>" " "</w:instrText>
    </w:r>
    <w:r w:rsidRPr="00BA7C9E">
      <w:fldChar w:fldCharType="separate"/>
    </w:r>
    <w:r w:rsidR="00BA7C9E" w:rsidRPr="00BA7C9E">
      <w:rPr>
        <w:noProof/>
      </w:rPr>
      <w:t xml:space="preserve"> </w:t>
    </w:r>
    <w:r w:rsidRPr="00BA7C9E">
      <w:fldChar w:fldCharType="end"/>
    </w:r>
  </w:p>
  <w:p w:rsidR="00162449" w:rsidRPr="00BA7C9E" w:rsidRDefault="001624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AC7744">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r w:rsidRPr="00BA7C9E">
      <w:t xml:space="preserve">     </w:t>
    </w:r>
    <w:r w:rsidRPr="00BA7C9E">
      <w:rPr>
        <w:rStyle w:val="SidhuvudBilaga"/>
      </w:rPr>
      <w:t xml:space="preserve"> </w:t>
    </w:r>
  </w:p>
  <w:p w:rsidR="00162449" w:rsidRPr="00BA7C9E" w:rsidRDefault="001624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w:t>
    </w:r>
    <w:r w:rsidRPr="00BA7C9E">
      <w:rPr>
        <w:rStyle w:val="SidhuvudUtskott"/>
      </w:rPr>
      <w:fldChar w:fldCharType="begin" w:fldLock="1"/>
    </w:r>
    <w:r w:rsidRPr="00BA7C9E">
      <w:rPr>
        <w:rStyle w:val="SidhuvudUtskott"/>
      </w:rPr>
      <w:instrText xml:space="preserve"> DOCPROPERTY Utskott</w:instrText>
    </w:r>
    <w:r w:rsidRPr="00BA7C9E">
      <w:rPr>
        <w:rStyle w:val="SidhuvudUtskott"/>
      </w:rPr>
      <w:fldChar w:fldCharType="separate"/>
    </w:r>
    <w:r w:rsidR="00D529EB" w:rsidRPr="00BA7C9E">
      <w:rPr>
        <w:rStyle w:val="SidhuvudUtskott"/>
      </w:rPr>
      <w:t>RRS</w: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00D529EB" w:rsidRPr="00BA7C9E">
      <w:rPr>
        <w:rStyle w:val="SidhuvudUtskott"/>
      </w:rPr>
      <w:t>1</w:t>
    </w:r>
    <w:r w:rsidRPr="00BA7C9E">
      <w:rPr>
        <w:rStyle w:val="SidhuvudUtskott"/>
      </w:rPr>
      <w:fldChar w:fldCharType="end"/>
    </w:r>
    <w:r w:rsidRPr="00BA7C9E">
      <w:t xml:space="preserve">     </w:t>
    </w:r>
    <w:r w:rsidRPr="00BA7C9E">
      <w:rPr>
        <w:rStyle w:val="SidhuvudBilaga"/>
      </w:rPr>
      <w:t xml:space="preserve"> </w:t>
    </w:r>
    <w:r w:rsidRPr="00BA7C9E">
      <w:rPr>
        <w:rStyle w:val="SidhuvudRubrikReferens"/>
      </w:rPr>
      <w:fldChar w:fldCharType="begin" w:fldLock="1"/>
    </w:r>
    <w:r w:rsidRPr="00BA7C9E">
      <w:rPr>
        <w:rStyle w:val="SidhuvudRubrikReferens"/>
      </w:rPr>
      <w:instrText xml:space="preserve"> StyleREF "Rubrik 1" </w:instrText>
    </w:r>
    <w:r w:rsidRPr="00BA7C9E">
      <w:rPr>
        <w:rStyle w:val="SidhuvudRubrikReferens"/>
      </w:rPr>
      <w:fldChar w:fldCharType="separate"/>
    </w:r>
    <w:r w:rsidR="00D529EB" w:rsidRPr="00BA7C9E">
      <w:rPr>
        <w:rStyle w:val="SidhuvudRubrikReferens"/>
      </w:rPr>
      <w:t>Beslut, intygande och underskrift</w:t>
    </w:r>
    <w:r w:rsidRPr="00BA7C9E">
      <w:rPr>
        <w:rStyle w:val="SidhuvudRubrikReferens"/>
      </w:rPr>
      <w:fldChar w:fldCharType="end"/>
    </w:r>
  </w:p>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00D529EB" w:rsidRPr="00BA7C9E">
      <w:rPr>
        <w:rStyle w:val="SidhuvudUtskott"/>
      </w:rPr>
      <w:t>Utkast</w:t>
    </w:r>
    <w:r w:rsidRPr="00BA7C9E">
      <w:rPr>
        <w:rStyle w:val="SidhuvudUtskott"/>
      </w:rPr>
      <w:fldChar w:fldCharType="end"/>
    </w: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00D529EB" w:rsidRPr="00BA7C9E">
      <w:rPr>
        <w:rStyle w:val="SidhuvudUtskott"/>
      </w:rPr>
      <w:instrText>Nej</w:instrText>
    </w:r>
    <w:r w:rsidRPr="00BA7C9E">
      <w:rPr>
        <w:rStyle w:val="SidhuvudUtskott"/>
      </w:rPr>
      <w:fldChar w:fldCharType="end"/>
    </w:r>
    <w:r w:rsidRPr="00BA7C9E">
      <w:rPr>
        <w:rStyle w:val="SidhuvudUtskott"/>
      </w:rPr>
      <w:instrText xml:space="preserve"> = "Ja" "    </w:instrText>
    </w:r>
    <w:r w:rsidRPr="00BA7C9E">
      <w:rPr>
        <w:rStyle w:val="SidhuvudUtskott"/>
      </w:rPr>
      <w:fldChar w:fldCharType="begin" w:fldLock="1"/>
    </w:r>
    <w:r w:rsidRPr="00BA7C9E">
      <w:rPr>
        <w:rStyle w:val="SidhuvudUtskott"/>
      </w:rPr>
      <w:instrText xml:space="preserve"> PRINTDATE \@ "yyyy-MM-dd HH.mm"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p>
  <w:p w:rsidR="00162449" w:rsidRPr="00BA7C9E" w:rsidRDefault="001624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Udda"/>
      <w:framePr w:w="8732" w:h="567" w:hRule="exact" w:vSpace="0" w:wrap="around" w:vAnchor="page" w:y="341" w:anchorLock="0"/>
    </w:pPr>
    <w:r w:rsidRPr="00BA7C9E">
      <w:rPr>
        <w:rStyle w:val="SidhuvudRubrikReferens"/>
      </w:rPr>
      <w:fldChar w:fldCharType="begin" w:fldLock="1"/>
    </w:r>
    <w:r w:rsidRPr="00BA7C9E">
      <w:rPr>
        <w:rStyle w:val="SidhuvudRubrikReferens"/>
      </w:rPr>
      <w:instrText xml:space="preserve"> StyleREF "Rubrik 1" </w:instrText>
    </w:r>
    <w:r w:rsidRPr="00BA7C9E">
      <w:rPr>
        <w:rStyle w:val="SidhuvudRubrikReferens"/>
      </w:rPr>
      <w:fldChar w:fldCharType="separate"/>
    </w:r>
    <w:r w:rsidR="00D529EB" w:rsidRPr="00BA7C9E">
      <w:rPr>
        <w:rStyle w:val="SidhuvudRubrikReferens"/>
      </w:rPr>
      <w:t>Beslut, intygande och underskrift</w:t>
    </w:r>
    <w:r w:rsidRPr="00BA7C9E">
      <w:rPr>
        <w:rStyle w:val="SidhuvudRubrikReferens"/>
      </w:rPr>
      <w:fldChar w:fldCharType="end"/>
    </w:r>
    <w:r w:rsidRPr="00BA7C9E">
      <w:rPr>
        <w:rStyle w:val="SidhuvudBilaga"/>
      </w:rPr>
      <w:t xml:space="preserve">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w:t>
    </w:r>
    <w:r w:rsidRPr="00BA7C9E">
      <w:rPr>
        <w:rStyle w:val="SidhuvudUtskott"/>
      </w:rPr>
      <w:fldChar w:fldCharType="begin" w:fldLock="1"/>
    </w:r>
    <w:r w:rsidRPr="00BA7C9E">
      <w:rPr>
        <w:rStyle w:val="SidhuvudUtskott"/>
      </w:rPr>
      <w:instrText xml:space="preserve"> DOCPROPERTY</w:instrText>
    </w:r>
    <w:r w:rsidRPr="00BA7C9E">
      <w:instrText xml:space="preserve"> </w:instrText>
    </w:r>
    <w:r w:rsidRPr="00BA7C9E">
      <w:rPr>
        <w:rStyle w:val="SidhuvudUtskott"/>
      </w:rPr>
      <w:instrText>Utskott</w:instrText>
    </w:r>
    <w:r w:rsidRPr="00BA7C9E">
      <w:rPr>
        <w:rStyle w:val="SidhuvudUtskott"/>
      </w:rPr>
      <w:fldChar w:fldCharType="separate"/>
    </w:r>
    <w:r w:rsidR="00D529EB" w:rsidRPr="00BA7C9E">
      <w:rPr>
        <w:rStyle w:val="SidhuvudUtskott"/>
      </w:rPr>
      <w:t>RRS</w: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00D529EB" w:rsidRPr="00BA7C9E">
      <w:rPr>
        <w:rStyle w:val="SidhuvudUtskott"/>
      </w:rPr>
      <w:t>1</w:t>
    </w:r>
    <w:r w:rsidRPr="00BA7C9E">
      <w:rPr>
        <w:rStyle w:val="SidhuvudUtskott"/>
      </w:rPr>
      <w:fldChar w:fldCharType="end"/>
    </w:r>
  </w:p>
  <w:p w:rsidR="00162449" w:rsidRPr="00BA7C9E" w:rsidRDefault="00162449">
    <w:pPr>
      <w:pStyle w:val="SidhuvudKantUdda"/>
      <w:framePr w:w="8732" w:h="567" w:hRule="exact" w:vSpace="0" w:wrap="around" w:vAnchor="page" w:y="341" w:anchorLock="0"/>
    </w:pP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00D529EB" w:rsidRPr="00BA7C9E">
      <w:rPr>
        <w:rStyle w:val="SidhuvudUtskott"/>
      </w:rPr>
      <w:instrText>Nej</w:instrText>
    </w:r>
    <w:r w:rsidRPr="00BA7C9E">
      <w:rPr>
        <w:rStyle w:val="SidhuvudUtskott"/>
      </w:rPr>
      <w:fldChar w:fldCharType="end"/>
    </w:r>
    <w:r w:rsidRPr="00BA7C9E">
      <w:rPr>
        <w:rStyle w:val="SidhuvudUtskott"/>
      </w:rPr>
      <w:instrText xml:space="preserve"> = "Ja" "</w:instrText>
    </w:r>
    <w:r w:rsidRPr="00BA7C9E">
      <w:rPr>
        <w:rStyle w:val="SidhuvudUtskott"/>
      </w:rPr>
      <w:fldChar w:fldCharType="begin" w:fldLock="1"/>
    </w:r>
    <w:r w:rsidRPr="00BA7C9E">
      <w:rPr>
        <w:rStyle w:val="SidhuvudUtskott"/>
      </w:rPr>
      <w:instrText xml:space="preserve"> PRINTDATE \@ "yyyy-MM-dd HH.mm    "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00D529EB" w:rsidRPr="00BA7C9E">
      <w:rPr>
        <w:rStyle w:val="SidhuvudUtskott"/>
      </w:rPr>
      <w:t>Utkast</w:t>
    </w:r>
    <w:r w:rsidRPr="00BA7C9E">
      <w:rPr>
        <w:rStyle w:val="SidhuvudUtskott"/>
      </w:rPr>
      <w:fldChar w:fldCharType="end"/>
    </w:r>
  </w:p>
  <w:p w:rsidR="00162449" w:rsidRPr="00BA7C9E" w:rsidRDefault="001624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C9691D">
    <w:pPr>
      <w:pStyle w:val="SidhuvudKantUdda"/>
      <w:framePr w:w="8732" w:h="567" w:hRule="exact" w:vSpace="0" w:wrap="around" w:vAnchor="page" w:y="341" w:anchorLock="0"/>
    </w:pPr>
    <w:r w:rsidRPr="00BA7C9E">
      <w:rPr>
        <w:rStyle w:val="SidhuvudBilaga"/>
      </w:rPr>
      <w:t xml:space="preserve">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p>
  <w:p w:rsidR="00162449" w:rsidRPr="00BA7C9E" w:rsidRDefault="001624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w:t>
    </w:r>
    <w:r w:rsidRPr="00BA7C9E">
      <w:rPr>
        <w:rStyle w:val="SidhuvudUtskott"/>
      </w:rPr>
      <w:fldChar w:fldCharType="begin" w:fldLock="1"/>
    </w:r>
    <w:r w:rsidRPr="00BA7C9E">
      <w:rPr>
        <w:rStyle w:val="SidhuvudUtskott"/>
      </w:rPr>
      <w:instrText xml:space="preserve"> DOCPROPERTY Utskott</w:instrText>
    </w:r>
    <w:r w:rsidRPr="00BA7C9E">
      <w:rPr>
        <w:rStyle w:val="SidhuvudUtskott"/>
      </w:rPr>
      <w:fldChar w:fldCharType="separate"/>
    </w:r>
    <w:r w:rsidR="00D529EB" w:rsidRPr="00BA7C9E">
      <w:rPr>
        <w:rStyle w:val="SidhuvudUtskott"/>
      </w:rPr>
      <w:t>RRS</w:t>
    </w:r>
    <w:r w:rsidRPr="00BA7C9E">
      <w:rPr>
        <w:rStyle w:val="SidhuvudUtskott"/>
      </w:rPr>
      <w:fldChar w:fldCharType="end"/>
    </w:r>
    <w:r w:rsidRPr="00BA7C9E">
      <w:rPr>
        <w:rStyle w:val="SidhuvudUtskott"/>
      </w:rPr>
      <w:fldChar w:fldCharType="begin" w:fldLock="1"/>
    </w:r>
    <w:r w:rsidRPr="00BA7C9E">
      <w:rPr>
        <w:rStyle w:val="SidhuvudUtskott"/>
      </w:rPr>
      <w:instrText xml:space="preserve"> DOCPROPERTY BetänkandeNr</w:instrText>
    </w:r>
    <w:r w:rsidRPr="00BA7C9E">
      <w:rPr>
        <w:rStyle w:val="SidhuvudUtskott"/>
      </w:rPr>
      <w:fldChar w:fldCharType="separate"/>
    </w:r>
    <w:r w:rsidR="00D529EB" w:rsidRPr="00BA7C9E">
      <w:rPr>
        <w:rStyle w:val="SidhuvudUtskott"/>
      </w:rPr>
      <w:t>1</w:t>
    </w:r>
    <w:r w:rsidRPr="00BA7C9E">
      <w:rPr>
        <w:rStyle w:val="SidhuvudUtskott"/>
      </w:rPr>
      <w:fldChar w:fldCharType="end"/>
    </w:r>
    <w:r w:rsidRPr="00BA7C9E">
      <w:t xml:space="preserve">     </w:t>
    </w:r>
    <w:r w:rsidRPr="00BA7C9E">
      <w:rPr>
        <w:rStyle w:val="SidhuvudBilaga"/>
      </w:rPr>
      <w:t xml:space="preserve"> </w:t>
    </w:r>
    <w:r w:rsidRPr="00BA7C9E">
      <w:rPr>
        <w:rStyle w:val="SidhuvudRubrikReferens"/>
      </w:rPr>
      <w:fldChar w:fldCharType="begin" w:fldLock="1"/>
    </w:r>
    <w:r w:rsidRPr="00BA7C9E">
      <w:rPr>
        <w:rStyle w:val="SidhuvudRubrikReferens"/>
      </w:rPr>
      <w:instrText xml:space="preserve"> StyleREF "Rubrik 1" </w:instrText>
    </w:r>
    <w:r w:rsidRPr="00BA7C9E">
      <w:rPr>
        <w:rStyle w:val="SidhuvudRubrikReferens"/>
      </w:rPr>
      <w:fldChar w:fldCharType="separate"/>
    </w:r>
    <w:r w:rsidR="00D529EB" w:rsidRPr="00BA7C9E">
      <w:rPr>
        <w:rStyle w:val="SidhuvudRubrikReferens"/>
      </w:rPr>
      <w:t>Innehållsförteckning</w:t>
    </w:r>
    <w:r w:rsidRPr="00BA7C9E">
      <w:rPr>
        <w:rStyle w:val="SidhuvudRubrikReferens"/>
      </w:rPr>
      <w:fldChar w:fldCharType="end"/>
    </w:r>
  </w:p>
  <w:p w:rsidR="00162449" w:rsidRPr="00BA7C9E" w:rsidRDefault="00162449">
    <w:pPr>
      <w:pStyle w:val="SidhuvudKantJmn"/>
      <w:framePr w:w="8732" w:h="567" w:hRule="exact" w:vSpace="0" w:wrap="around" w:vAnchor="page" w:y="341" w:anchorLock="0"/>
    </w:pPr>
    <w:r w:rsidRPr="00BA7C9E">
      <w:rPr>
        <w:rStyle w:val="SidhuvudUtskott"/>
      </w:rPr>
      <w:fldChar w:fldCharType="begin" w:fldLock="1"/>
    </w:r>
    <w:r w:rsidRPr="00BA7C9E">
      <w:rPr>
        <w:rStyle w:val="SidhuvudUtskott"/>
      </w:rPr>
      <w:instrText xml:space="preserve"> DOCPROPERTY Status</w:instrText>
    </w:r>
    <w:r w:rsidRPr="00BA7C9E">
      <w:rPr>
        <w:rStyle w:val="SidhuvudUtskott"/>
      </w:rPr>
      <w:fldChar w:fldCharType="separate"/>
    </w:r>
    <w:r w:rsidR="00D529EB" w:rsidRPr="00BA7C9E">
      <w:rPr>
        <w:rStyle w:val="SidhuvudUtskott"/>
      </w:rPr>
      <w:t>Utkast</w:t>
    </w:r>
    <w:r w:rsidRPr="00BA7C9E">
      <w:rPr>
        <w:rStyle w:val="SidhuvudUtskott"/>
      </w:rPr>
      <w:fldChar w:fldCharType="end"/>
    </w:r>
    <w:r w:rsidRPr="00BA7C9E">
      <w:rPr>
        <w:rStyle w:val="SidhuvudUtskott"/>
      </w:rPr>
      <w:fldChar w:fldCharType="begin" w:fldLock="1"/>
    </w:r>
    <w:r w:rsidRPr="00BA7C9E">
      <w:rPr>
        <w:rStyle w:val="SidhuvudUtskott"/>
      </w:rPr>
      <w:instrText xml:space="preserve"> if </w:instrText>
    </w:r>
    <w:r w:rsidRPr="00BA7C9E">
      <w:rPr>
        <w:rStyle w:val="SidhuvudUtskott"/>
      </w:rPr>
      <w:fldChar w:fldCharType="begin" w:fldLock="1"/>
    </w:r>
    <w:r w:rsidRPr="00BA7C9E">
      <w:rPr>
        <w:rStyle w:val="SidhuvudUtskott"/>
      </w:rPr>
      <w:instrText xml:space="preserve"> DOCPROPERTY "UtkastDatum"</w:instrText>
    </w:r>
    <w:r w:rsidRPr="00BA7C9E">
      <w:rPr>
        <w:rStyle w:val="SidhuvudUtskott"/>
      </w:rPr>
      <w:fldChar w:fldCharType="separate"/>
    </w:r>
    <w:r w:rsidR="00D529EB" w:rsidRPr="00BA7C9E">
      <w:rPr>
        <w:rStyle w:val="SidhuvudUtskott"/>
      </w:rPr>
      <w:instrText>Nej</w:instrText>
    </w:r>
    <w:r w:rsidRPr="00BA7C9E">
      <w:rPr>
        <w:rStyle w:val="SidhuvudUtskott"/>
      </w:rPr>
      <w:fldChar w:fldCharType="end"/>
    </w:r>
    <w:r w:rsidRPr="00BA7C9E">
      <w:rPr>
        <w:rStyle w:val="SidhuvudUtskott"/>
      </w:rPr>
      <w:instrText xml:space="preserve"> = "Ja" "    </w:instrText>
    </w:r>
    <w:r w:rsidRPr="00BA7C9E">
      <w:rPr>
        <w:rStyle w:val="SidhuvudUtskott"/>
      </w:rPr>
      <w:fldChar w:fldCharType="begin" w:fldLock="1"/>
    </w:r>
    <w:r w:rsidRPr="00BA7C9E">
      <w:rPr>
        <w:rStyle w:val="SidhuvudUtskott"/>
      </w:rPr>
      <w:instrText xml:space="preserve"> PRINTDATE \@ "yyyy-MM-dd HH.mm" </w:instrText>
    </w:r>
    <w:r w:rsidRPr="00BA7C9E">
      <w:rPr>
        <w:rStyle w:val="SidhuvudUtskott"/>
      </w:rPr>
      <w:fldChar w:fldCharType="separate"/>
    </w:r>
    <w:r w:rsidRPr="00BA7C9E">
      <w:rPr>
        <w:rStyle w:val="SidhuvudUtskott"/>
      </w:rPr>
      <w:instrText>2000-08-11 16.42</w:instrText>
    </w:r>
    <w:r w:rsidRPr="00BA7C9E">
      <w:rPr>
        <w:rStyle w:val="SidhuvudUtskott"/>
      </w:rPr>
      <w:fldChar w:fldCharType="end"/>
    </w:r>
    <w:r w:rsidRPr="00BA7C9E">
      <w:rPr>
        <w:rStyle w:val="SidhuvudUtskott"/>
      </w:rPr>
      <w:instrText xml:space="preserve">" </w:instrText>
    </w:r>
    <w:r w:rsidRPr="00BA7C9E">
      <w:rPr>
        <w:rStyle w:val="SidhuvudUtskott"/>
      </w:rPr>
      <w:fldChar w:fldCharType="end"/>
    </w:r>
  </w:p>
  <w:p w:rsidR="00162449" w:rsidRPr="00BA7C9E" w:rsidRDefault="001624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49" w:rsidRPr="00BA7C9E" w:rsidRDefault="00162449" w:rsidP="00C9691D">
    <w:pPr>
      <w:pStyle w:val="SidhuvudKantUdda"/>
      <w:framePr w:w="8732" w:h="567" w:hRule="exact" w:vSpace="0" w:wrap="around" w:vAnchor="page" w:y="341" w:anchorLock="0"/>
    </w:pPr>
    <w:r w:rsidRPr="00BA7C9E">
      <w:rPr>
        <w:rStyle w:val="SidhuvudBilaga"/>
      </w:rPr>
      <w:t xml:space="preserve">Förord </w:t>
    </w:r>
    <w:r w:rsidRPr="00BA7C9E">
      <w:t xml:space="preserve">     </w:t>
    </w:r>
    <w:r w:rsidRPr="00BA7C9E">
      <w:rPr>
        <w:rStyle w:val="SidhuvudUtskott"/>
      </w:rPr>
      <w:fldChar w:fldCharType="begin" w:fldLock="1"/>
    </w:r>
    <w:r w:rsidRPr="00BA7C9E">
      <w:rPr>
        <w:rStyle w:val="SidhuvudUtskott"/>
      </w:rPr>
      <w:instrText xml:space="preserve"> DOCPROPERTY BetänkandeÅr</w:instrText>
    </w:r>
    <w:r w:rsidRPr="00BA7C9E">
      <w:rPr>
        <w:rStyle w:val="SidhuvudUtskott"/>
      </w:rPr>
      <w:fldChar w:fldCharType="separate"/>
    </w:r>
    <w:r w:rsidR="00D529EB" w:rsidRPr="00BA7C9E">
      <w:rPr>
        <w:rStyle w:val="SidhuvudUtskott"/>
      </w:rPr>
      <w:t>2011/12</w:t>
    </w:r>
    <w:r w:rsidRPr="00BA7C9E">
      <w:rPr>
        <w:rStyle w:val="SidhuvudUtskott"/>
      </w:rPr>
      <w:fldChar w:fldCharType="end"/>
    </w:r>
    <w:r w:rsidRPr="00BA7C9E">
      <w:rPr>
        <w:rStyle w:val="SidhuvudUtskott"/>
      </w:rPr>
      <w:t>:RR1</w:t>
    </w:r>
  </w:p>
  <w:p w:rsidR="00162449" w:rsidRPr="00BA7C9E" w:rsidRDefault="001624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06"/>
    <w:multiLevelType w:val="hybridMultilevel"/>
    <w:tmpl w:val="CD389B7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7AB695F"/>
    <w:multiLevelType w:val="hybridMultilevel"/>
    <w:tmpl w:val="393C0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C9433B"/>
    <w:multiLevelType w:val="multilevel"/>
    <w:tmpl w:val="F11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7F92"/>
    <w:multiLevelType w:val="hybridMultilevel"/>
    <w:tmpl w:val="CEB6A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6061837"/>
    <w:multiLevelType w:val="hybridMultilevel"/>
    <w:tmpl w:val="0FDA696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0657E9"/>
    <w:multiLevelType w:val="hybridMultilevel"/>
    <w:tmpl w:val="A1B6577C"/>
    <w:lvl w:ilvl="0" w:tplc="041D0001">
      <w:start w:val="1"/>
      <w:numFmt w:val="bullet"/>
      <w:lvlText w:val=""/>
      <w:lvlJc w:val="left"/>
      <w:pPr>
        <w:ind w:left="587" w:hanging="360"/>
      </w:pPr>
      <w:rPr>
        <w:rFonts w:ascii="Symbol" w:hAnsi="Symbol"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8" w15:restartNumberingAfterBreak="0">
    <w:nsid w:val="23582A50"/>
    <w:multiLevelType w:val="hybridMultilevel"/>
    <w:tmpl w:val="00EA76C0"/>
    <w:lvl w:ilvl="0" w:tplc="8F6494B2">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AE72014"/>
    <w:multiLevelType w:val="hybridMultilevel"/>
    <w:tmpl w:val="A58C56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B0354E"/>
    <w:multiLevelType w:val="hybridMultilevel"/>
    <w:tmpl w:val="5B66BE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6744D0"/>
    <w:multiLevelType w:val="hybridMultilevel"/>
    <w:tmpl w:val="3FFC278E"/>
    <w:lvl w:ilvl="0" w:tplc="8F6494B2">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64480B"/>
    <w:multiLevelType w:val="hybridMultilevel"/>
    <w:tmpl w:val="29726E8A"/>
    <w:lvl w:ilvl="0" w:tplc="654A515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1840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89B2882"/>
    <w:multiLevelType w:val="hybridMultilevel"/>
    <w:tmpl w:val="AEC8BE5A"/>
    <w:lvl w:ilvl="0" w:tplc="8F6494B2">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1C483A"/>
    <w:multiLevelType w:val="hybridMultilevel"/>
    <w:tmpl w:val="FCD29BC2"/>
    <w:lvl w:ilvl="0" w:tplc="F790DB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E155CF"/>
    <w:multiLevelType w:val="hybridMultilevel"/>
    <w:tmpl w:val="3F3EA312"/>
    <w:lvl w:ilvl="0" w:tplc="89028900">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17" w15:restartNumberingAfterBreak="0">
    <w:nsid w:val="579654AC"/>
    <w:multiLevelType w:val="hybridMultilevel"/>
    <w:tmpl w:val="230245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E20400C"/>
    <w:multiLevelType w:val="hybridMultilevel"/>
    <w:tmpl w:val="24262018"/>
    <w:lvl w:ilvl="0" w:tplc="867E02FE">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1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08A5D20"/>
    <w:multiLevelType w:val="hybridMultilevel"/>
    <w:tmpl w:val="AEAED7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24009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640D12C0"/>
    <w:multiLevelType w:val="hybridMultilevel"/>
    <w:tmpl w:val="B4E8B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F34DA5"/>
    <w:multiLevelType w:val="hybridMultilevel"/>
    <w:tmpl w:val="F87C3CC2"/>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6986EE8"/>
    <w:multiLevelType w:val="hybridMultilevel"/>
    <w:tmpl w:val="28CECFF4"/>
    <w:lvl w:ilvl="0" w:tplc="ED8467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A614F5"/>
    <w:multiLevelType w:val="hybridMultilevel"/>
    <w:tmpl w:val="3D30A32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89994856">
    <w:abstractNumId w:val="5"/>
  </w:num>
  <w:num w:numId="2" w16cid:durableId="916481665">
    <w:abstractNumId w:val="19"/>
  </w:num>
  <w:num w:numId="3" w16cid:durableId="1018585174">
    <w:abstractNumId w:val="1"/>
  </w:num>
  <w:num w:numId="4" w16cid:durableId="374014624">
    <w:abstractNumId w:val="26"/>
  </w:num>
  <w:num w:numId="5" w16cid:durableId="1810706921">
    <w:abstractNumId w:val="23"/>
  </w:num>
  <w:num w:numId="6" w16cid:durableId="1843280277">
    <w:abstractNumId w:val="2"/>
  </w:num>
  <w:num w:numId="7" w16cid:durableId="1038318173">
    <w:abstractNumId w:val="7"/>
  </w:num>
  <w:num w:numId="8" w16cid:durableId="114715386">
    <w:abstractNumId w:val="10"/>
  </w:num>
  <w:num w:numId="9" w16cid:durableId="1127049081">
    <w:abstractNumId w:val="20"/>
  </w:num>
  <w:num w:numId="10" w16cid:durableId="1769500620">
    <w:abstractNumId w:val="25"/>
  </w:num>
  <w:num w:numId="11" w16cid:durableId="750395544">
    <w:abstractNumId w:val="6"/>
  </w:num>
  <w:num w:numId="12" w16cid:durableId="500701111">
    <w:abstractNumId w:val="0"/>
  </w:num>
  <w:num w:numId="13" w16cid:durableId="1964071234">
    <w:abstractNumId w:val="17"/>
  </w:num>
  <w:num w:numId="14" w16cid:durableId="2010793625">
    <w:abstractNumId w:val="22"/>
  </w:num>
  <w:num w:numId="15" w16cid:durableId="737091277">
    <w:abstractNumId w:val="4"/>
  </w:num>
  <w:num w:numId="16" w16cid:durableId="1615139593">
    <w:abstractNumId w:val="14"/>
  </w:num>
  <w:num w:numId="17" w16cid:durableId="2043363549">
    <w:abstractNumId w:val="9"/>
  </w:num>
  <w:num w:numId="18" w16cid:durableId="541988853">
    <w:abstractNumId w:val="21"/>
  </w:num>
  <w:num w:numId="19" w16cid:durableId="1128012626">
    <w:abstractNumId w:val="13"/>
  </w:num>
  <w:num w:numId="20" w16cid:durableId="1323772059">
    <w:abstractNumId w:val="11"/>
  </w:num>
  <w:num w:numId="21" w16cid:durableId="2057848982">
    <w:abstractNumId w:val="8"/>
  </w:num>
  <w:num w:numId="22" w16cid:durableId="1872692567">
    <w:abstractNumId w:val="18"/>
  </w:num>
  <w:num w:numId="23" w16cid:durableId="350768041">
    <w:abstractNumId w:val="16"/>
  </w:num>
  <w:num w:numId="24" w16cid:durableId="1300375308">
    <w:abstractNumId w:val="15"/>
  </w:num>
  <w:num w:numId="25" w16cid:durableId="517277978">
    <w:abstractNumId w:val="12"/>
  </w:num>
  <w:num w:numId="26" w16cid:durableId="1267494457">
    <w:abstractNumId w:val="24"/>
  </w:num>
  <w:num w:numId="27" w16cid:durableId="1210414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112"/>
  </w:docVars>
  <w:rsids>
    <w:rsidRoot w:val="00045E55"/>
    <w:rsid w:val="00000F7E"/>
    <w:rsid w:val="000014BC"/>
    <w:rsid w:val="0000600B"/>
    <w:rsid w:val="00007428"/>
    <w:rsid w:val="000115E2"/>
    <w:rsid w:val="00014F4E"/>
    <w:rsid w:val="0001692E"/>
    <w:rsid w:val="00016972"/>
    <w:rsid w:val="00023B0C"/>
    <w:rsid w:val="00027608"/>
    <w:rsid w:val="00033D49"/>
    <w:rsid w:val="00037057"/>
    <w:rsid w:val="00045059"/>
    <w:rsid w:val="00045507"/>
    <w:rsid w:val="00045E55"/>
    <w:rsid w:val="00050460"/>
    <w:rsid w:val="00064B25"/>
    <w:rsid w:val="00074909"/>
    <w:rsid w:val="00074FD7"/>
    <w:rsid w:val="00076172"/>
    <w:rsid w:val="000827F1"/>
    <w:rsid w:val="000831AC"/>
    <w:rsid w:val="00087F13"/>
    <w:rsid w:val="000957ED"/>
    <w:rsid w:val="00095F4B"/>
    <w:rsid w:val="000962A8"/>
    <w:rsid w:val="0009766E"/>
    <w:rsid w:val="000B2E9A"/>
    <w:rsid w:val="000B3E00"/>
    <w:rsid w:val="000C3EE1"/>
    <w:rsid w:val="000C6E9C"/>
    <w:rsid w:val="000D2CA4"/>
    <w:rsid w:val="000D7226"/>
    <w:rsid w:val="000E5757"/>
    <w:rsid w:val="000F0631"/>
    <w:rsid w:val="000F7AA4"/>
    <w:rsid w:val="00104A4B"/>
    <w:rsid w:val="001143E3"/>
    <w:rsid w:val="00117FA7"/>
    <w:rsid w:val="00122DB4"/>
    <w:rsid w:val="00124DC1"/>
    <w:rsid w:val="00132207"/>
    <w:rsid w:val="001348B2"/>
    <w:rsid w:val="001607F1"/>
    <w:rsid w:val="00162449"/>
    <w:rsid w:val="001640A9"/>
    <w:rsid w:val="00172F3D"/>
    <w:rsid w:val="00175FB3"/>
    <w:rsid w:val="0018439F"/>
    <w:rsid w:val="00190F85"/>
    <w:rsid w:val="00193FE9"/>
    <w:rsid w:val="001A1AC8"/>
    <w:rsid w:val="001A3C86"/>
    <w:rsid w:val="001B2C0F"/>
    <w:rsid w:val="001C0C89"/>
    <w:rsid w:val="001C66C8"/>
    <w:rsid w:val="001D1311"/>
    <w:rsid w:val="001E264E"/>
    <w:rsid w:val="001E4B67"/>
    <w:rsid w:val="001F1605"/>
    <w:rsid w:val="001F51A5"/>
    <w:rsid w:val="001F711E"/>
    <w:rsid w:val="00201A11"/>
    <w:rsid w:val="00202DA3"/>
    <w:rsid w:val="00205A8C"/>
    <w:rsid w:val="0020634B"/>
    <w:rsid w:val="00244029"/>
    <w:rsid w:val="00250D7B"/>
    <w:rsid w:val="00261608"/>
    <w:rsid w:val="00262702"/>
    <w:rsid w:val="00263F5A"/>
    <w:rsid w:val="00264EBE"/>
    <w:rsid w:val="002745F9"/>
    <w:rsid w:val="002808DF"/>
    <w:rsid w:val="00284AED"/>
    <w:rsid w:val="00284B00"/>
    <w:rsid w:val="002A1381"/>
    <w:rsid w:val="002A6A3A"/>
    <w:rsid w:val="002B15E2"/>
    <w:rsid w:val="002C15D7"/>
    <w:rsid w:val="002C2D9F"/>
    <w:rsid w:val="002E796A"/>
    <w:rsid w:val="002F0A87"/>
    <w:rsid w:val="002F1185"/>
    <w:rsid w:val="002F1863"/>
    <w:rsid w:val="002F1DC1"/>
    <w:rsid w:val="002F4D5B"/>
    <w:rsid w:val="0030306D"/>
    <w:rsid w:val="00311CBC"/>
    <w:rsid w:val="003278A8"/>
    <w:rsid w:val="00336F3E"/>
    <w:rsid w:val="0034215B"/>
    <w:rsid w:val="00342ACE"/>
    <w:rsid w:val="00357349"/>
    <w:rsid w:val="003615BC"/>
    <w:rsid w:val="003623C4"/>
    <w:rsid w:val="0036652D"/>
    <w:rsid w:val="00376FB8"/>
    <w:rsid w:val="003775DE"/>
    <w:rsid w:val="0038233C"/>
    <w:rsid w:val="00385C8C"/>
    <w:rsid w:val="00390024"/>
    <w:rsid w:val="003A5C6B"/>
    <w:rsid w:val="003A799F"/>
    <w:rsid w:val="003B4CCD"/>
    <w:rsid w:val="003C0BB6"/>
    <w:rsid w:val="003C1EA9"/>
    <w:rsid w:val="003C7480"/>
    <w:rsid w:val="003D66E5"/>
    <w:rsid w:val="003D79D8"/>
    <w:rsid w:val="003E145C"/>
    <w:rsid w:val="003F2269"/>
    <w:rsid w:val="00401E7F"/>
    <w:rsid w:val="004276FE"/>
    <w:rsid w:val="00431669"/>
    <w:rsid w:val="00434E1D"/>
    <w:rsid w:val="0043617E"/>
    <w:rsid w:val="0043658A"/>
    <w:rsid w:val="0045021D"/>
    <w:rsid w:val="004550CA"/>
    <w:rsid w:val="004561BC"/>
    <w:rsid w:val="00471647"/>
    <w:rsid w:val="004826C5"/>
    <w:rsid w:val="00483CF8"/>
    <w:rsid w:val="00495C7A"/>
    <w:rsid w:val="004A1B1E"/>
    <w:rsid w:val="004A2A16"/>
    <w:rsid w:val="004B09C6"/>
    <w:rsid w:val="004B1B21"/>
    <w:rsid w:val="004D0E6A"/>
    <w:rsid w:val="004E028A"/>
    <w:rsid w:val="004E3A4C"/>
    <w:rsid w:val="004F0CF5"/>
    <w:rsid w:val="004F1E9C"/>
    <w:rsid w:val="004F71E2"/>
    <w:rsid w:val="005000CF"/>
    <w:rsid w:val="00502961"/>
    <w:rsid w:val="00522608"/>
    <w:rsid w:val="00553A0B"/>
    <w:rsid w:val="00555AB9"/>
    <w:rsid w:val="00563788"/>
    <w:rsid w:val="00565865"/>
    <w:rsid w:val="00565CCC"/>
    <w:rsid w:val="00576386"/>
    <w:rsid w:val="00594D7F"/>
    <w:rsid w:val="005A2C00"/>
    <w:rsid w:val="005C771A"/>
    <w:rsid w:val="005D479B"/>
    <w:rsid w:val="005E1FA3"/>
    <w:rsid w:val="005E2860"/>
    <w:rsid w:val="005E43F2"/>
    <w:rsid w:val="005E47D4"/>
    <w:rsid w:val="005E49E2"/>
    <w:rsid w:val="005F4B96"/>
    <w:rsid w:val="005F62B1"/>
    <w:rsid w:val="00606830"/>
    <w:rsid w:val="00607C54"/>
    <w:rsid w:val="006200C1"/>
    <w:rsid w:val="0062300D"/>
    <w:rsid w:val="00627C3C"/>
    <w:rsid w:val="00634895"/>
    <w:rsid w:val="00640FD6"/>
    <w:rsid w:val="00647003"/>
    <w:rsid w:val="00660C01"/>
    <w:rsid w:val="00661217"/>
    <w:rsid w:val="00661FBB"/>
    <w:rsid w:val="00663425"/>
    <w:rsid w:val="00663EE1"/>
    <w:rsid w:val="00664CEC"/>
    <w:rsid w:val="006673DD"/>
    <w:rsid w:val="0067085F"/>
    <w:rsid w:val="0068049E"/>
    <w:rsid w:val="006811EA"/>
    <w:rsid w:val="00681839"/>
    <w:rsid w:val="006826BB"/>
    <w:rsid w:val="006C1AF2"/>
    <w:rsid w:val="006C4EDD"/>
    <w:rsid w:val="006D0187"/>
    <w:rsid w:val="006D5614"/>
    <w:rsid w:val="006E371D"/>
    <w:rsid w:val="006E5753"/>
    <w:rsid w:val="006E7224"/>
    <w:rsid w:val="006F00CB"/>
    <w:rsid w:val="006F142C"/>
    <w:rsid w:val="006F1AED"/>
    <w:rsid w:val="006F211A"/>
    <w:rsid w:val="006F4F3A"/>
    <w:rsid w:val="006F7156"/>
    <w:rsid w:val="00745D06"/>
    <w:rsid w:val="00746A36"/>
    <w:rsid w:val="00752818"/>
    <w:rsid w:val="007563BA"/>
    <w:rsid w:val="007662F6"/>
    <w:rsid w:val="00770B4E"/>
    <w:rsid w:val="00784298"/>
    <w:rsid w:val="00786C21"/>
    <w:rsid w:val="0079744A"/>
    <w:rsid w:val="007A624F"/>
    <w:rsid w:val="007B55DB"/>
    <w:rsid w:val="007B61B6"/>
    <w:rsid w:val="007D29EB"/>
    <w:rsid w:val="007D2B4F"/>
    <w:rsid w:val="007D57F1"/>
    <w:rsid w:val="007F0182"/>
    <w:rsid w:val="007F1AAF"/>
    <w:rsid w:val="007F7E38"/>
    <w:rsid w:val="00800B47"/>
    <w:rsid w:val="00814625"/>
    <w:rsid w:val="00825B04"/>
    <w:rsid w:val="008261AD"/>
    <w:rsid w:val="00826B13"/>
    <w:rsid w:val="0083721E"/>
    <w:rsid w:val="00841708"/>
    <w:rsid w:val="008476F0"/>
    <w:rsid w:val="00853C16"/>
    <w:rsid w:val="008603A2"/>
    <w:rsid w:val="00867737"/>
    <w:rsid w:val="0087428A"/>
    <w:rsid w:val="00874CF9"/>
    <w:rsid w:val="008754AF"/>
    <w:rsid w:val="00876607"/>
    <w:rsid w:val="00882946"/>
    <w:rsid w:val="008A69B1"/>
    <w:rsid w:val="008B0CCB"/>
    <w:rsid w:val="008B539A"/>
    <w:rsid w:val="008C468F"/>
    <w:rsid w:val="008D1423"/>
    <w:rsid w:val="008D59E6"/>
    <w:rsid w:val="008D6232"/>
    <w:rsid w:val="008F64B4"/>
    <w:rsid w:val="0090046C"/>
    <w:rsid w:val="009006B7"/>
    <w:rsid w:val="009020EC"/>
    <w:rsid w:val="009066C6"/>
    <w:rsid w:val="009139A3"/>
    <w:rsid w:val="00915DD4"/>
    <w:rsid w:val="00915F07"/>
    <w:rsid w:val="00931551"/>
    <w:rsid w:val="00934652"/>
    <w:rsid w:val="00934E45"/>
    <w:rsid w:val="00944D81"/>
    <w:rsid w:val="00945528"/>
    <w:rsid w:val="00962EE2"/>
    <w:rsid w:val="00963B54"/>
    <w:rsid w:val="00974D4F"/>
    <w:rsid w:val="0098243F"/>
    <w:rsid w:val="0098533F"/>
    <w:rsid w:val="00985CC9"/>
    <w:rsid w:val="009A49A8"/>
    <w:rsid w:val="009B6D63"/>
    <w:rsid w:val="009C2522"/>
    <w:rsid w:val="009C3C4F"/>
    <w:rsid w:val="009D1724"/>
    <w:rsid w:val="009D20E1"/>
    <w:rsid w:val="009D39CA"/>
    <w:rsid w:val="009E6222"/>
    <w:rsid w:val="009F241A"/>
    <w:rsid w:val="00A03E72"/>
    <w:rsid w:val="00A062F9"/>
    <w:rsid w:val="00A13483"/>
    <w:rsid w:val="00A17E6E"/>
    <w:rsid w:val="00A27FC0"/>
    <w:rsid w:val="00A362FB"/>
    <w:rsid w:val="00A41424"/>
    <w:rsid w:val="00A42387"/>
    <w:rsid w:val="00A4289A"/>
    <w:rsid w:val="00A44154"/>
    <w:rsid w:val="00A44926"/>
    <w:rsid w:val="00A44DAF"/>
    <w:rsid w:val="00A45598"/>
    <w:rsid w:val="00A478F8"/>
    <w:rsid w:val="00A53823"/>
    <w:rsid w:val="00A56A7A"/>
    <w:rsid w:val="00A56F57"/>
    <w:rsid w:val="00A660C7"/>
    <w:rsid w:val="00A75AF8"/>
    <w:rsid w:val="00A7612D"/>
    <w:rsid w:val="00A776DA"/>
    <w:rsid w:val="00A82669"/>
    <w:rsid w:val="00A8378B"/>
    <w:rsid w:val="00A9665B"/>
    <w:rsid w:val="00A96D53"/>
    <w:rsid w:val="00AB1C62"/>
    <w:rsid w:val="00AC2313"/>
    <w:rsid w:val="00AC4973"/>
    <w:rsid w:val="00AC7744"/>
    <w:rsid w:val="00AE2C45"/>
    <w:rsid w:val="00AF7AB1"/>
    <w:rsid w:val="00B10235"/>
    <w:rsid w:val="00B103E5"/>
    <w:rsid w:val="00B11FC6"/>
    <w:rsid w:val="00B12B7A"/>
    <w:rsid w:val="00B134C1"/>
    <w:rsid w:val="00B138C4"/>
    <w:rsid w:val="00B3223D"/>
    <w:rsid w:val="00B32A80"/>
    <w:rsid w:val="00B33ED3"/>
    <w:rsid w:val="00B34701"/>
    <w:rsid w:val="00B42059"/>
    <w:rsid w:val="00B421DE"/>
    <w:rsid w:val="00B42399"/>
    <w:rsid w:val="00B55C9F"/>
    <w:rsid w:val="00B63DFB"/>
    <w:rsid w:val="00B672AA"/>
    <w:rsid w:val="00B709AB"/>
    <w:rsid w:val="00B731BE"/>
    <w:rsid w:val="00B77AC2"/>
    <w:rsid w:val="00B810C2"/>
    <w:rsid w:val="00B813D4"/>
    <w:rsid w:val="00B954F3"/>
    <w:rsid w:val="00BA326B"/>
    <w:rsid w:val="00BA611F"/>
    <w:rsid w:val="00BA73EB"/>
    <w:rsid w:val="00BA7C9E"/>
    <w:rsid w:val="00BB308F"/>
    <w:rsid w:val="00BB6924"/>
    <w:rsid w:val="00BE334B"/>
    <w:rsid w:val="00BE4B5C"/>
    <w:rsid w:val="00BF26A9"/>
    <w:rsid w:val="00BF2BF8"/>
    <w:rsid w:val="00BF4551"/>
    <w:rsid w:val="00BF4BD2"/>
    <w:rsid w:val="00BF5D57"/>
    <w:rsid w:val="00C008BC"/>
    <w:rsid w:val="00C00D2D"/>
    <w:rsid w:val="00C01FE5"/>
    <w:rsid w:val="00C02002"/>
    <w:rsid w:val="00C0594C"/>
    <w:rsid w:val="00C059D7"/>
    <w:rsid w:val="00C1366D"/>
    <w:rsid w:val="00C15D63"/>
    <w:rsid w:val="00C30E78"/>
    <w:rsid w:val="00C359AA"/>
    <w:rsid w:val="00C42E08"/>
    <w:rsid w:val="00C449F5"/>
    <w:rsid w:val="00C45B6C"/>
    <w:rsid w:val="00C52848"/>
    <w:rsid w:val="00C61A5C"/>
    <w:rsid w:val="00C61DED"/>
    <w:rsid w:val="00C6357C"/>
    <w:rsid w:val="00C659B0"/>
    <w:rsid w:val="00C66103"/>
    <w:rsid w:val="00C86A66"/>
    <w:rsid w:val="00C875CF"/>
    <w:rsid w:val="00C87AF2"/>
    <w:rsid w:val="00C9691D"/>
    <w:rsid w:val="00C97ACF"/>
    <w:rsid w:val="00CA292B"/>
    <w:rsid w:val="00CA66CA"/>
    <w:rsid w:val="00CB2C08"/>
    <w:rsid w:val="00CB38F9"/>
    <w:rsid w:val="00CC166E"/>
    <w:rsid w:val="00CD347C"/>
    <w:rsid w:val="00CD3AD8"/>
    <w:rsid w:val="00D0379E"/>
    <w:rsid w:val="00D0558F"/>
    <w:rsid w:val="00D4482C"/>
    <w:rsid w:val="00D45C84"/>
    <w:rsid w:val="00D529EB"/>
    <w:rsid w:val="00D56231"/>
    <w:rsid w:val="00D631B2"/>
    <w:rsid w:val="00D63380"/>
    <w:rsid w:val="00D75012"/>
    <w:rsid w:val="00D848FC"/>
    <w:rsid w:val="00DA7DC1"/>
    <w:rsid w:val="00DB0B04"/>
    <w:rsid w:val="00DB20B0"/>
    <w:rsid w:val="00DC7B60"/>
    <w:rsid w:val="00DD2FCA"/>
    <w:rsid w:val="00DE143B"/>
    <w:rsid w:val="00DE4913"/>
    <w:rsid w:val="00E30E14"/>
    <w:rsid w:val="00E3235F"/>
    <w:rsid w:val="00E4013F"/>
    <w:rsid w:val="00E42F22"/>
    <w:rsid w:val="00E43D1F"/>
    <w:rsid w:val="00E442E6"/>
    <w:rsid w:val="00E46740"/>
    <w:rsid w:val="00E5006C"/>
    <w:rsid w:val="00E51298"/>
    <w:rsid w:val="00E512CD"/>
    <w:rsid w:val="00E61F89"/>
    <w:rsid w:val="00E63E15"/>
    <w:rsid w:val="00E674AD"/>
    <w:rsid w:val="00E74C1E"/>
    <w:rsid w:val="00E8294A"/>
    <w:rsid w:val="00E86827"/>
    <w:rsid w:val="00E8772E"/>
    <w:rsid w:val="00EA261E"/>
    <w:rsid w:val="00EB0F94"/>
    <w:rsid w:val="00EC51A7"/>
    <w:rsid w:val="00ED206D"/>
    <w:rsid w:val="00EE02C4"/>
    <w:rsid w:val="00EE7CA1"/>
    <w:rsid w:val="00EF569C"/>
    <w:rsid w:val="00F159E5"/>
    <w:rsid w:val="00F170C9"/>
    <w:rsid w:val="00F22E8B"/>
    <w:rsid w:val="00F32CCD"/>
    <w:rsid w:val="00F34DE6"/>
    <w:rsid w:val="00F44958"/>
    <w:rsid w:val="00F467EF"/>
    <w:rsid w:val="00F5672F"/>
    <w:rsid w:val="00F63841"/>
    <w:rsid w:val="00F647E1"/>
    <w:rsid w:val="00F656A3"/>
    <w:rsid w:val="00F6693C"/>
    <w:rsid w:val="00F741AA"/>
    <w:rsid w:val="00F76A81"/>
    <w:rsid w:val="00F849C8"/>
    <w:rsid w:val="00F84CA3"/>
    <w:rsid w:val="00F871A8"/>
    <w:rsid w:val="00F90899"/>
    <w:rsid w:val="00F90A4F"/>
    <w:rsid w:val="00FA0C3F"/>
    <w:rsid w:val="00FA0C5F"/>
    <w:rsid w:val="00FB0E32"/>
    <w:rsid w:val="00FB0E3C"/>
    <w:rsid w:val="00FB1984"/>
    <w:rsid w:val="00FC3F66"/>
    <w:rsid w:val="00FC4054"/>
    <w:rsid w:val="00FC6D21"/>
    <w:rsid w:val="00FE0EAA"/>
    <w:rsid w:val="00FF05C4"/>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ED45DC-CDDA-4EC2-B35B-9DCBD6AE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193FE9"/>
    <w:pPr>
      <w:spacing w:before="62" w:line="250" w:lineRule="atLeast"/>
      <w:jc w:val="both"/>
    </w:pPr>
    <w:rPr>
      <w:sz w:val="19"/>
      <w:lang w:val="sv-SE" w:eastAsia="sv-SE"/>
    </w:rPr>
  </w:style>
  <w:style w:type="paragraph" w:styleId="Rubrik1">
    <w:name w:val="heading 1"/>
    <w:aliases w:val="Rubrik 1 Char"/>
    <w:basedOn w:val="Normal"/>
    <w:next w:val="Normal"/>
    <w:link w:val="Rubrik1Char1"/>
    <w:qFormat/>
    <w:rsid w:val="00193FE9"/>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193FE9"/>
    <w:pPr>
      <w:spacing w:before="500" w:after="62"/>
      <w:outlineLvl w:val="1"/>
    </w:pPr>
    <w:rPr>
      <w:noProof w:val="0"/>
      <w:sz w:val="27"/>
    </w:rPr>
  </w:style>
  <w:style w:type="paragraph" w:styleId="Rubrik3">
    <w:name w:val="heading 3"/>
    <w:basedOn w:val="Rubrik1"/>
    <w:next w:val="Normal"/>
    <w:link w:val="Rubrik3Char"/>
    <w:qFormat/>
    <w:rsid w:val="00193FE9"/>
    <w:pPr>
      <w:spacing w:before="360" w:after="0" w:line="250" w:lineRule="exact"/>
      <w:outlineLvl w:val="2"/>
    </w:pPr>
    <w:rPr>
      <w:b/>
      <w:sz w:val="21"/>
    </w:rPr>
  </w:style>
  <w:style w:type="paragraph" w:styleId="Rubrik4">
    <w:name w:val="heading 4"/>
    <w:basedOn w:val="Rubrik3"/>
    <w:next w:val="Normal"/>
    <w:link w:val="Rubrik4Char"/>
    <w:qFormat/>
    <w:rsid w:val="00193FE9"/>
    <w:pPr>
      <w:spacing w:before="250"/>
      <w:outlineLvl w:val="3"/>
    </w:pPr>
    <w:rPr>
      <w:b w:val="0"/>
      <w:i/>
    </w:rPr>
  </w:style>
  <w:style w:type="paragraph" w:styleId="Rubrik5">
    <w:name w:val="heading 5"/>
    <w:basedOn w:val="Rubrik3"/>
    <w:next w:val="Normal"/>
    <w:qFormat/>
    <w:rsid w:val="00193FE9"/>
    <w:pPr>
      <w:pBdr>
        <w:bottom w:val="single" w:sz="4" w:space="3" w:color="auto"/>
      </w:pBdr>
      <w:outlineLvl w:val="4"/>
    </w:pPr>
    <w:rPr>
      <w:b w:val="0"/>
      <w:sz w:val="19"/>
    </w:rPr>
  </w:style>
  <w:style w:type="paragraph" w:styleId="Rubrik6">
    <w:name w:val="heading 6"/>
    <w:basedOn w:val="Normal"/>
    <w:next w:val="Normal"/>
    <w:link w:val="Rubrik6Char"/>
    <w:qFormat/>
    <w:rsid w:val="00193FE9"/>
    <w:pPr>
      <w:keepNext/>
      <w:spacing w:before="250" w:line="200" w:lineRule="atLeast"/>
      <w:jc w:val="left"/>
      <w:outlineLvl w:val="5"/>
    </w:pPr>
    <w:rPr>
      <w:sz w:val="16"/>
    </w:rPr>
  </w:style>
  <w:style w:type="paragraph" w:styleId="Rubrik7">
    <w:name w:val="heading 7"/>
    <w:basedOn w:val="Rubrik6"/>
    <w:next w:val="Normal"/>
    <w:link w:val="Rubrik7Char"/>
    <w:qFormat/>
    <w:rsid w:val="00193FE9"/>
    <w:pPr>
      <w:spacing w:line="240" w:lineRule="auto"/>
      <w:outlineLvl w:val="6"/>
    </w:pPr>
    <w:rPr>
      <w:sz w:val="14"/>
    </w:rPr>
  </w:style>
  <w:style w:type="paragraph" w:styleId="Rubrik8">
    <w:name w:val="heading 8"/>
    <w:basedOn w:val="Rubrik7"/>
    <w:next w:val="Normal"/>
    <w:link w:val="Rubrik8Char"/>
    <w:qFormat/>
    <w:rsid w:val="00193FE9"/>
    <w:pPr>
      <w:outlineLvl w:val="7"/>
    </w:pPr>
    <w:rPr>
      <w:i/>
    </w:rPr>
  </w:style>
  <w:style w:type="paragraph" w:styleId="Rubrik9">
    <w:name w:val="heading 9"/>
    <w:basedOn w:val="Normal"/>
    <w:next w:val="Normal"/>
    <w:qFormat/>
    <w:rsid w:val="00193FE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link w:val="NormaltindragChar"/>
    <w:uiPriority w:val="99"/>
    <w:rsid w:val="00193FE9"/>
    <w:pPr>
      <w:spacing w:before="0"/>
      <w:ind w:firstLine="227"/>
    </w:pPr>
  </w:style>
  <w:style w:type="paragraph" w:customStyle="1" w:styleId="HuvudRubrik">
    <w:name w:val="HuvudRubrik"/>
    <w:basedOn w:val="Normal"/>
    <w:rsid w:val="00193FE9"/>
    <w:pPr>
      <w:keepNext/>
      <w:keepLines/>
      <w:suppressAutoHyphens/>
      <w:spacing w:before="0" w:line="320" w:lineRule="exact"/>
      <w:jc w:val="left"/>
    </w:pPr>
    <w:rPr>
      <w:sz w:val="32"/>
    </w:rPr>
  </w:style>
  <w:style w:type="paragraph" w:customStyle="1" w:styleId="StatusSida1">
    <w:name w:val="Status Sida1"/>
    <w:basedOn w:val="Normal"/>
    <w:rsid w:val="00193FE9"/>
    <w:pPr>
      <w:spacing w:before="0" w:line="240" w:lineRule="auto"/>
      <w:jc w:val="center"/>
    </w:pPr>
    <w:rPr>
      <w:sz w:val="24"/>
    </w:rPr>
  </w:style>
  <w:style w:type="paragraph" w:customStyle="1" w:styleId="UtskriftsdatumSida1">
    <w:name w:val="Utskriftsdatum Sida1"/>
    <w:basedOn w:val="SidhuvudKant"/>
    <w:rsid w:val="00193FE9"/>
    <w:pPr>
      <w:framePr w:wrap="around"/>
      <w:spacing w:line="240" w:lineRule="auto"/>
      <w:jc w:val="center"/>
    </w:pPr>
  </w:style>
  <w:style w:type="paragraph" w:customStyle="1" w:styleId="SidhuvudKant">
    <w:name w:val="SidhuvudKant"/>
    <w:basedOn w:val="Sidhuvud"/>
    <w:rsid w:val="00193FE9"/>
    <w:pPr>
      <w:framePr w:w="8789" w:vSpace="142" w:wrap="around" w:vAnchor="text" w:hAnchor="page" w:xAlign="inside" w:y="1" w:anchorLock="1"/>
      <w:ind w:left="0"/>
    </w:pPr>
  </w:style>
  <w:style w:type="paragraph" w:styleId="Sidhuvud">
    <w:name w:val="header"/>
    <w:basedOn w:val="Normal"/>
    <w:rsid w:val="00193FE9"/>
    <w:pPr>
      <w:tabs>
        <w:tab w:val="center" w:pos="4252"/>
        <w:tab w:val="right" w:pos="8504"/>
      </w:tabs>
      <w:spacing w:before="0"/>
      <w:ind w:left="-851"/>
      <w:jc w:val="left"/>
    </w:pPr>
  </w:style>
  <w:style w:type="paragraph" w:customStyle="1" w:styleId="Yrkanden">
    <w:name w:val="Yrkanden"/>
    <w:basedOn w:val="Normal"/>
    <w:rsid w:val="00193FE9"/>
    <w:pPr>
      <w:ind w:left="227" w:hanging="227"/>
    </w:pPr>
  </w:style>
  <w:style w:type="paragraph" w:customStyle="1" w:styleId="Tabelltextsiffror">
    <w:name w:val="Tabelltext siffror"/>
    <w:basedOn w:val="Tabelltext"/>
    <w:rsid w:val="00193FE9"/>
    <w:pPr>
      <w:jc w:val="right"/>
    </w:pPr>
  </w:style>
  <w:style w:type="paragraph" w:styleId="Citat">
    <w:name w:val="Quote"/>
    <w:basedOn w:val="Normal"/>
    <w:next w:val="CitatIndrag"/>
    <w:qFormat/>
    <w:rsid w:val="00193FE9"/>
    <w:pPr>
      <w:spacing w:before="0" w:line="200" w:lineRule="exact"/>
      <w:ind w:left="340"/>
    </w:pPr>
  </w:style>
  <w:style w:type="paragraph" w:customStyle="1" w:styleId="CitatIndrag">
    <w:name w:val="CitatIndrag"/>
    <w:basedOn w:val="Citat"/>
    <w:rsid w:val="00193FE9"/>
    <w:pPr>
      <w:ind w:firstLine="227"/>
    </w:pPr>
  </w:style>
  <w:style w:type="paragraph" w:customStyle="1" w:styleId="Deltagare">
    <w:name w:val="Deltagare"/>
    <w:basedOn w:val="Normal"/>
    <w:next w:val="Normal"/>
    <w:rsid w:val="00193FE9"/>
    <w:pPr>
      <w:keepLines/>
      <w:spacing w:before="500" w:line="200" w:lineRule="exact"/>
    </w:pPr>
    <w:rPr>
      <w:noProof/>
    </w:rPr>
  </w:style>
  <w:style w:type="paragraph" w:styleId="Fotnotstext">
    <w:name w:val="footnote text"/>
    <w:basedOn w:val="Normal"/>
    <w:next w:val="Fotnotstextindrag"/>
    <w:link w:val="FotnotstextChar"/>
    <w:uiPriority w:val="99"/>
    <w:qFormat/>
    <w:rsid w:val="005D479B"/>
    <w:pPr>
      <w:spacing w:before="0" w:line="170" w:lineRule="exact"/>
      <w:ind w:left="85" w:hanging="85"/>
    </w:pPr>
    <w:rPr>
      <w:sz w:val="17"/>
    </w:rPr>
  </w:style>
  <w:style w:type="paragraph" w:customStyle="1" w:styleId="Innehll">
    <w:name w:val="Innehåll"/>
    <w:basedOn w:val="Rubrik1"/>
    <w:next w:val="Normal"/>
    <w:rsid w:val="00193FE9"/>
  </w:style>
  <w:style w:type="paragraph" w:styleId="Innehll1">
    <w:name w:val="toc 1"/>
    <w:basedOn w:val="Normal"/>
    <w:uiPriority w:val="39"/>
    <w:rsid w:val="00193FE9"/>
    <w:pPr>
      <w:tabs>
        <w:tab w:val="right" w:leader="dot" w:pos="5954"/>
      </w:tabs>
      <w:spacing w:before="0"/>
      <w:ind w:right="567"/>
      <w:jc w:val="left"/>
    </w:pPr>
  </w:style>
  <w:style w:type="paragraph" w:styleId="Innehll2">
    <w:name w:val="toc 2"/>
    <w:basedOn w:val="Innehll1"/>
    <w:uiPriority w:val="39"/>
    <w:rsid w:val="00193FE9"/>
    <w:pPr>
      <w:ind w:left="568" w:hanging="284"/>
    </w:pPr>
  </w:style>
  <w:style w:type="paragraph" w:styleId="Innehll3">
    <w:name w:val="toc 3"/>
    <w:basedOn w:val="Innehll1"/>
    <w:uiPriority w:val="39"/>
    <w:rsid w:val="00193FE9"/>
    <w:pPr>
      <w:ind w:left="851" w:hanging="284"/>
    </w:pPr>
  </w:style>
  <w:style w:type="paragraph" w:styleId="Innehll4">
    <w:name w:val="toc 4"/>
    <w:basedOn w:val="Innehll1"/>
    <w:uiPriority w:val="39"/>
    <w:rsid w:val="00193FE9"/>
    <w:pPr>
      <w:ind w:left="1135" w:hanging="284"/>
    </w:pPr>
  </w:style>
  <w:style w:type="paragraph" w:styleId="Innehll5">
    <w:name w:val="toc 5"/>
    <w:basedOn w:val="Innehll4"/>
    <w:next w:val="Normal"/>
    <w:semiHidden/>
    <w:rsid w:val="00193FE9"/>
    <w:pPr>
      <w:ind w:left="907"/>
    </w:pPr>
  </w:style>
  <w:style w:type="paragraph" w:styleId="Innehll6">
    <w:name w:val="toc 6"/>
    <w:basedOn w:val="Innehll5"/>
    <w:next w:val="Normal"/>
    <w:semiHidden/>
    <w:rsid w:val="00193FE9"/>
    <w:pPr>
      <w:ind w:left="1134"/>
    </w:pPr>
  </w:style>
  <w:style w:type="paragraph" w:styleId="Innehll7">
    <w:name w:val="toc 7"/>
    <w:basedOn w:val="Innehll6"/>
    <w:next w:val="Normal"/>
    <w:semiHidden/>
    <w:rsid w:val="00193FE9"/>
    <w:pPr>
      <w:ind w:left="1361"/>
    </w:pPr>
  </w:style>
  <w:style w:type="paragraph" w:styleId="Innehll8">
    <w:name w:val="toc 8"/>
    <w:basedOn w:val="Innehll7"/>
    <w:next w:val="Normal"/>
    <w:semiHidden/>
    <w:rsid w:val="00193FE9"/>
    <w:pPr>
      <w:ind w:left="1588"/>
    </w:pPr>
  </w:style>
  <w:style w:type="paragraph" w:styleId="Innehll9">
    <w:name w:val="toc 9"/>
    <w:basedOn w:val="Normal"/>
    <w:next w:val="Normal"/>
    <w:semiHidden/>
    <w:rsid w:val="00193FE9"/>
    <w:pPr>
      <w:tabs>
        <w:tab w:val="right" w:leader="dot" w:pos="5896"/>
      </w:tabs>
      <w:spacing w:before="0"/>
      <w:ind w:left="1814"/>
    </w:pPr>
  </w:style>
  <w:style w:type="character" w:styleId="Kommentarsreferens">
    <w:name w:val="annotation reference"/>
    <w:basedOn w:val="Standardstycketeckensnitt"/>
    <w:uiPriority w:val="99"/>
    <w:semiHidden/>
    <w:rsid w:val="00193FE9"/>
    <w:rPr>
      <w:sz w:val="16"/>
    </w:rPr>
  </w:style>
  <w:style w:type="paragraph" w:customStyle="1" w:styleId="Lagtext">
    <w:name w:val="Lagtext"/>
    <w:basedOn w:val="Normal"/>
    <w:rsid w:val="00193FE9"/>
    <w:pPr>
      <w:spacing w:before="0" w:line="220" w:lineRule="exact"/>
    </w:pPr>
  </w:style>
  <w:style w:type="paragraph" w:customStyle="1" w:styleId="LagtextIndrag">
    <w:name w:val="LagtextIndrag"/>
    <w:basedOn w:val="Lagtext"/>
    <w:rsid w:val="00193FE9"/>
    <w:pPr>
      <w:ind w:firstLine="170"/>
    </w:pPr>
  </w:style>
  <w:style w:type="paragraph" w:styleId="Makrotext">
    <w:name w:val="macro"/>
    <w:semiHidden/>
    <w:rsid w:val="00193FE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193FE9"/>
    <w:rPr>
      <w:smallCaps/>
      <w:spacing w:val="14"/>
      <w:sz w:val="16"/>
    </w:rPr>
  </w:style>
  <w:style w:type="character" w:customStyle="1" w:styleId="SidhuvudRubrikReferens">
    <w:name w:val="SidhuvudRubrikReferens"/>
    <w:basedOn w:val="Standardstycketeckensnitt"/>
    <w:rsid w:val="00193FE9"/>
    <w:rPr>
      <w:smallCaps/>
      <w:spacing w:val="14"/>
      <w:sz w:val="16"/>
    </w:rPr>
  </w:style>
  <w:style w:type="paragraph" w:customStyle="1" w:styleId="R1">
    <w:name w:val="R1"/>
    <w:basedOn w:val="Normal"/>
    <w:next w:val="Normal"/>
    <w:rsid w:val="00193FE9"/>
    <w:pPr>
      <w:keepNext/>
      <w:keepLines/>
      <w:suppressAutoHyphens/>
      <w:spacing w:before="0" w:after="555"/>
      <w:jc w:val="left"/>
    </w:pPr>
    <w:rPr>
      <w:sz w:val="32"/>
    </w:rPr>
  </w:style>
  <w:style w:type="paragraph" w:customStyle="1" w:styleId="R2">
    <w:name w:val="R2"/>
    <w:basedOn w:val="Normal"/>
    <w:next w:val="Normal"/>
    <w:rsid w:val="00193FE9"/>
    <w:pPr>
      <w:keepNext/>
      <w:keepLines/>
      <w:suppressAutoHyphens/>
      <w:spacing w:before="500" w:after="62"/>
      <w:jc w:val="left"/>
    </w:pPr>
    <w:rPr>
      <w:sz w:val="27"/>
    </w:rPr>
  </w:style>
  <w:style w:type="paragraph" w:customStyle="1" w:styleId="R3">
    <w:name w:val="R3"/>
    <w:basedOn w:val="Normal"/>
    <w:next w:val="Normal"/>
    <w:rsid w:val="00193FE9"/>
    <w:pPr>
      <w:keepNext/>
      <w:keepLines/>
      <w:suppressAutoHyphens/>
      <w:spacing w:before="360" w:line="250" w:lineRule="exact"/>
      <w:jc w:val="left"/>
    </w:pPr>
    <w:rPr>
      <w:b/>
      <w:sz w:val="21"/>
    </w:rPr>
  </w:style>
  <w:style w:type="paragraph" w:customStyle="1" w:styleId="R4">
    <w:name w:val="R4"/>
    <w:basedOn w:val="Normal"/>
    <w:next w:val="Normal"/>
    <w:rsid w:val="00193FE9"/>
    <w:pPr>
      <w:keepNext/>
      <w:keepLines/>
      <w:suppressAutoHyphens/>
      <w:spacing w:before="250" w:line="250" w:lineRule="exact"/>
      <w:jc w:val="left"/>
    </w:pPr>
    <w:rPr>
      <w:i/>
      <w:sz w:val="21"/>
    </w:rPr>
  </w:style>
  <w:style w:type="paragraph" w:styleId="Sidfot">
    <w:name w:val="footer"/>
    <w:basedOn w:val="Normal"/>
    <w:rsid w:val="00193FE9"/>
    <w:pPr>
      <w:tabs>
        <w:tab w:val="center" w:pos="4703"/>
        <w:tab w:val="right" w:pos="9406"/>
      </w:tabs>
      <w:spacing w:before="0"/>
    </w:pPr>
  </w:style>
  <w:style w:type="paragraph" w:customStyle="1" w:styleId="SidfotH">
    <w:name w:val="SidfotH"/>
    <w:basedOn w:val="Normal"/>
    <w:rsid w:val="00193FE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193FE9"/>
    <w:pPr>
      <w:framePr w:wrap="around"/>
      <w:jc w:val="left"/>
    </w:pPr>
  </w:style>
  <w:style w:type="paragraph" w:customStyle="1" w:styleId="Pxx-utskottetsvgnar">
    <w:name w:val="På xx-utskottets vägnar"/>
    <w:basedOn w:val="Normal"/>
    <w:next w:val="Ordfranden"/>
    <w:rsid w:val="00193FE9"/>
    <w:pPr>
      <w:keepNext/>
      <w:spacing w:before="250"/>
    </w:pPr>
  </w:style>
  <w:style w:type="paragraph" w:customStyle="1" w:styleId="Ordfranden">
    <w:name w:val="Ordföranden"/>
    <w:basedOn w:val="Normal"/>
    <w:next w:val="Deltagare"/>
    <w:rsid w:val="00193FE9"/>
    <w:pPr>
      <w:keepNext/>
      <w:spacing w:before="500"/>
    </w:pPr>
    <w:rPr>
      <w:i/>
      <w:noProof/>
    </w:rPr>
  </w:style>
  <w:style w:type="character" w:styleId="Sidnummer">
    <w:name w:val="page number"/>
    <w:basedOn w:val="Standardstycketeckensnitt"/>
    <w:rsid w:val="00193FE9"/>
    <w:rPr>
      <w:rFonts w:ascii="Times New Roman" w:hAnsi="Times New Roman"/>
      <w:sz w:val="19"/>
    </w:rPr>
  </w:style>
  <w:style w:type="paragraph" w:customStyle="1" w:styleId="Tryckort">
    <w:name w:val="Tryckort"/>
    <w:basedOn w:val="Normal"/>
    <w:rsid w:val="00193FE9"/>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193FE9"/>
  </w:style>
  <w:style w:type="paragraph" w:customStyle="1" w:styleId="LagtextRubrik">
    <w:name w:val="LagtextRubrik"/>
    <w:basedOn w:val="Normal"/>
    <w:next w:val="LagtextIndrag"/>
    <w:rsid w:val="00193FE9"/>
    <w:pPr>
      <w:spacing w:before="0" w:after="220" w:line="220" w:lineRule="exact"/>
    </w:pPr>
    <w:rPr>
      <w:i/>
    </w:rPr>
  </w:style>
  <w:style w:type="character" w:styleId="Fotnotsreferens">
    <w:name w:val="footnote reference"/>
    <w:basedOn w:val="Standardstycketeckensnitt"/>
    <w:uiPriority w:val="99"/>
    <w:qFormat/>
    <w:rsid w:val="00193FE9"/>
    <w:rPr>
      <w:vertAlign w:val="superscript"/>
    </w:rPr>
  </w:style>
  <w:style w:type="paragraph" w:customStyle="1" w:styleId="SidhuvudKantJmn">
    <w:name w:val="SidhuvudKantJämn"/>
    <w:basedOn w:val="SidhuvudKant"/>
    <w:rsid w:val="00193FE9"/>
    <w:pPr>
      <w:framePr w:wrap="around"/>
    </w:pPr>
  </w:style>
  <w:style w:type="character" w:customStyle="1" w:styleId="SidhuvudUtskott">
    <w:name w:val="SidhuvudUtskott"/>
    <w:basedOn w:val="Standardstycketeckensnitt"/>
    <w:rsid w:val="00193FE9"/>
    <w:rPr>
      <w:spacing w:val="14"/>
      <w:sz w:val="16"/>
    </w:rPr>
  </w:style>
  <w:style w:type="paragraph" w:customStyle="1" w:styleId="SidhuvudKantUdda">
    <w:name w:val="SidhuvudKantUdda"/>
    <w:basedOn w:val="SidhuvudKant"/>
    <w:rsid w:val="00193FE9"/>
    <w:pPr>
      <w:framePr w:wrap="around"/>
      <w:jc w:val="right"/>
    </w:pPr>
  </w:style>
  <w:style w:type="paragraph" w:styleId="Dokumentversikt">
    <w:name w:val="Document Map"/>
    <w:basedOn w:val="Normal"/>
    <w:semiHidden/>
    <w:rsid w:val="00193FE9"/>
    <w:pPr>
      <w:shd w:val="clear" w:color="auto" w:fill="000080"/>
    </w:pPr>
    <w:rPr>
      <w:rFonts w:ascii="Tahoma" w:hAnsi="Tahoma"/>
    </w:rPr>
  </w:style>
  <w:style w:type="paragraph" w:customStyle="1" w:styleId="OrtochDatum">
    <w:name w:val="Ort och Datum"/>
    <w:basedOn w:val="Normal"/>
    <w:next w:val="Normal"/>
    <w:rsid w:val="00193FE9"/>
    <w:pPr>
      <w:keepNext/>
      <w:spacing w:before="0"/>
    </w:pPr>
  </w:style>
  <w:style w:type="paragraph" w:customStyle="1" w:styleId="Bilaga">
    <w:name w:val="Bilaga"/>
    <w:basedOn w:val="Rubrik2"/>
    <w:rsid w:val="00193FE9"/>
    <w:pPr>
      <w:spacing w:before="0" w:after="40" w:line="190" w:lineRule="exact"/>
      <w:outlineLvl w:val="9"/>
    </w:pPr>
    <w:rPr>
      <w:caps/>
      <w:sz w:val="19"/>
      <w:u w:val="single"/>
    </w:rPr>
  </w:style>
  <w:style w:type="paragraph" w:customStyle="1" w:styleId="DokumentRubrik">
    <w:name w:val="DokumentRubrik"/>
    <w:basedOn w:val="Normal"/>
    <w:rsid w:val="00193FE9"/>
    <w:pPr>
      <w:spacing w:before="0" w:after="20" w:line="240" w:lineRule="atLeast"/>
      <w:jc w:val="left"/>
    </w:pPr>
    <w:rPr>
      <w:noProof/>
      <w:sz w:val="40"/>
    </w:rPr>
  </w:style>
  <w:style w:type="paragraph" w:customStyle="1" w:styleId="Frslagspunkt">
    <w:name w:val="Förslagspunkt"/>
    <w:basedOn w:val="Rubrik3"/>
    <w:rsid w:val="00193FE9"/>
    <w:pPr>
      <w:spacing w:before="250"/>
      <w:ind w:left="340" w:hanging="340"/>
      <w:outlineLvl w:val="9"/>
    </w:pPr>
  </w:style>
  <w:style w:type="paragraph" w:customStyle="1" w:styleId="Frslagstext">
    <w:name w:val="Förslagstext"/>
    <w:basedOn w:val="Normal"/>
    <w:rsid w:val="00193FE9"/>
    <w:pPr>
      <w:spacing w:before="0"/>
      <w:ind w:left="340"/>
    </w:pPr>
  </w:style>
  <w:style w:type="paragraph" w:styleId="Kommentarer">
    <w:name w:val="annotation text"/>
    <w:basedOn w:val="Normal"/>
    <w:link w:val="KommentarerChar1"/>
    <w:uiPriority w:val="99"/>
    <w:rsid w:val="00193FE9"/>
    <w:pPr>
      <w:spacing w:before="0"/>
    </w:pPr>
    <w:rPr>
      <w:sz w:val="20"/>
    </w:rPr>
  </w:style>
  <w:style w:type="paragraph" w:customStyle="1" w:styleId="Reservanter">
    <w:name w:val="Reservanter"/>
    <w:basedOn w:val="Normaltindrag"/>
    <w:rsid w:val="00193FE9"/>
    <w:pPr>
      <w:ind w:left="340" w:firstLine="0"/>
    </w:pPr>
  </w:style>
  <w:style w:type="paragraph" w:customStyle="1" w:styleId="Reservantfrslag">
    <w:name w:val="Reservantförslag"/>
    <w:basedOn w:val="Normal"/>
    <w:rsid w:val="00193FE9"/>
    <w:pPr>
      <w:spacing w:before="0"/>
    </w:pPr>
  </w:style>
  <w:style w:type="paragraph" w:customStyle="1" w:styleId="Reservationshnvisning">
    <w:name w:val="Reservationshänvisning"/>
    <w:basedOn w:val="Normal"/>
    <w:rsid w:val="00193FE9"/>
    <w:pPr>
      <w:spacing w:before="0"/>
      <w:jc w:val="right"/>
    </w:pPr>
    <w:rPr>
      <w:i/>
    </w:rPr>
  </w:style>
  <w:style w:type="paragraph" w:customStyle="1" w:styleId="Reservationspunkt">
    <w:name w:val="Reservationspunkt"/>
    <w:basedOn w:val="Frslagspunkt"/>
    <w:next w:val="Reservanter"/>
    <w:rsid w:val="00193FE9"/>
    <w:pPr>
      <w:spacing w:before="360"/>
      <w:outlineLvl w:val="1"/>
    </w:pPr>
  </w:style>
  <w:style w:type="paragraph" w:customStyle="1" w:styleId="Rubrik1b">
    <w:name w:val="Rubrik 1b"/>
    <w:basedOn w:val="Rubrik2"/>
    <w:rsid w:val="00193FE9"/>
    <w:rPr>
      <w:b/>
    </w:rPr>
  </w:style>
  <w:style w:type="paragraph" w:customStyle="1" w:styleId="Rubrik2b">
    <w:name w:val="Rubrik 2b"/>
    <w:basedOn w:val="Rubrik2"/>
    <w:rsid w:val="00193FE9"/>
    <w:pPr>
      <w:spacing w:before="360" w:after="0"/>
    </w:pPr>
    <w:rPr>
      <w:sz w:val="25"/>
    </w:rPr>
  </w:style>
  <w:style w:type="paragraph" w:customStyle="1" w:styleId="Rubrik2c">
    <w:name w:val="Rubrik 2c"/>
    <w:basedOn w:val="Rubrik2b"/>
    <w:rsid w:val="00193FE9"/>
    <w:pPr>
      <w:pBdr>
        <w:bottom w:val="single" w:sz="4" w:space="3" w:color="auto"/>
      </w:pBdr>
    </w:pPr>
    <w:rPr>
      <w:i/>
      <w:sz w:val="23"/>
    </w:rPr>
  </w:style>
  <w:style w:type="paragraph" w:customStyle="1" w:styleId="Utskottsfrslagikorthet-Text">
    <w:name w:val="Utskottsförslag i korthet - Text"/>
    <w:basedOn w:val="Normal"/>
    <w:rsid w:val="00193FE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193FE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193FE9"/>
    <w:pPr>
      <w:pBdr>
        <w:top w:val="single" w:sz="4" w:space="1" w:color="auto"/>
        <w:bottom w:val="single" w:sz="4" w:space="1" w:color="auto"/>
      </w:pBdr>
    </w:pPr>
  </w:style>
  <w:style w:type="paragraph" w:customStyle="1" w:styleId="Utskriftsdatum">
    <w:name w:val="Utskriftsdatum"/>
    <w:basedOn w:val="Normal"/>
    <w:next w:val="Normal"/>
    <w:rsid w:val="00193FE9"/>
    <w:pPr>
      <w:keepNext/>
      <w:spacing w:before="0" w:after="125"/>
    </w:pPr>
  </w:style>
  <w:style w:type="paragraph" w:customStyle="1" w:styleId="Utskottetsvervganden-RubrikFrslagspunkt">
    <w:name w:val="Utskottets överväganden - Rubrik Förslagspunkt"/>
    <w:basedOn w:val="Rubrik2"/>
    <w:next w:val="Utskottsfrslagikorthet-Rubrik"/>
    <w:rsid w:val="00193FE9"/>
    <w:pPr>
      <w:spacing w:after="0"/>
    </w:pPr>
  </w:style>
  <w:style w:type="paragraph" w:customStyle="1" w:styleId="Motioner">
    <w:name w:val="Motioner"/>
    <w:basedOn w:val="Normal"/>
    <w:rsid w:val="00193FE9"/>
    <w:pPr>
      <w:spacing w:before="188"/>
      <w:jc w:val="left"/>
    </w:pPr>
    <w:rPr>
      <w:i/>
    </w:rPr>
  </w:style>
  <w:style w:type="paragraph" w:customStyle="1" w:styleId="Tabellrubrik">
    <w:name w:val="Tabellrubrik"/>
    <w:basedOn w:val="Normal"/>
    <w:next w:val="Tabelltext"/>
    <w:rsid w:val="00B134C1"/>
    <w:pPr>
      <w:spacing w:before="250" w:line="200" w:lineRule="atLeast"/>
      <w:ind w:left="737" w:hanging="737"/>
      <w:jc w:val="left"/>
    </w:pPr>
    <w:rPr>
      <w:caps/>
      <w:spacing w:val="8"/>
      <w:sz w:val="14"/>
    </w:rPr>
  </w:style>
  <w:style w:type="paragraph" w:customStyle="1" w:styleId="Bildrubrik">
    <w:name w:val="Bildrubrik"/>
    <w:basedOn w:val="Tabellrubrik"/>
    <w:next w:val="Normal"/>
    <w:rsid w:val="00193FE9"/>
  </w:style>
  <w:style w:type="paragraph" w:customStyle="1" w:styleId="Diagramrubrik">
    <w:name w:val="Diagramrubrik"/>
    <w:basedOn w:val="Tabellrubrik"/>
    <w:next w:val="Normal"/>
    <w:rsid w:val="00193FE9"/>
  </w:style>
  <w:style w:type="paragraph" w:styleId="Figurfrteckning">
    <w:name w:val="table of figures"/>
    <w:basedOn w:val="Normal"/>
    <w:next w:val="Normal"/>
    <w:semiHidden/>
    <w:rsid w:val="00193FE9"/>
    <w:pPr>
      <w:ind w:left="380" w:hanging="380"/>
    </w:pPr>
  </w:style>
  <w:style w:type="paragraph" w:styleId="Oformateradtext">
    <w:name w:val="Plain Text"/>
    <w:basedOn w:val="Normal"/>
    <w:link w:val="OformateradtextChar"/>
    <w:uiPriority w:val="99"/>
    <w:rsid w:val="00193FE9"/>
    <w:pPr>
      <w:widowControl w:val="0"/>
      <w:spacing w:line="240" w:lineRule="auto"/>
      <w:jc w:val="left"/>
    </w:pPr>
    <w:rPr>
      <w:rFonts w:ascii="Courier New" w:hAnsi="Courier New"/>
      <w:sz w:val="20"/>
    </w:rPr>
  </w:style>
  <w:style w:type="character" w:styleId="Radnummer">
    <w:name w:val="line number"/>
    <w:basedOn w:val="Standardstycketeckensnitt"/>
    <w:rsid w:val="00193FE9"/>
  </w:style>
  <w:style w:type="paragraph" w:customStyle="1" w:styleId="RubrikBetNrDeldokument">
    <w:name w:val="Rubrik BetNr Deldokument"/>
    <w:basedOn w:val="Normal"/>
    <w:uiPriority w:val="99"/>
    <w:rsid w:val="00193FE9"/>
    <w:pPr>
      <w:spacing w:before="0" w:line="240" w:lineRule="auto"/>
      <w:jc w:val="left"/>
    </w:pPr>
    <w:rPr>
      <w:sz w:val="28"/>
    </w:rPr>
  </w:style>
  <w:style w:type="paragraph" w:customStyle="1" w:styleId="Tabelltext">
    <w:name w:val="Tabelltext"/>
    <w:basedOn w:val="Normal"/>
    <w:rsid w:val="00193FE9"/>
    <w:pPr>
      <w:spacing w:before="0" w:line="200" w:lineRule="exact"/>
      <w:jc w:val="left"/>
    </w:pPr>
    <w:rPr>
      <w:sz w:val="16"/>
    </w:rPr>
  </w:style>
  <w:style w:type="paragraph" w:customStyle="1" w:styleId="TabellNot">
    <w:name w:val="TabellNot"/>
    <w:basedOn w:val="Tabelltext"/>
    <w:rsid w:val="00193FE9"/>
    <w:rPr>
      <w:sz w:val="12"/>
    </w:rPr>
  </w:style>
  <w:style w:type="paragraph" w:customStyle="1" w:styleId="Formatmall1">
    <w:name w:val="Formatmall1"/>
    <w:basedOn w:val="Reservationspunkt"/>
    <w:next w:val="Reservanter"/>
    <w:rsid w:val="00193FE9"/>
  </w:style>
  <w:style w:type="paragraph" w:customStyle="1" w:styleId="Fotnotstextindrag">
    <w:name w:val="Fotnotstext indrag"/>
    <w:basedOn w:val="Fotnotstext"/>
    <w:rsid w:val="006F211A"/>
  </w:style>
  <w:style w:type="paragraph" w:customStyle="1" w:styleId="Yttrandepunkt">
    <w:name w:val="Yttrandepunkt"/>
    <w:basedOn w:val="Reservationspunkt"/>
    <w:next w:val="Reservanter"/>
    <w:rsid w:val="00193FE9"/>
  </w:style>
  <w:style w:type="paragraph" w:customStyle="1" w:styleId="normalmedindrag">
    <w:name w:val="normalmedindrag"/>
    <w:basedOn w:val="Normal"/>
    <w:rsid w:val="00BB6924"/>
    <w:pPr>
      <w:spacing w:before="0" w:line="280" w:lineRule="atLeast"/>
      <w:ind w:firstLine="227"/>
      <w:jc w:val="left"/>
    </w:pPr>
    <w:rPr>
      <w:sz w:val="22"/>
      <w:lang w:eastAsia="en-US"/>
    </w:rPr>
  </w:style>
  <w:style w:type="character" w:customStyle="1" w:styleId="NormaltindragChar">
    <w:name w:val="Normalt indrag Char"/>
    <w:aliases w:val="Normal_indrag Char,Normal Indrag Char"/>
    <w:basedOn w:val="Standardstycketeckensnitt"/>
    <w:link w:val="Normaltindrag"/>
    <w:uiPriority w:val="99"/>
    <w:locked/>
    <w:rsid w:val="00BB6924"/>
    <w:rPr>
      <w:sz w:val="19"/>
    </w:rPr>
  </w:style>
  <w:style w:type="character" w:customStyle="1" w:styleId="Rubrik1Char1">
    <w:name w:val="Rubrik 1 Char1"/>
    <w:aliases w:val="Rubrik 1 Char Char"/>
    <w:basedOn w:val="Standardstycketeckensnitt"/>
    <w:link w:val="Rubrik1"/>
    <w:uiPriority w:val="99"/>
    <w:locked/>
    <w:rsid w:val="00BB6924"/>
    <w:rPr>
      <w:noProof/>
      <w:sz w:val="32"/>
    </w:rPr>
  </w:style>
  <w:style w:type="paragraph" w:styleId="Normalwebb">
    <w:name w:val="Normal (Web)"/>
    <w:basedOn w:val="Normal"/>
    <w:uiPriority w:val="99"/>
    <w:semiHidden/>
    <w:unhideWhenUsed/>
    <w:rsid w:val="00F32CCD"/>
    <w:rPr>
      <w:sz w:val="24"/>
      <w:szCs w:val="24"/>
    </w:rPr>
  </w:style>
  <w:style w:type="paragraph" w:styleId="Liststycke">
    <w:name w:val="List Paragraph"/>
    <w:basedOn w:val="Normal"/>
    <w:uiPriority w:val="34"/>
    <w:qFormat/>
    <w:rsid w:val="00F32CCD"/>
    <w:pPr>
      <w:ind w:left="720"/>
      <w:contextualSpacing/>
    </w:pPr>
  </w:style>
  <w:style w:type="paragraph" w:styleId="Ballongtext">
    <w:name w:val="Balloon Text"/>
    <w:basedOn w:val="Normal"/>
    <w:link w:val="BallongtextChar"/>
    <w:uiPriority w:val="99"/>
    <w:semiHidden/>
    <w:unhideWhenUsed/>
    <w:rsid w:val="00F32CCD"/>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2CCD"/>
    <w:rPr>
      <w:rFonts w:ascii="Tahoma" w:hAnsi="Tahoma" w:cs="Tahoma"/>
      <w:sz w:val="16"/>
      <w:szCs w:val="16"/>
    </w:rPr>
  </w:style>
  <w:style w:type="character" w:customStyle="1" w:styleId="Rubrik2Char">
    <w:name w:val="Rubrik 2 Char"/>
    <w:basedOn w:val="Rubrik1Char1"/>
    <w:link w:val="Rubrik2"/>
    <w:locked/>
    <w:rsid w:val="00F32CCD"/>
    <w:rPr>
      <w:noProof/>
      <w:sz w:val="27"/>
    </w:rPr>
  </w:style>
  <w:style w:type="character" w:customStyle="1" w:styleId="FotnotstextChar">
    <w:name w:val="Fotnotstext Char"/>
    <w:basedOn w:val="Standardstycketeckensnitt"/>
    <w:link w:val="Fotnotstext"/>
    <w:uiPriority w:val="99"/>
    <w:rsid w:val="005D479B"/>
    <w:rPr>
      <w:sz w:val="17"/>
    </w:rPr>
  </w:style>
  <w:style w:type="character" w:customStyle="1" w:styleId="Rubrik3Char">
    <w:name w:val="Rubrik 3 Char"/>
    <w:basedOn w:val="Rubrik1Char1"/>
    <w:link w:val="Rubrik3"/>
    <w:locked/>
    <w:rsid w:val="00F32CCD"/>
    <w:rPr>
      <w:b/>
      <w:noProof/>
      <w:sz w:val="21"/>
    </w:rPr>
  </w:style>
  <w:style w:type="table" w:styleId="Tabellrutnt">
    <w:name w:val="Table Grid"/>
    <w:basedOn w:val="Normaltabell"/>
    <w:uiPriority w:val="59"/>
    <w:rsid w:val="00F32C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brik4Char">
    <w:name w:val="Rubrik 4 Char"/>
    <w:basedOn w:val="Standardstycketeckensnitt"/>
    <w:link w:val="Rubrik4"/>
    <w:rsid w:val="00F32CCD"/>
    <w:rPr>
      <w:i/>
      <w:noProof/>
      <w:sz w:val="21"/>
    </w:rPr>
  </w:style>
  <w:style w:type="paragraph" w:customStyle="1" w:styleId="R6">
    <w:name w:val="R6"/>
    <w:basedOn w:val="Rubrik6"/>
    <w:autoRedefine/>
    <w:rsid w:val="00F32CCD"/>
    <w:pPr>
      <w:spacing w:before="0"/>
    </w:pPr>
    <w:rPr>
      <w:sz w:val="18"/>
      <w:szCs w:val="18"/>
    </w:rPr>
  </w:style>
  <w:style w:type="character" w:styleId="Hyperlnk">
    <w:name w:val="Hyperlink"/>
    <w:basedOn w:val="Standardstycketeckensnitt"/>
    <w:uiPriority w:val="99"/>
    <w:unhideWhenUsed/>
    <w:rsid w:val="00F32CCD"/>
    <w:rPr>
      <w:color w:val="0000FF"/>
      <w:u w:val="single"/>
    </w:rPr>
  </w:style>
  <w:style w:type="character" w:styleId="AnvndHyperlnk">
    <w:name w:val="FollowedHyperlink"/>
    <w:basedOn w:val="Standardstycketeckensnitt"/>
    <w:uiPriority w:val="99"/>
    <w:semiHidden/>
    <w:unhideWhenUsed/>
    <w:rsid w:val="00F32CCD"/>
    <w:rPr>
      <w:color w:val="800080"/>
      <w:u w:val="single"/>
    </w:rPr>
  </w:style>
  <w:style w:type="paragraph" w:customStyle="1" w:styleId="normal0">
    <w:name w:val="normal"/>
    <w:basedOn w:val="Normal"/>
    <w:uiPriority w:val="99"/>
    <w:rsid w:val="00F32CCD"/>
    <w:pPr>
      <w:spacing w:before="100" w:beforeAutospacing="1" w:after="100" w:afterAutospacing="1" w:line="240" w:lineRule="auto"/>
      <w:jc w:val="left"/>
    </w:pPr>
    <w:rPr>
      <w:rFonts w:ascii="Verdana" w:hAnsi="Verdana" w:cs="Verdana"/>
      <w:sz w:val="24"/>
      <w:szCs w:val="24"/>
    </w:rPr>
  </w:style>
  <w:style w:type="paragraph" w:customStyle="1" w:styleId="Default">
    <w:name w:val="Default"/>
    <w:rsid w:val="00F32CCD"/>
    <w:pPr>
      <w:autoSpaceDE w:val="0"/>
      <w:autoSpaceDN w:val="0"/>
      <w:adjustRightInd w:val="0"/>
    </w:pPr>
    <w:rPr>
      <w:color w:val="000000"/>
      <w:sz w:val="24"/>
      <w:szCs w:val="24"/>
      <w:lang w:val="sv-SE" w:eastAsia="en-US"/>
    </w:rPr>
  </w:style>
  <w:style w:type="paragraph" w:styleId="Brdtext">
    <w:name w:val="Body Text"/>
    <w:basedOn w:val="Normal"/>
    <w:link w:val="BrdtextChar"/>
    <w:uiPriority w:val="99"/>
    <w:rsid w:val="00F32CCD"/>
    <w:pPr>
      <w:shd w:val="clear" w:color="auto" w:fill="FFFFFF"/>
      <w:tabs>
        <w:tab w:val="left" w:pos="851"/>
      </w:tabs>
      <w:spacing w:before="100" w:beforeAutospacing="1" w:after="100" w:afterAutospacing="1" w:line="300" w:lineRule="auto"/>
    </w:pPr>
    <w:rPr>
      <w:color w:val="000000"/>
      <w:szCs w:val="19"/>
    </w:rPr>
  </w:style>
  <w:style w:type="character" w:customStyle="1" w:styleId="BrdtextChar">
    <w:name w:val="Brödtext Char"/>
    <w:basedOn w:val="Standardstycketeckensnitt"/>
    <w:link w:val="Brdtext"/>
    <w:uiPriority w:val="99"/>
    <w:rsid w:val="00F32CCD"/>
    <w:rPr>
      <w:rFonts w:eastAsia="Times New Roman"/>
      <w:color w:val="000000"/>
      <w:sz w:val="19"/>
      <w:szCs w:val="19"/>
      <w:shd w:val="clear" w:color="auto" w:fill="FFFFFF"/>
    </w:rPr>
  </w:style>
  <w:style w:type="character" w:customStyle="1" w:styleId="KommentarerChar">
    <w:name w:val="Kommentarer Char"/>
    <w:basedOn w:val="Standardstycketeckensnitt"/>
    <w:rsid w:val="00F32CCD"/>
  </w:style>
  <w:style w:type="paragraph" w:styleId="Kommentarsmne">
    <w:name w:val="annotation subject"/>
    <w:basedOn w:val="Kommentarer"/>
    <w:next w:val="Kommentarer"/>
    <w:link w:val="KommentarsmneChar"/>
    <w:uiPriority w:val="99"/>
    <w:semiHidden/>
    <w:unhideWhenUsed/>
    <w:rsid w:val="00F32CCD"/>
    <w:pPr>
      <w:spacing w:before="62" w:line="240" w:lineRule="auto"/>
    </w:pPr>
    <w:rPr>
      <w:b/>
      <w:bCs/>
    </w:rPr>
  </w:style>
  <w:style w:type="character" w:customStyle="1" w:styleId="KommentarerChar1">
    <w:name w:val="Kommentarer Char1"/>
    <w:basedOn w:val="Standardstycketeckensnitt"/>
    <w:link w:val="Kommentarer"/>
    <w:rsid w:val="00F32CCD"/>
  </w:style>
  <w:style w:type="character" w:customStyle="1" w:styleId="KommentarsmneChar">
    <w:name w:val="Kommentarsämne Char"/>
    <w:basedOn w:val="KommentarerChar1"/>
    <w:link w:val="Kommentarsmne"/>
    <w:uiPriority w:val="99"/>
    <w:semiHidden/>
    <w:rsid w:val="00F32CCD"/>
    <w:rPr>
      <w:b/>
      <w:bCs/>
    </w:rPr>
  </w:style>
  <w:style w:type="paragraph" w:customStyle="1" w:styleId="CM72">
    <w:name w:val="CM72"/>
    <w:basedOn w:val="Default"/>
    <w:next w:val="Default"/>
    <w:uiPriority w:val="99"/>
    <w:rsid w:val="00F32CCD"/>
    <w:rPr>
      <w:rFonts w:ascii="HOALF H+ Stempel Garamond" w:hAnsi="HOALF H+ Stempel Garamond"/>
      <w:color w:val="auto"/>
      <w:lang w:eastAsia="sv-SE"/>
    </w:rPr>
  </w:style>
  <w:style w:type="character" w:customStyle="1" w:styleId="OformateradtextChar">
    <w:name w:val="Oformaterad text Char"/>
    <w:basedOn w:val="Standardstycketeckensnitt"/>
    <w:link w:val="Oformateradtext"/>
    <w:uiPriority w:val="99"/>
    <w:rsid w:val="00F32CCD"/>
    <w:rPr>
      <w:rFonts w:ascii="Courier New" w:hAnsi="Courier New"/>
    </w:rPr>
  </w:style>
  <w:style w:type="paragraph" w:styleId="Revision">
    <w:name w:val="Revision"/>
    <w:hidden/>
    <w:uiPriority w:val="99"/>
    <w:semiHidden/>
    <w:rsid w:val="00F32CCD"/>
    <w:rPr>
      <w:sz w:val="19"/>
      <w:lang w:val="sv-SE" w:eastAsia="sv-SE"/>
    </w:rPr>
  </w:style>
  <w:style w:type="character" w:customStyle="1" w:styleId="Rubrik6Char">
    <w:name w:val="Rubrik 6 Char"/>
    <w:basedOn w:val="Standardstycketeckensnitt"/>
    <w:link w:val="Rubrik6"/>
    <w:rsid w:val="004E028A"/>
    <w:rPr>
      <w:sz w:val="16"/>
      <w:lang w:val="sv-SE" w:eastAsia="sv-SE" w:bidi="ar-SA"/>
    </w:rPr>
  </w:style>
  <w:style w:type="character" w:customStyle="1" w:styleId="Rubrik7Char">
    <w:name w:val="Rubrik 7 Char"/>
    <w:basedOn w:val="Rubrik6Char"/>
    <w:link w:val="Rubrik7"/>
    <w:rsid w:val="004E028A"/>
    <w:rPr>
      <w:sz w:val="14"/>
      <w:lang w:val="sv-SE" w:eastAsia="sv-SE" w:bidi="ar-SA"/>
    </w:rPr>
  </w:style>
  <w:style w:type="character" w:customStyle="1" w:styleId="Rubrik8Char">
    <w:name w:val="Rubrik 8 Char"/>
    <w:basedOn w:val="Rubrik7Char"/>
    <w:link w:val="Rubrik8"/>
    <w:rsid w:val="004E028A"/>
    <w:rPr>
      <w:i/>
      <w:sz w:val="1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335">
      <w:bodyDiv w:val="1"/>
      <w:marLeft w:val="0"/>
      <w:marRight w:val="0"/>
      <w:marTop w:val="0"/>
      <w:marBottom w:val="0"/>
      <w:divBdr>
        <w:top w:val="none" w:sz="0" w:space="0" w:color="auto"/>
        <w:left w:val="none" w:sz="0" w:space="0" w:color="auto"/>
        <w:bottom w:val="none" w:sz="0" w:space="0" w:color="auto"/>
        <w:right w:val="none" w:sz="0" w:space="0" w:color="auto"/>
      </w:divBdr>
    </w:div>
    <w:div w:id="41560839">
      <w:bodyDiv w:val="1"/>
      <w:marLeft w:val="0"/>
      <w:marRight w:val="0"/>
      <w:marTop w:val="0"/>
      <w:marBottom w:val="0"/>
      <w:divBdr>
        <w:top w:val="none" w:sz="0" w:space="0" w:color="auto"/>
        <w:left w:val="none" w:sz="0" w:space="0" w:color="auto"/>
        <w:bottom w:val="none" w:sz="0" w:space="0" w:color="auto"/>
        <w:right w:val="none" w:sz="0" w:space="0" w:color="auto"/>
      </w:divBdr>
    </w:div>
    <w:div w:id="58480203">
      <w:bodyDiv w:val="1"/>
      <w:marLeft w:val="0"/>
      <w:marRight w:val="0"/>
      <w:marTop w:val="0"/>
      <w:marBottom w:val="0"/>
      <w:divBdr>
        <w:top w:val="none" w:sz="0" w:space="0" w:color="auto"/>
        <w:left w:val="none" w:sz="0" w:space="0" w:color="auto"/>
        <w:bottom w:val="none" w:sz="0" w:space="0" w:color="auto"/>
        <w:right w:val="none" w:sz="0" w:space="0" w:color="auto"/>
      </w:divBdr>
    </w:div>
    <w:div w:id="60368875">
      <w:bodyDiv w:val="1"/>
      <w:marLeft w:val="0"/>
      <w:marRight w:val="0"/>
      <w:marTop w:val="0"/>
      <w:marBottom w:val="0"/>
      <w:divBdr>
        <w:top w:val="none" w:sz="0" w:space="0" w:color="auto"/>
        <w:left w:val="none" w:sz="0" w:space="0" w:color="auto"/>
        <w:bottom w:val="none" w:sz="0" w:space="0" w:color="auto"/>
        <w:right w:val="none" w:sz="0" w:space="0" w:color="auto"/>
      </w:divBdr>
    </w:div>
    <w:div w:id="89468525">
      <w:bodyDiv w:val="1"/>
      <w:marLeft w:val="0"/>
      <w:marRight w:val="0"/>
      <w:marTop w:val="0"/>
      <w:marBottom w:val="0"/>
      <w:divBdr>
        <w:top w:val="none" w:sz="0" w:space="0" w:color="auto"/>
        <w:left w:val="none" w:sz="0" w:space="0" w:color="auto"/>
        <w:bottom w:val="none" w:sz="0" w:space="0" w:color="auto"/>
        <w:right w:val="none" w:sz="0" w:space="0" w:color="auto"/>
      </w:divBdr>
    </w:div>
    <w:div w:id="143205753">
      <w:bodyDiv w:val="1"/>
      <w:marLeft w:val="0"/>
      <w:marRight w:val="0"/>
      <w:marTop w:val="0"/>
      <w:marBottom w:val="0"/>
      <w:divBdr>
        <w:top w:val="none" w:sz="0" w:space="0" w:color="auto"/>
        <w:left w:val="none" w:sz="0" w:space="0" w:color="auto"/>
        <w:bottom w:val="none" w:sz="0" w:space="0" w:color="auto"/>
        <w:right w:val="none" w:sz="0" w:space="0" w:color="auto"/>
      </w:divBdr>
    </w:div>
    <w:div w:id="162285209">
      <w:bodyDiv w:val="1"/>
      <w:marLeft w:val="0"/>
      <w:marRight w:val="0"/>
      <w:marTop w:val="0"/>
      <w:marBottom w:val="0"/>
      <w:divBdr>
        <w:top w:val="none" w:sz="0" w:space="0" w:color="auto"/>
        <w:left w:val="none" w:sz="0" w:space="0" w:color="auto"/>
        <w:bottom w:val="none" w:sz="0" w:space="0" w:color="auto"/>
        <w:right w:val="none" w:sz="0" w:space="0" w:color="auto"/>
      </w:divBdr>
    </w:div>
    <w:div w:id="179320860">
      <w:bodyDiv w:val="1"/>
      <w:marLeft w:val="0"/>
      <w:marRight w:val="0"/>
      <w:marTop w:val="0"/>
      <w:marBottom w:val="0"/>
      <w:divBdr>
        <w:top w:val="none" w:sz="0" w:space="0" w:color="auto"/>
        <w:left w:val="none" w:sz="0" w:space="0" w:color="auto"/>
        <w:bottom w:val="none" w:sz="0" w:space="0" w:color="auto"/>
        <w:right w:val="none" w:sz="0" w:space="0" w:color="auto"/>
      </w:divBdr>
    </w:div>
    <w:div w:id="231081306">
      <w:bodyDiv w:val="1"/>
      <w:marLeft w:val="0"/>
      <w:marRight w:val="0"/>
      <w:marTop w:val="0"/>
      <w:marBottom w:val="0"/>
      <w:divBdr>
        <w:top w:val="none" w:sz="0" w:space="0" w:color="auto"/>
        <w:left w:val="none" w:sz="0" w:space="0" w:color="auto"/>
        <w:bottom w:val="none" w:sz="0" w:space="0" w:color="auto"/>
        <w:right w:val="none" w:sz="0" w:space="0" w:color="auto"/>
      </w:divBdr>
    </w:div>
    <w:div w:id="231628115">
      <w:bodyDiv w:val="1"/>
      <w:marLeft w:val="0"/>
      <w:marRight w:val="0"/>
      <w:marTop w:val="0"/>
      <w:marBottom w:val="0"/>
      <w:divBdr>
        <w:top w:val="none" w:sz="0" w:space="0" w:color="auto"/>
        <w:left w:val="none" w:sz="0" w:space="0" w:color="auto"/>
        <w:bottom w:val="none" w:sz="0" w:space="0" w:color="auto"/>
        <w:right w:val="none" w:sz="0" w:space="0" w:color="auto"/>
      </w:divBdr>
    </w:div>
    <w:div w:id="282229320">
      <w:bodyDiv w:val="1"/>
      <w:marLeft w:val="0"/>
      <w:marRight w:val="0"/>
      <w:marTop w:val="0"/>
      <w:marBottom w:val="0"/>
      <w:divBdr>
        <w:top w:val="none" w:sz="0" w:space="0" w:color="auto"/>
        <w:left w:val="none" w:sz="0" w:space="0" w:color="auto"/>
        <w:bottom w:val="none" w:sz="0" w:space="0" w:color="auto"/>
        <w:right w:val="none" w:sz="0" w:space="0" w:color="auto"/>
      </w:divBdr>
    </w:div>
    <w:div w:id="412288853">
      <w:bodyDiv w:val="1"/>
      <w:marLeft w:val="0"/>
      <w:marRight w:val="0"/>
      <w:marTop w:val="0"/>
      <w:marBottom w:val="0"/>
      <w:divBdr>
        <w:top w:val="none" w:sz="0" w:space="0" w:color="auto"/>
        <w:left w:val="none" w:sz="0" w:space="0" w:color="auto"/>
        <w:bottom w:val="none" w:sz="0" w:space="0" w:color="auto"/>
        <w:right w:val="none" w:sz="0" w:space="0" w:color="auto"/>
      </w:divBdr>
    </w:div>
    <w:div w:id="429356359">
      <w:bodyDiv w:val="1"/>
      <w:marLeft w:val="0"/>
      <w:marRight w:val="0"/>
      <w:marTop w:val="0"/>
      <w:marBottom w:val="0"/>
      <w:divBdr>
        <w:top w:val="none" w:sz="0" w:space="0" w:color="auto"/>
        <w:left w:val="none" w:sz="0" w:space="0" w:color="auto"/>
        <w:bottom w:val="none" w:sz="0" w:space="0" w:color="auto"/>
        <w:right w:val="none" w:sz="0" w:space="0" w:color="auto"/>
      </w:divBdr>
    </w:div>
    <w:div w:id="431753386">
      <w:bodyDiv w:val="1"/>
      <w:marLeft w:val="0"/>
      <w:marRight w:val="0"/>
      <w:marTop w:val="0"/>
      <w:marBottom w:val="0"/>
      <w:divBdr>
        <w:top w:val="none" w:sz="0" w:space="0" w:color="auto"/>
        <w:left w:val="none" w:sz="0" w:space="0" w:color="auto"/>
        <w:bottom w:val="none" w:sz="0" w:space="0" w:color="auto"/>
        <w:right w:val="none" w:sz="0" w:space="0" w:color="auto"/>
      </w:divBdr>
    </w:div>
    <w:div w:id="452870841">
      <w:bodyDiv w:val="1"/>
      <w:marLeft w:val="0"/>
      <w:marRight w:val="0"/>
      <w:marTop w:val="0"/>
      <w:marBottom w:val="0"/>
      <w:divBdr>
        <w:top w:val="none" w:sz="0" w:space="0" w:color="auto"/>
        <w:left w:val="none" w:sz="0" w:space="0" w:color="auto"/>
        <w:bottom w:val="none" w:sz="0" w:space="0" w:color="auto"/>
        <w:right w:val="none" w:sz="0" w:space="0" w:color="auto"/>
      </w:divBdr>
    </w:div>
    <w:div w:id="454561935">
      <w:bodyDiv w:val="1"/>
      <w:marLeft w:val="0"/>
      <w:marRight w:val="0"/>
      <w:marTop w:val="0"/>
      <w:marBottom w:val="0"/>
      <w:divBdr>
        <w:top w:val="none" w:sz="0" w:space="0" w:color="auto"/>
        <w:left w:val="none" w:sz="0" w:space="0" w:color="auto"/>
        <w:bottom w:val="none" w:sz="0" w:space="0" w:color="auto"/>
        <w:right w:val="none" w:sz="0" w:space="0" w:color="auto"/>
      </w:divBdr>
    </w:div>
    <w:div w:id="460878781">
      <w:bodyDiv w:val="1"/>
      <w:marLeft w:val="0"/>
      <w:marRight w:val="0"/>
      <w:marTop w:val="0"/>
      <w:marBottom w:val="0"/>
      <w:divBdr>
        <w:top w:val="none" w:sz="0" w:space="0" w:color="auto"/>
        <w:left w:val="none" w:sz="0" w:space="0" w:color="auto"/>
        <w:bottom w:val="none" w:sz="0" w:space="0" w:color="auto"/>
        <w:right w:val="none" w:sz="0" w:space="0" w:color="auto"/>
      </w:divBdr>
    </w:div>
    <w:div w:id="499083076">
      <w:bodyDiv w:val="1"/>
      <w:marLeft w:val="0"/>
      <w:marRight w:val="0"/>
      <w:marTop w:val="0"/>
      <w:marBottom w:val="0"/>
      <w:divBdr>
        <w:top w:val="none" w:sz="0" w:space="0" w:color="auto"/>
        <w:left w:val="none" w:sz="0" w:space="0" w:color="auto"/>
        <w:bottom w:val="none" w:sz="0" w:space="0" w:color="auto"/>
        <w:right w:val="none" w:sz="0" w:space="0" w:color="auto"/>
      </w:divBdr>
    </w:div>
    <w:div w:id="584916621">
      <w:bodyDiv w:val="1"/>
      <w:marLeft w:val="0"/>
      <w:marRight w:val="0"/>
      <w:marTop w:val="0"/>
      <w:marBottom w:val="0"/>
      <w:divBdr>
        <w:top w:val="none" w:sz="0" w:space="0" w:color="auto"/>
        <w:left w:val="none" w:sz="0" w:space="0" w:color="auto"/>
        <w:bottom w:val="none" w:sz="0" w:space="0" w:color="auto"/>
        <w:right w:val="none" w:sz="0" w:space="0" w:color="auto"/>
      </w:divBdr>
    </w:div>
    <w:div w:id="591088873">
      <w:bodyDiv w:val="1"/>
      <w:marLeft w:val="0"/>
      <w:marRight w:val="0"/>
      <w:marTop w:val="0"/>
      <w:marBottom w:val="0"/>
      <w:divBdr>
        <w:top w:val="none" w:sz="0" w:space="0" w:color="auto"/>
        <w:left w:val="none" w:sz="0" w:space="0" w:color="auto"/>
        <w:bottom w:val="none" w:sz="0" w:space="0" w:color="auto"/>
        <w:right w:val="none" w:sz="0" w:space="0" w:color="auto"/>
      </w:divBdr>
    </w:div>
    <w:div w:id="619915479">
      <w:bodyDiv w:val="1"/>
      <w:marLeft w:val="0"/>
      <w:marRight w:val="0"/>
      <w:marTop w:val="0"/>
      <w:marBottom w:val="0"/>
      <w:divBdr>
        <w:top w:val="none" w:sz="0" w:space="0" w:color="auto"/>
        <w:left w:val="none" w:sz="0" w:space="0" w:color="auto"/>
        <w:bottom w:val="none" w:sz="0" w:space="0" w:color="auto"/>
        <w:right w:val="none" w:sz="0" w:space="0" w:color="auto"/>
      </w:divBdr>
    </w:div>
    <w:div w:id="632297235">
      <w:bodyDiv w:val="1"/>
      <w:marLeft w:val="0"/>
      <w:marRight w:val="0"/>
      <w:marTop w:val="0"/>
      <w:marBottom w:val="0"/>
      <w:divBdr>
        <w:top w:val="none" w:sz="0" w:space="0" w:color="auto"/>
        <w:left w:val="none" w:sz="0" w:space="0" w:color="auto"/>
        <w:bottom w:val="none" w:sz="0" w:space="0" w:color="auto"/>
        <w:right w:val="none" w:sz="0" w:space="0" w:color="auto"/>
      </w:divBdr>
    </w:div>
    <w:div w:id="664208307">
      <w:bodyDiv w:val="1"/>
      <w:marLeft w:val="0"/>
      <w:marRight w:val="0"/>
      <w:marTop w:val="0"/>
      <w:marBottom w:val="0"/>
      <w:divBdr>
        <w:top w:val="none" w:sz="0" w:space="0" w:color="auto"/>
        <w:left w:val="none" w:sz="0" w:space="0" w:color="auto"/>
        <w:bottom w:val="none" w:sz="0" w:space="0" w:color="auto"/>
        <w:right w:val="none" w:sz="0" w:space="0" w:color="auto"/>
      </w:divBdr>
    </w:div>
    <w:div w:id="697706578">
      <w:bodyDiv w:val="1"/>
      <w:marLeft w:val="0"/>
      <w:marRight w:val="0"/>
      <w:marTop w:val="0"/>
      <w:marBottom w:val="0"/>
      <w:divBdr>
        <w:top w:val="none" w:sz="0" w:space="0" w:color="auto"/>
        <w:left w:val="none" w:sz="0" w:space="0" w:color="auto"/>
        <w:bottom w:val="none" w:sz="0" w:space="0" w:color="auto"/>
        <w:right w:val="none" w:sz="0" w:space="0" w:color="auto"/>
      </w:divBdr>
    </w:div>
    <w:div w:id="708722089">
      <w:bodyDiv w:val="1"/>
      <w:marLeft w:val="0"/>
      <w:marRight w:val="0"/>
      <w:marTop w:val="0"/>
      <w:marBottom w:val="0"/>
      <w:divBdr>
        <w:top w:val="none" w:sz="0" w:space="0" w:color="auto"/>
        <w:left w:val="none" w:sz="0" w:space="0" w:color="auto"/>
        <w:bottom w:val="none" w:sz="0" w:space="0" w:color="auto"/>
        <w:right w:val="none" w:sz="0" w:space="0" w:color="auto"/>
      </w:divBdr>
    </w:div>
    <w:div w:id="838926765">
      <w:bodyDiv w:val="1"/>
      <w:marLeft w:val="0"/>
      <w:marRight w:val="0"/>
      <w:marTop w:val="0"/>
      <w:marBottom w:val="0"/>
      <w:divBdr>
        <w:top w:val="none" w:sz="0" w:space="0" w:color="auto"/>
        <w:left w:val="none" w:sz="0" w:space="0" w:color="auto"/>
        <w:bottom w:val="none" w:sz="0" w:space="0" w:color="auto"/>
        <w:right w:val="none" w:sz="0" w:space="0" w:color="auto"/>
      </w:divBdr>
    </w:div>
    <w:div w:id="844369830">
      <w:bodyDiv w:val="1"/>
      <w:marLeft w:val="0"/>
      <w:marRight w:val="0"/>
      <w:marTop w:val="0"/>
      <w:marBottom w:val="0"/>
      <w:divBdr>
        <w:top w:val="none" w:sz="0" w:space="0" w:color="auto"/>
        <w:left w:val="none" w:sz="0" w:space="0" w:color="auto"/>
        <w:bottom w:val="none" w:sz="0" w:space="0" w:color="auto"/>
        <w:right w:val="none" w:sz="0" w:space="0" w:color="auto"/>
      </w:divBdr>
    </w:div>
    <w:div w:id="935407861">
      <w:bodyDiv w:val="1"/>
      <w:marLeft w:val="0"/>
      <w:marRight w:val="0"/>
      <w:marTop w:val="0"/>
      <w:marBottom w:val="0"/>
      <w:divBdr>
        <w:top w:val="none" w:sz="0" w:space="0" w:color="auto"/>
        <w:left w:val="none" w:sz="0" w:space="0" w:color="auto"/>
        <w:bottom w:val="none" w:sz="0" w:space="0" w:color="auto"/>
        <w:right w:val="none" w:sz="0" w:space="0" w:color="auto"/>
      </w:divBdr>
    </w:div>
    <w:div w:id="947588663">
      <w:bodyDiv w:val="1"/>
      <w:marLeft w:val="0"/>
      <w:marRight w:val="0"/>
      <w:marTop w:val="0"/>
      <w:marBottom w:val="0"/>
      <w:divBdr>
        <w:top w:val="none" w:sz="0" w:space="0" w:color="auto"/>
        <w:left w:val="none" w:sz="0" w:space="0" w:color="auto"/>
        <w:bottom w:val="none" w:sz="0" w:space="0" w:color="auto"/>
        <w:right w:val="none" w:sz="0" w:space="0" w:color="auto"/>
      </w:divBdr>
    </w:div>
    <w:div w:id="971713748">
      <w:bodyDiv w:val="1"/>
      <w:marLeft w:val="0"/>
      <w:marRight w:val="0"/>
      <w:marTop w:val="0"/>
      <w:marBottom w:val="0"/>
      <w:divBdr>
        <w:top w:val="none" w:sz="0" w:space="0" w:color="auto"/>
        <w:left w:val="none" w:sz="0" w:space="0" w:color="auto"/>
        <w:bottom w:val="none" w:sz="0" w:space="0" w:color="auto"/>
        <w:right w:val="none" w:sz="0" w:space="0" w:color="auto"/>
      </w:divBdr>
    </w:div>
    <w:div w:id="1022511491">
      <w:bodyDiv w:val="1"/>
      <w:marLeft w:val="0"/>
      <w:marRight w:val="0"/>
      <w:marTop w:val="0"/>
      <w:marBottom w:val="0"/>
      <w:divBdr>
        <w:top w:val="none" w:sz="0" w:space="0" w:color="auto"/>
        <w:left w:val="none" w:sz="0" w:space="0" w:color="auto"/>
        <w:bottom w:val="none" w:sz="0" w:space="0" w:color="auto"/>
        <w:right w:val="none" w:sz="0" w:space="0" w:color="auto"/>
      </w:divBdr>
    </w:div>
    <w:div w:id="1076631435">
      <w:bodyDiv w:val="1"/>
      <w:marLeft w:val="0"/>
      <w:marRight w:val="0"/>
      <w:marTop w:val="0"/>
      <w:marBottom w:val="0"/>
      <w:divBdr>
        <w:top w:val="none" w:sz="0" w:space="0" w:color="auto"/>
        <w:left w:val="none" w:sz="0" w:space="0" w:color="auto"/>
        <w:bottom w:val="none" w:sz="0" w:space="0" w:color="auto"/>
        <w:right w:val="none" w:sz="0" w:space="0" w:color="auto"/>
      </w:divBdr>
    </w:div>
    <w:div w:id="1160081029">
      <w:bodyDiv w:val="1"/>
      <w:marLeft w:val="0"/>
      <w:marRight w:val="0"/>
      <w:marTop w:val="0"/>
      <w:marBottom w:val="0"/>
      <w:divBdr>
        <w:top w:val="none" w:sz="0" w:space="0" w:color="auto"/>
        <w:left w:val="none" w:sz="0" w:space="0" w:color="auto"/>
        <w:bottom w:val="none" w:sz="0" w:space="0" w:color="auto"/>
        <w:right w:val="none" w:sz="0" w:space="0" w:color="auto"/>
      </w:divBdr>
    </w:div>
    <w:div w:id="1242105369">
      <w:bodyDiv w:val="1"/>
      <w:marLeft w:val="0"/>
      <w:marRight w:val="0"/>
      <w:marTop w:val="0"/>
      <w:marBottom w:val="0"/>
      <w:divBdr>
        <w:top w:val="none" w:sz="0" w:space="0" w:color="auto"/>
        <w:left w:val="none" w:sz="0" w:space="0" w:color="auto"/>
        <w:bottom w:val="none" w:sz="0" w:space="0" w:color="auto"/>
        <w:right w:val="none" w:sz="0" w:space="0" w:color="auto"/>
      </w:divBdr>
    </w:div>
    <w:div w:id="1260679431">
      <w:bodyDiv w:val="1"/>
      <w:marLeft w:val="0"/>
      <w:marRight w:val="0"/>
      <w:marTop w:val="0"/>
      <w:marBottom w:val="0"/>
      <w:divBdr>
        <w:top w:val="none" w:sz="0" w:space="0" w:color="auto"/>
        <w:left w:val="none" w:sz="0" w:space="0" w:color="auto"/>
        <w:bottom w:val="none" w:sz="0" w:space="0" w:color="auto"/>
        <w:right w:val="none" w:sz="0" w:space="0" w:color="auto"/>
      </w:divBdr>
    </w:div>
    <w:div w:id="1293975184">
      <w:bodyDiv w:val="1"/>
      <w:marLeft w:val="0"/>
      <w:marRight w:val="0"/>
      <w:marTop w:val="0"/>
      <w:marBottom w:val="0"/>
      <w:divBdr>
        <w:top w:val="none" w:sz="0" w:space="0" w:color="auto"/>
        <w:left w:val="none" w:sz="0" w:space="0" w:color="auto"/>
        <w:bottom w:val="none" w:sz="0" w:space="0" w:color="auto"/>
        <w:right w:val="none" w:sz="0" w:space="0" w:color="auto"/>
      </w:divBdr>
    </w:div>
    <w:div w:id="1350108549">
      <w:bodyDiv w:val="1"/>
      <w:marLeft w:val="0"/>
      <w:marRight w:val="0"/>
      <w:marTop w:val="0"/>
      <w:marBottom w:val="0"/>
      <w:divBdr>
        <w:top w:val="none" w:sz="0" w:space="0" w:color="auto"/>
        <w:left w:val="none" w:sz="0" w:space="0" w:color="auto"/>
        <w:bottom w:val="none" w:sz="0" w:space="0" w:color="auto"/>
        <w:right w:val="none" w:sz="0" w:space="0" w:color="auto"/>
      </w:divBdr>
    </w:div>
    <w:div w:id="1431509331">
      <w:bodyDiv w:val="1"/>
      <w:marLeft w:val="0"/>
      <w:marRight w:val="0"/>
      <w:marTop w:val="0"/>
      <w:marBottom w:val="0"/>
      <w:divBdr>
        <w:top w:val="none" w:sz="0" w:space="0" w:color="auto"/>
        <w:left w:val="none" w:sz="0" w:space="0" w:color="auto"/>
        <w:bottom w:val="none" w:sz="0" w:space="0" w:color="auto"/>
        <w:right w:val="none" w:sz="0" w:space="0" w:color="auto"/>
      </w:divBdr>
    </w:div>
    <w:div w:id="1443959675">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71939270">
      <w:bodyDiv w:val="1"/>
      <w:marLeft w:val="0"/>
      <w:marRight w:val="0"/>
      <w:marTop w:val="0"/>
      <w:marBottom w:val="0"/>
      <w:divBdr>
        <w:top w:val="none" w:sz="0" w:space="0" w:color="auto"/>
        <w:left w:val="none" w:sz="0" w:space="0" w:color="auto"/>
        <w:bottom w:val="none" w:sz="0" w:space="0" w:color="auto"/>
        <w:right w:val="none" w:sz="0" w:space="0" w:color="auto"/>
      </w:divBdr>
    </w:div>
    <w:div w:id="1507019146">
      <w:bodyDiv w:val="1"/>
      <w:marLeft w:val="0"/>
      <w:marRight w:val="0"/>
      <w:marTop w:val="0"/>
      <w:marBottom w:val="0"/>
      <w:divBdr>
        <w:top w:val="none" w:sz="0" w:space="0" w:color="auto"/>
        <w:left w:val="none" w:sz="0" w:space="0" w:color="auto"/>
        <w:bottom w:val="none" w:sz="0" w:space="0" w:color="auto"/>
        <w:right w:val="none" w:sz="0" w:space="0" w:color="auto"/>
      </w:divBdr>
    </w:div>
    <w:div w:id="1524587100">
      <w:bodyDiv w:val="1"/>
      <w:marLeft w:val="0"/>
      <w:marRight w:val="0"/>
      <w:marTop w:val="0"/>
      <w:marBottom w:val="0"/>
      <w:divBdr>
        <w:top w:val="none" w:sz="0" w:space="0" w:color="auto"/>
        <w:left w:val="none" w:sz="0" w:space="0" w:color="auto"/>
        <w:bottom w:val="none" w:sz="0" w:space="0" w:color="auto"/>
        <w:right w:val="none" w:sz="0" w:space="0" w:color="auto"/>
      </w:divBdr>
    </w:div>
    <w:div w:id="1527140445">
      <w:bodyDiv w:val="1"/>
      <w:marLeft w:val="0"/>
      <w:marRight w:val="0"/>
      <w:marTop w:val="0"/>
      <w:marBottom w:val="0"/>
      <w:divBdr>
        <w:top w:val="none" w:sz="0" w:space="0" w:color="auto"/>
        <w:left w:val="none" w:sz="0" w:space="0" w:color="auto"/>
        <w:bottom w:val="none" w:sz="0" w:space="0" w:color="auto"/>
        <w:right w:val="none" w:sz="0" w:space="0" w:color="auto"/>
      </w:divBdr>
    </w:div>
    <w:div w:id="1549875273">
      <w:bodyDiv w:val="1"/>
      <w:marLeft w:val="0"/>
      <w:marRight w:val="0"/>
      <w:marTop w:val="0"/>
      <w:marBottom w:val="0"/>
      <w:divBdr>
        <w:top w:val="none" w:sz="0" w:space="0" w:color="auto"/>
        <w:left w:val="none" w:sz="0" w:space="0" w:color="auto"/>
        <w:bottom w:val="none" w:sz="0" w:space="0" w:color="auto"/>
        <w:right w:val="none" w:sz="0" w:space="0" w:color="auto"/>
      </w:divBdr>
    </w:div>
    <w:div w:id="1572737450">
      <w:bodyDiv w:val="1"/>
      <w:marLeft w:val="0"/>
      <w:marRight w:val="0"/>
      <w:marTop w:val="0"/>
      <w:marBottom w:val="0"/>
      <w:divBdr>
        <w:top w:val="none" w:sz="0" w:space="0" w:color="auto"/>
        <w:left w:val="none" w:sz="0" w:space="0" w:color="auto"/>
        <w:bottom w:val="none" w:sz="0" w:space="0" w:color="auto"/>
        <w:right w:val="none" w:sz="0" w:space="0" w:color="auto"/>
      </w:divBdr>
    </w:div>
    <w:div w:id="1589803420">
      <w:bodyDiv w:val="1"/>
      <w:marLeft w:val="0"/>
      <w:marRight w:val="0"/>
      <w:marTop w:val="0"/>
      <w:marBottom w:val="0"/>
      <w:divBdr>
        <w:top w:val="none" w:sz="0" w:space="0" w:color="auto"/>
        <w:left w:val="none" w:sz="0" w:space="0" w:color="auto"/>
        <w:bottom w:val="none" w:sz="0" w:space="0" w:color="auto"/>
        <w:right w:val="none" w:sz="0" w:space="0" w:color="auto"/>
      </w:divBdr>
    </w:div>
    <w:div w:id="1632788537">
      <w:bodyDiv w:val="1"/>
      <w:marLeft w:val="0"/>
      <w:marRight w:val="0"/>
      <w:marTop w:val="0"/>
      <w:marBottom w:val="0"/>
      <w:divBdr>
        <w:top w:val="none" w:sz="0" w:space="0" w:color="auto"/>
        <w:left w:val="none" w:sz="0" w:space="0" w:color="auto"/>
        <w:bottom w:val="none" w:sz="0" w:space="0" w:color="auto"/>
        <w:right w:val="none" w:sz="0" w:space="0" w:color="auto"/>
      </w:divBdr>
    </w:div>
    <w:div w:id="1752463436">
      <w:bodyDiv w:val="1"/>
      <w:marLeft w:val="0"/>
      <w:marRight w:val="0"/>
      <w:marTop w:val="0"/>
      <w:marBottom w:val="0"/>
      <w:divBdr>
        <w:top w:val="none" w:sz="0" w:space="0" w:color="auto"/>
        <w:left w:val="none" w:sz="0" w:space="0" w:color="auto"/>
        <w:bottom w:val="none" w:sz="0" w:space="0" w:color="auto"/>
        <w:right w:val="none" w:sz="0" w:space="0" w:color="auto"/>
      </w:divBdr>
    </w:div>
    <w:div w:id="1798260607">
      <w:bodyDiv w:val="1"/>
      <w:marLeft w:val="0"/>
      <w:marRight w:val="0"/>
      <w:marTop w:val="0"/>
      <w:marBottom w:val="0"/>
      <w:divBdr>
        <w:top w:val="none" w:sz="0" w:space="0" w:color="auto"/>
        <w:left w:val="none" w:sz="0" w:space="0" w:color="auto"/>
        <w:bottom w:val="none" w:sz="0" w:space="0" w:color="auto"/>
        <w:right w:val="none" w:sz="0" w:space="0" w:color="auto"/>
      </w:divBdr>
    </w:div>
    <w:div w:id="1841698895">
      <w:bodyDiv w:val="1"/>
      <w:marLeft w:val="0"/>
      <w:marRight w:val="0"/>
      <w:marTop w:val="0"/>
      <w:marBottom w:val="0"/>
      <w:divBdr>
        <w:top w:val="none" w:sz="0" w:space="0" w:color="auto"/>
        <w:left w:val="none" w:sz="0" w:space="0" w:color="auto"/>
        <w:bottom w:val="none" w:sz="0" w:space="0" w:color="auto"/>
        <w:right w:val="none" w:sz="0" w:space="0" w:color="auto"/>
      </w:divBdr>
    </w:div>
    <w:div w:id="1847357627">
      <w:bodyDiv w:val="1"/>
      <w:marLeft w:val="0"/>
      <w:marRight w:val="0"/>
      <w:marTop w:val="0"/>
      <w:marBottom w:val="0"/>
      <w:divBdr>
        <w:top w:val="none" w:sz="0" w:space="0" w:color="auto"/>
        <w:left w:val="none" w:sz="0" w:space="0" w:color="auto"/>
        <w:bottom w:val="none" w:sz="0" w:space="0" w:color="auto"/>
        <w:right w:val="none" w:sz="0" w:space="0" w:color="auto"/>
      </w:divBdr>
    </w:div>
    <w:div w:id="1871843809">
      <w:bodyDiv w:val="1"/>
      <w:marLeft w:val="0"/>
      <w:marRight w:val="0"/>
      <w:marTop w:val="0"/>
      <w:marBottom w:val="0"/>
      <w:divBdr>
        <w:top w:val="none" w:sz="0" w:space="0" w:color="auto"/>
        <w:left w:val="none" w:sz="0" w:space="0" w:color="auto"/>
        <w:bottom w:val="none" w:sz="0" w:space="0" w:color="auto"/>
        <w:right w:val="none" w:sz="0" w:space="0" w:color="auto"/>
      </w:divBdr>
    </w:div>
    <w:div w:id="1888645081">
      <w:bodyDiv w:val="1"/>
      <w:marLeft w:val="0"/>
      <w:marRight w:val="0"/>
      <w:marTop w:val="0"/>
      <w:marBottom w:val="0"/>
      <w:divBdr>
        <w:top w:val="none" w:sz="0" w:space="0" w:color="auto"/>
        <w:left w:val="none" w:sz="0" w:space="0" w:color="auto"/>
        <w:bottom w:val="none" w:sz="0" w:space="0" w:color="auto"/>
        <w:right w:val="none" w:sz="0" w:space="0" w:color="auto"/>
      </w:divBdr>
    </w:div>
    <w:div w:id="1898666338">
      <w:bodyDiv w:val="1"/>
      <w:marLeft w:val="0"/>
      <w:marRight w:val="0"/>
      <w:marTop w:val="0"/>
      <w:marBottom w:val="0"/>
      <w:divBdr>
        <w:top w:val="none" w:sz="0" w:space="0" w:color="auto"/>
        <w:left w:val="none" w:sz="0" w:space="0" w:color="auto"/>
        <w:bottom w:val="none" w:sz="0" w:space="0" w:color="auto"/>
        <w:right w:val="none" w:sz="0" w:space="0" w:color="auto"/>
      </w:divBdr>
    </w:div>
    <w:div w:id="1928884870">
      <w:bodyDiv w:val="1"/>
      <w:marLeft w:val="0"/>
      <w:marRight w:val="0"/>
      <w:marTop w:val="0"/>
      <w:marBottom w:val="0"/>
      <w:divBdr>
        <w:top w:val="none" w:sz="0" w:space="0" w:color="auto"/>
        <w:left w:val="none" w:sz="0" w:space="0" w:color="auto"/>
        <w:bottom w:val="none" w:sz="0" w:space="0" w:color="auto"/>
        <w:right w:val="none" w:sz="0" w:space="0" w:color="auto"/>
      </w:divBdr>
    </w:div>
    <w:div w:id="1933119970">
      <w:bodyDiv w:val="1"/>
      <w:marLeft w:val="0"/>
      <w:marRight w:val="0"/>
      <w:marTop w:val="0"/>
      <w:marBottom w:val="0"/>
      <w:divBdr>
        <w:top w:val="none" w:sz="0" w:space="0" w:color="auto"/>
        <w:left w:val="none" w:sz="0" w:space="0" w:color="auto"/>
        <w:bottom w:val="none" w:sz="0" w:space="0" w:color="auto"/>
        <w:right w:val="none" w:sz="0" w:space="0" w:color="auto"/>
      </w:divBdr>
    </w:div>
    <w:div w:id="1959020308">
      <w:bodyDiv w:val="1"/>
      <w:marLeft w:val="0"/>
      <w:marRight w:val="0"/>
      <w:marTop w:val="0"/>
      <w:marBottom w:val="0"/>
      <w:divBdr>
        <w:top w:val="none" w:sz="0" w:space="0" w:color="auto"/>
        <w:left w:val="none" w:sz="0" w:space="0" w:color="auto"/>
        <w:bottom w:val="none" w:sz="0" w:space="0" w:color="auto"/>
        <w:right w:val="none" w:sz="0" w:space="0" w:color="auto"/>
      </w:divBdr>
    </w:div>
    <w:div w:id="1960063335">
      <w:bodyDiv w:val="1"/>
      <w:marLeft w:val="0"/>
      <w:marRight w:val="0"/>
      <w:marTop w:val="0"/>
      <w:marBottom w:val="0"/>
      <w:divBdr>
        <w:top w:val="none" w:sz="0" w:space="0" w:color="auto"/>
        <w:left w:val="none" w:sz="0" w:space="0" w:color="auto"/>
        <w:bottom w:val="none" w:sz="0" w:space="0" w:color="auto"/>
        <w:right w:val="none" w:sz="0" w:space="0" w:color="auto"/>
      </w:divBdr>
    </w:div>
    <w:div w:id="1963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5.xml"/><Relationship Id="rId42" Type="http://schemas.openxmlformats.org/officeDocument/2006/relationships/image" Target="media/image15.emf"/><Relationship Id="rId47" Type="http://schemas.openxmlformats.org/officeDocument/2006/relationships/image" Target="media/image20.emf"/><Relationship Id="rId63" Type="http://schemas.openxmlformats.org/officeDocument/2006/relationships/header" Target="header16.xml"/><Relationship Id="rId68" Type="http://schemas.openxmlformats.org/officeDocument/2006/relationships/footer" Target="footer18.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image" Target="media/image18.emf"/><Relationship Id="rId53" Type="http://schemas.openxmlformats.org/officeDocument/2006/relationships/header" Target="header11.xml"/><Relationship Id="rId58" Type="http://schemas.openxmlformats.org/officeDocument/2006/relationships/footer" Target="footer13.xml"/><Relationship Id="rId66" Type="http://schemas.openxmlformats.org/officeDocument/2006/relationships/header" Target="header18.xml"/><Relationship Id="rId5" Type="http://schemas.openxmlformats.org/officeDocument/2006/relationships/footnotes" Target="footnotes.xml"/><Relationship Id="rId61" Type="http://schemas.openxmlformats.org/officeDocument/2006/relationships/footer" Target="footer14.xml"/><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image" Target="media/image8.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footer" Target="footer12.xml"/><Relationship Id="rId64" Type="http://schemas.openxmlformats.org/officeDocument/2006/relationships/footer" Target="footer16.xml"/><Relationship Id="rId69" Type="http://schemas.openxmlformats.org/officeDocument/2006/relationships/header" Target="header19.xml"/><Relationship Id="rId8" Type="http://schemas.openxmlformats.org/officeDocument/2006/relationships/oleObject" Target="embeddings/oleObject1.bin"/><Relationship Id="rId51" Type="http://schemas.openxmlformats.org/officeDocument/2006/relationships/image" Target="media/image24.e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6.emf"/><Relationship Id="rId38" Type="http://schemas.openxmlformats.org/officeDocument/2006/relationships/image" Target="media/image11.emf"/><Relationship Id="rId46" Type="http://schemas.openxmlformats.org/officeDocument/2006/relationships/image" Target="media/image19.emf"/><Relationship Id="rId59" Type="http://schemas.openxmlformats.org/officeDocument/2006/relationships/header" Target="header14.xml"/><Relationship Id="rId67" Type="http://schemas.openxmlformats.org/officeDocument/2006/relationships/footer" Target="footer17.xml"/><Relationship Id="rId20" Type="http://schemas.openxmlformats.org/officeDocument/2006/relationships/header" Target="header6.xml"/><Relationship Id="rId41" Type="http://schemas.openxmlformats.org/officeDocument/2006/relationships/image" Target="media/image14.emf"/><Relationship Id="rId54" Type="http://schemas.openxmlformats.org/officeDocument/2006/relationships/header" Target="header12.xml"/><Relationship Id="rId62" Type="http://schemas.openxmlformats.org/officeDocument/2006/relationships/footer" Target="footer15.xml"/><Relationship Id="rId70"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9.emf"/><Relationship Id="rId49" Type="http://schemas.openxmlformats.org/officeDocument/2006/relationships/image" Target="media/image22.emf"/><Relationship Id="rId57" Type="http://schemas.openxmlformats.org/officeDocument/2006/relationships/header" Target="header13.xml"/><Relationship Id="rId10" Type="http://schemas.openxmlformats.org/officeDocument/2006/relationships/header" Target="header2.xml"/><Relationship Id="rId31" Type="http://schemas.openxmlformats.org/officeDocument/2006/relationships/image" Target="media/image4.png"/><Relationship Id="rId44" Type="http://schemas.openxmlformats.org/officeDocument/2006/relationships/image" Target="media/image17.emf"/><Relationship Id="rId52" Type="http://schemas.openxmlformats.org/officeDocument/2006/relationships/image" Target="media/image25.emf"/><Relationship Id="rId60" Type="http://schemas.openxmlformats.org/officeDocument/2006/relationships/header" Target="header15.xml"/><Relationship Id="rId65"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image" Target="media/image12.emf"/><Relationship Id="rId34" Type="http://schemas.openxmlformats.org/officeDocument/2006/relationships/image" Target="media/image7.emf"/><Relationship Id="rId50" Type="http://schemas.openxmlformats.org/officeDocument/2006/relationships/image" Target="media/image23.emf"/><Relationship Id="rId55"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13773</Words>
  <Characters>89943</Characters>
  <Application>Microsoft Office Word</Application>
  <DocSecurity>4</DocSecurity>
  <Lines>3331</Lines>
  <Paragraphs>1503</Paragraphs>
  <ScaleCrop>false</ScaleCrop>
  <HeadingPairs>
    <vt:vector size="6" baseType="variant">
      <vt:variant>
        <vt:lpstr>Rubrik</vt:lpstr>
      </vt:variant>
      <vt:variant>
        <vt:i4>1</vt:i4>
      </vt:variant>
      <vt:variant>
        <vt:lpstr>Rubriker</vt:lpstr>
      </vt:variant>
      <vt:variant>
        <vt:i4>34</vt:i4>
      </vt:variant>
      <vt:variant>
        <vt:lpstr>Title</vt:lpstr>
      </vt:variant>
      <vt:variant>
        <vt:i4>1</vt:i4>
      </vt:variant>
    </vt:vector>
  </HeadingPairs>
  <TitlesOfParts>
    <vt:vector size="36" baseType="lpstr">
      <vt:lpstr>1999/2000:T1</vt:lpstr>
      <vt:lpstr>Grundläggande bestämmelser</vt:lpstr>
      <vt:lpstr>Beslut, intygande och underskrift</vt:lpstr>
      <vt:lpstr>Innehållsförteckning</vt:lpstr>
      <vt:lpstr>Förord</vt:lpstr>
      <vt:lpstr>Resultatredovisning</vt:lpstr>
      <vt:lpstr>    Verksamhetens resultat</vt:lpstr>
      <vt:lpstr>    Ekonomisk översikt</vt:lpstr>
      <vt:lpstr>        Finansiering och kostnader</vt:lpstr>
      <vt:lpstr>    Årlig revision</vt:lpstr>
      <vt:lpstr>        Mål	</vt:lpstr>
      <vt:lpstr>        Resultat och bedömning</vt:lpstr>
      <vt:lpstr>    Effektivitetsrevision</vt:lpstr>
      <vt:lpstr>        Mål</vt:lpstr>
      <vt:lpstr>        Resultat och bedömning</vt:lpstr>
      <vt:lpstr>    Internationellt utvecklingssamarbete</vt:lpstr>
      <vt:lpstr>        Mål </vt:lpstr>
      <vt:lpstr>        Resultat och bedömning</vt:lpstr>
      <vt:lpstr>    Omvärldsriktad verksamhet</vt:lpstr>
      <vt:lpstr>        Mål</vt:lpstr>
      <vt:lpstr>        Resultat och bedömning</vt:lpstr>
      <vt:lpstr>    Parlamentariska rådet</vt:lpstr>
      <vt:lpstr>    Vetenskapliga rådet</vt:lpstr>
      <vt:lpstr>    Kompetens och personal</vt:lpstr>
      <vt:lpstr>        Sammanfattande bedömning</vt:lpstr>
      <vt:lpstr>        Kompetens</vt:lpstr>
      <vt:lpstr>        Personal</vt:lpstr>
      <vt:lpstr>    Intern styrning och kontroll</vt:lpstr>
      <vt:lpstr>        Riksrevisionens process för intern styrning och kontroll</vt:lpstr>
      <vt:lpstr>        Ställningstagande av riksrevisorn med administrativt ansvar</vt:lpstr>
      <vt:lpstr>Sammanställning över väsentliga uppgifter</vt:lpstr>
      <vt:lpstr>Finansiell redovisning</vt:lpstr>
      <vt:lpstr>    Anslagsredovisning</vt:lpstr>
      <vt:lpstr>    Tilläggsupplysningar och noter</vt:lpstr>
      <vt:lpstr>    Noter </vt:lpstr>
      <vt:lpstr/>
    </vt:vector>
  </TitlesOfParts>
  <Company>Riksdagen</Company>
  <LinksUpToDate>false</LinksUpToDate>
  <CharactersWithSpaces>102213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2012-02-27T11:38:00Z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Utkast</vt:lpwstr>
  </property>
  <property fmtid="{D5CDD505-2E9C-101B-9397-08002B2CF9AE}" pid="7" name="Numrering">
    <vt:lpwstr>NotUpdated</vt:lpwstr>
  </property>
</Properties>
</file>