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EC2" w:rsidRPr="00AD5A14" w:rsidRDefault="004C2EC2">
      <w:pPr>
        <w:pStyle w:val="Frslagsrubrik"/>
      </w:pPr>
      <w:r w:rsidRPr="00AD5A14">
        <w:t>Förslag till riksdagsbeslut</w:t>
      </w:r>
    </w:p>
    <w:p w:rsidR="004C2EC2" w:rsidRPr="00AD5A14" w:rsidRDefault="004C2EC2">
      <w:pPr>
        <w:pStyle w:val="Hemstlatt"/>
        <w:numPr>
          <w:ilvl w:val="0"/>
          <w:numId w:val="0"/>
        </w:numPr>
      </w:pPr>
      <w:r w:rsidRPr="00AD5A14">
        <w:t>Riksdagen tillkännager för regeringen som sin mening vad som anförs i motionen om att tiggeri och prostitution ska betraktas som oärlig försörjning och därmed vara skäl för att avvisa respektive utvisa u</w:t>
      </w:r>
      <w:r w:rsidRPr="00AD5A14">
        <w:t>t</w:t>
      </w:r>
      <w:r w:rsidRPr="00AD5A14">
        <w:t>ländska medborgare enligt den svenska utlänningsl</w:t>
      </w:r>
      <w:r w:rsidRPr="00AD5A14">
        <w:t>a</w:t>
      </w:r>
      <w:r w:rsidRPr="00AD5A14">
        <w:t>gen.</w:t>
      </w:r>
    </w:p>
    <w:p w:rsidR="004C2EC2" w:rsidRPr="00AD5A14" w:rsidRDefault="004C2EC2">
      <w:pPr>
        <w:pStyle w:val="Rubrik1"/>
      </w:pPr>
      <w:r w:rsidRPr="00AD5A14">
        <w:t>Motivering</w:t>
      </w:r>
    </w:p>
    <w:p w:rsidR="004C2EC2" w:rsidRPr="00AD5A14" w:rsidRDefault="004C2EC2">
      <w:r w:rsidRPr="00AD5A14">
        <w:t>Olika polismyndigheter i landet har de senaste åren valt att sända hem u</w:t>
      </w:r>
      <w:r w:rsidRPr="00AD5A14">
        <w:t>t</w:t>
      </w:r>
      <w:r w:rsidRPr="00AD5A14">
        <w:t>ländska tiggare och prostituerade med hänvisning till att deras försörjning är oärlig. I förarbetena till den svenska utlänningslagen nämns bland annat pr</w:t>
      </w:r>
      <w:r w:rsidRPr="00AD5A14">
        <w:t>o</w:t>
      </w:r>
      <w:r w:rsidRPr="00AD5A14">
        <w:t>stitution som en oärlig försörjning och innebär att den som gör sig skyldig till detta kan sändas hem. Beslutet att avvisa respektive utvisa utländska tiggare kritiserades i ett beslut av Justitieombudsmannen (JO), som menar att tiggeri inte är att betrakta som oärlig försörjning då det inte är kriminellt att vara tiggare i Sverige. JO menar att endast k</w:t>
      </w:r>
      <w:r w:rsidRPr="00AD5A14">
        <w:t>riminell verksamhet är oärlig försör</w:t>
      </w:r>
      <w:r w:rsidRPr="00AD5A14">
        <w:t>j</w:t>
      </w:r>
      <w:r w:rsidRPr="00AD5A14">
        <w:t>ning. Nyligen avslöjades också att Göteborgspolisen avvisat respektive utv</w:t>
      </w:r>
      <w:r w:rsidRPr="00AD5A14">
        <w:t>i</w:t>
      </w:r>
      <w:r w:rsidRPr="00AD5A14">
        <w:t>sat rumänska prostituerade med hänvisning till att de bedriver oärlig försör</w:t>
      </w:r>
      <w:r w:rsidRPr="00AD5A14">
        <w:t>j</w:t>
      </w:r>
      <w:r w:rsidRPr="00AD5A14">
        <w:t>ning och att den verksamhet de bedriver möjliggör annan kriminell verksa</w:t>
      </w:r>
      <w:r w:rsidRPr="00AD5A14">
        <w:t>m</w:t>
      </w:r>
      <w:r w:rsidRPr="00AD5A14">
        <w:t>het genom koppleri och brott mot sexköpslagen. En av de avvisade kvinnorna har nu fått hjälp att JO-anmäla polisen med hänvisning till att prostitution inte är ett brott i Sverige.</w:t>
      </w:r>
    </w:p>
    <w:p w:rsidR="004C2EC2" w:rsidRPr="00AD5A14" w:rsidRDefault="004C2EC2">
      <w:pPr>
        <w:pStyle w:val="Normaltindrag"/>
      </w:pPr>
      <w:r w:rsidRPr="00AD5A14">
        <w:t>Sverigedemokraterna menar att den svenska utlänningslagen är tydlig p</w:t>
      </w:r>
      <w:r w:rsidRPr="00AD5A14">
        <w:t>å området och att tiggeri och prostitution inte är att betrakta som ärlig försör</w:t>
      </w:r>
      <w:r w:rsidRPr="00AD5A14">
        <w:t>j</w:t>
      </w:r>
      <w:r w:rsidRPr="00AD5A14">
        <w:t>ning. JO:s beslut är oroväckande och öppnar upp för ett inflöde av tiggare och prostituerade som med hänvisning till EU:s fria rörlighet kan bedriva sin verksamhet såväl före som efter tre månaders vistelsetid i landet. Reglerna säger nämligen att man de första tre månaderna har rätt att vistas i ett EU-land utan att ha ett arbete eller studera. Efter tre månader ställs krav på att indiv</w:t>
      </w:r>
      <w:r w:rsidRPr="00AD5A14">
        <w:t>i</w:t>
      </w:r>
      <w:r w:rsidRPr="00AD5A14">
        <w:lastRenderedPageBreak/>
        <w:t>den arbetar eller studerar, och genom at</w:t>
      </w:r>
      <w:r w:rsidRPr="00AD5A14">
        <w:t>t tiggeri eller prostitution inte är ola</w:t>
      </w:r>
      <w:r w:rsidRPr="00AD5A14">
        <w:t>g</w:t>
      </w:r>
      <w:r w:rsidRPr="00AD5A14">
        <w:t>ligt i Sverige kan således individen hänvisa till att den har en tryggad försör</w:t>
      </w:r>
      <w:r w:rsidRPr="00AD5A14">
        <w:t>j</w:t>
      </w:r>
      <w:r w:rsidRPr="00AD5A14">
        <w:t>ning trots detta i vår uppfattning synnerligen oärliga försörjningssätt.</w:t>
      </w:r>
    </w:p>
    <w:p w:rsidR="004C2EC2" w:rsidRPr="00AD5A14" w:rsidRDefault="004C2EC2">
      <w:pPr>
        <w:pStyle w:val="Normaltindrag"/>
        <w:ind w:firstLine="0"/>
      </w:pPr>
      <w:r w:rsidRPr="00AD5A14">
        <w:t>JO:s beslut ställer krav på regeringen att förtydliga utlänningslagen, precis så som nämns i dess förarbeten, så att både tiggeri och prostitution betraktas som oärlig försörjning och därmed blir skäl för av- respektive utvisning från Sv</w:t>
      </w:r>
      <w:r w:rsidRPr="00AD5A14">
        <w:t>e</w:t>
      </w:r>
      <w:r w:rsidRPr="00AD5A14">
        <w:t>rige.</w:t>
      </w:r>
    </w:p>
    <w:p w:rsidR="004C2EC2" w:rsidRPr="00AD5A14" w:rsidRDefault="004C2EC2">
      <w:pPr>
        <w:pStyle w:val="Normaltindrag"/>
      </w:pPr>
      <w:r w:rsidRPr="00AD5A14">
        <w:t>Det ovan anförda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5A14">
        <w:trPr>
          <w:cantSplit/>
        </w:trPr>
        <w:tc>
          <w:tcPr>
            <w:tcW w:w="3046" w:type="dxa"/>
          </w:tcPr>
          <w:p w:rsidR="004C2EC2" w:rsidRPr="00AD5A14" w:rsidRDefault="004C2EC2">
            <w:pPr>
              <w:pStyle w:val="UnderskriftDatum"/>
              <w:spacing w:before="240"/>
            </w:pPr>
            <w:r w:rsidRPr="00AD5A14">
              <w:t>Stockholm den 5 oktober 2011</w:t>
            </w:r>
          </w:p>
        </w:tc>
        <w:tc>
          <w:tcPr>
            <w:tcW w:w="3047" w:type="dxa"/>
          </w:tcPr>
          <w:p w:rsidR="004C2EC2" w:rsidRPr="00AD5A14" w:rsidRDefault="004C2EC2">
            <w:pPr>
              <w:pStyle w:val="Underskrifter"/>
              <w:spacing w:before="240"/>
            </w:pPr>
          </w:p>
        </w:tc>
      </w:tr>
      <w:tr w:rsidR="00000000" w:rsidRPr="00AD5A14">
        <w:trPr>
          <w:cantSplit/>
        </w:trPr>
        <w:tc>
          <w:tcPr>
            <w:tcW w:w="3046" w:type="dxa"/>
          </w:tcPr>
          <w:p w:rsidR="004C2EC2" w:rsidRPr="00AD5A14" w:rsidRDefault="004C2EC2">
            <w:pPr>
              <w:pStyle w:val="Underskrifter"/>
            </w:pPr>
            <w:r w:rsidRPr="00AD5A14">
              <w:t>David Lång (SD)</w:t>
            </w:r>
          </w:p>
        </w:tc>
        <w:tc>
          <w:tcPr>
            <w:tcW w:w="3046" w:type="dxa"/>
          </w:tcPr>
          <w:p w:rsidR="004C2EC2" w:rsidRPr="00AD5A14" w:rsidRDefault="004C2EC2">
            <w:pPr>
              <w:pStyle w:val="Underskrifter"/>
            </w:pPr>
            <w:r w:rsidRPr="00AD5A14">
              <w:t>Mikael Jansson (SD)</w:t>
            </w:r>
          </w:p>
        </w:tc>
      </w:tr>
    </w:tbl>
    <w:p w:rsidR="004C2EC2" w:rsidRPr="00AD5A14" w:rsidRDefault="004C2EC2">
      <w:pPr>
        <w:pStyle w:val="Normaltindrag"/>
      </w:pPr>
    </w:p>
    <w:sectPr w:rsidR="004C2EC2" w:rsidRPr="00AD5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EC2" w:rsidRPr="00AD5A14" w:rsidRDefault="004C2EC2">
      <w:r w:rsidRPr="00AD5A14">
        <w:separator/>
      </w:r>
    </w:p>
  </w:endnote>
  <w:endnote w:type="continuationSeparator" w:id="0">
    <w:p w:rsidR="004C2EC2" w:rsidRPr="00AD5A14" w:rsidRDefault="004C2EC2">
      <w:r w:rsidRPr="00AD5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EC2" w:rsidRPr="00AD5A14" w:rsidRDefault="00AD5A14">
    <w:pPr>
      <w:pStyle w:val="Sidfot"/>
    </w:pPr>
    <w:r w:rsidRPr="00AD5A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1849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EC2" w:rsidRDefault="004C2E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2EC2" w:rsidRDefault="004C2E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EC2" w:rsidRPr="00AD5A14" w:rsidRDefault="00AD5A14">
    <w:pPr>
      <w:pStyle w:val="Sidfot"/>
    </w:pPr>
    <w:r w:rsidRPr="00AD5A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7098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EC2" w:rsidRDefault="004C2E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2EC2" w:rsidRDefault="004C2E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EC2" w:rsidRPr="00AD5A14" w:rsidRDefault="00AD5A14">
    <w:pPr>
      <w:pStyle w:val="Sidfot"/>
    </w:pPr>
    <w:r w:rsidRPr="00AD5A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857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EC2" w:rsidRDefault="004C2E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2EC2" w:rsidRDefault="004C2E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EC2" w:rsidRPr="00AD5A14" w:rsidRDefault="004C2EC2">
      <w:r w:rsidRPr="00AD5A14">
        <w:separator/>
      </w:r>
    </w:p>
  </w:footnote>
  <w:footnote w:type="continuationSeparator" w:id="0">
    <w:p w:rsidR="004C2EC2" w:rsidRPr="00AD5A14" w:rsidRDefault="004C2EC2">
      <w:r w:rsidRPr="00AD5A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EC2" w:rsidRPr="00AD5A14" w:rsidRDefault="00AD5A14">
    <w:pPr>
      <w:pStyle w:val="Sidhuvud"/>
    </w:pPr>
    <w:r w:rsidRPr="00AD5A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7704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EC2" w:rsidRDefault="004C2E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2EC2" w:rsidRDefault="004C2E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EC2" w:rsidRPr="00AD5A14" w:rsidRDefault="00AD5A14">
    <w:pPr>
      <w:pStyle w:val="Sidhuvud"/>
    </w:pPr>
    <w:r w:rsidRPr="00AD5A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18986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EC2" w:rsidRDefault="004C2E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2EC2" w:rsidRDefault="004C2E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EC2" w:rsidRPr="00AD5A14" w:rsidRDefault="004C2EC2">
    <w:pPr>
      <w:pStyle w:val="FSHNormal"/>
      <w:tabs>
        <w:tab w:val="right" w:pos="5840"/>
      </w:tabs>
    </w:pPr>
    <w:r w:rsidRPr="00AD5A14">
      <w:br/>
    </w:r>
    <w:r w:rsidRPr="00AD5A14">
      <w:fldChar w:fldCharType="begin" w:fldLock="1"/>
    </w:r>
    <w:r w:rsidRPr="00AD5A14">
      <w:instrText xml:space="preserve"> DOCPROPERTY</w:instrText>
    </w:r>
    <w:r w:rsidRPr="00AD5A14">
      <w:rPr>
        <w:sz w:val="18"/>
      </w:rPr>
      <w:instrText xml:space="preserve"> "YearUser" *\charformat </w:instrText>
    </w:r>
    <w:r w:rsidRPr="00AD5A14">
      <w:fldChar w:fldCharType="separate"/>
    </w:r>
    <w:r w:rsidRPr="00AD5A14">
      <w:t>2011/12</w:t>
    </w:r>
    <w:r w:rsidRPr="00AD5A14">
      <w:fldChar w:fldCharType="end"/>
    </w:r>
    <w:r w:rsidRPr="00AD5A14">
      <w:t xml:space="preserve"> </w:t>
    </w:r>
    <w:r w:rsidRPr="00AD5A14">
      <w:tab/>
      <w:t xml:space="preserve">mnr: </w:t>
    </w:r>
    <w:r w:rsidRPr="00AD5A14">
      <w:fldChar w:fldCharType="begin" w:fldLock="1"/>
    </w:r>
    <w:r w:rsidRPr="00AD5A14">
      <w:instrText xml:space="preserve"> DOCPROPERTY</w:instrText>
    </w:r>
    <w:r w:rsidRPr="00AD5A14">
      <w:rPr>
        <w:sz w:val="18"/>
      </w:rPr>
      <w:instrText xml:space="preserve"> "Motionsnummer" *\charformat </w:instrText>
    </w:r>
    <w:r w:rsidRPr="00AD5A14">
      <w:fldChar w:fldCharType="separate"/>
    </w:r>
    <w:r w:rsidRPr="00AD5A14">
      <w:t>Sf354</w:t>
    </w:r>
    <w:r w:rsidRPr="00AD5A14">
      <w:fldChar w:fldCharType="end"/>
    </w:r>
    <w:r w:rsidRPr="00AD5A14">
      <w:br/>
    </w:r>
    <w:r w:rsidRPr="00AD5A14">
      <w:fldChar w:fldCharType="begin" w:fldLock="1"/>
    </w:r>
    <w:r w:rsidRPr="00AD5A14">
      <w:instrText xml:space="preserve"> DOCPROPERTY</w:instrText>
    </w:r>
    <w:r w:rsidRPr="00AD5A14">
      <w:rPr>
        <w:sz w:val="18"/>
      </w:rPr>
      <w:instrText xml:space="preserve"> "Samling" *\charformat </w:instrText>
    </w:r>
    <w:r w:rsidRPr="00AD5A14">
      <w:fldChar w:fldCharType="end"/>
    </w:r>
    <w:r w:rsidRPr="00AD5A14">
      <w:tab/>
      <w:t xml:space="preserve">pnr: </w:t>
    </w:r>
    <w:r w:rsidRPr="00AD5A14">
      <w:fldChar w:fldCharType="begin" w:fldLock="1"/>
    </w:r>
    <w:r w:rsidRPr="00AD5A14">
      <w:instrText xml:space="preserve"> DOCPROPERTY</w:instrText>
    </w:r>
    <w:r w:rsidRPr="00AD5A14">
      <w:rPr>
        <w:sz w:val="18"/>
      </w:rPr>
      <w:instrText xml:space="preserve"> "Partinummer" *\charformat </w:instrText>
    </w:r>
    <w:r w:rsidRPr="00AD5A14">
      <w:fldChar w:fldCharType="separate"/>
    </w:r>
    <w:r w:rsidRPr="00AD5A14">
      <w:t>SD181</w:t>
    </w:r>
    <w:r w:rsidRPr="00AD5A14">
      <w:fldChar w:fldCharType="end"/>
    </w:r>
  </w:p>
  <w:p w:rsidR="004C2EC2" w:rsidRPr="00AD5A14" w:rsidRDefault="004C2EC2">
    <w:pPr>
      <w:pStyle w:val="FSHRub1"/>
    </w:pPr>
    <w:r w:rsidRPr="00AD5A14">
      <w:t>Motion till riksdagen</w:t>
    </w:r>
    <w:r w:rsidRPr="00AD5A14">
      <w:br/>
    </w:r>
    <w:r w:rsidRPr="00AD5A14">
      <w:fldChar w:fldCharType="begin" w:fldLock="1"/>
    </w:r>
    <w:r w:rsidRPr="00AD5A14">
      <w:instrText xml:space="preserve"> DOCPROPERTY "YearUser" *\charformat </w:instrText>
    </w:r>
    <w:r w:rsidRPr="00AD5A14">
      <w:fldChar w:fldCharType="separate"/>
    </w:r>
    <w:r w:rsidRPr="00AD5A14">
      <w:t>2011/12</w:t>
    </w:r>
    <w:r w:rsidRPr="00AD5A14">
      <w:fldChar w:fldCharType="end"/>
    </w:r>
    <w:r w:rsidRPr="00AD5A14">
      <w:t>:</w:t>
    </w:r>
    <w:r w:rsidRPr="00AD5A14">
      <w:fldChar w:fldCharType="begin" w:fldLock="1"/>
    </w:r>
    <w:r w:rsidRPr="00AD5A14">
      <w:instrText xml:space="preserve"> DOCPROPERTY "Motionsnummer" *\charformat </w:instrText>
    </w:r>
    <w:r w:rsidRPr="00AD5A14">
      <w:fldChar w:fldCharType="separate"/>
    </w:r>
    <w:r w:rsidRPr="00AD5A14">
      <w:t>Sf354</w:t>
    </w:r>
    <w:r w:rsidRPr="00AD5A14">
      <w:fldChar w:fldCharType="end"/>
    </w:r>
  </w:p>
  <w:p w:rsidR="004C2EC2" w:rsidRPr="00AD5A14" w:rsidRDefault="004C2EC2">
    <w:pPr>
      <w:pStyle w:val="FSHNormalS5"/>
    </w:pPr>
    <w:r w:rsidRPr="00AD5A14">
      <w:fldChar w:fldCharType="begin" w:fldLock="1"/>
    </w:r>
    <w:r w:rsidRPr="00AD5A14">
      <w:instrText xml:space="preserve"> DOCPROPERTY "MotionarText" *\charformat </w:instrText>
    </w:r>
    <w:r w:rsidRPr="00AD5A14">
      <w:fldChar w:fldCharType="separate"/>
    </w:r>
    <w:r w:rsidRPr="00AD5A14">
      <w:t>av David Lång och Mikael Jansson (SD)</w:t>
    </w:r>
    <w:r w:rsidRPr="00AD5A14">
      <w:fldChar w:fldCharType="end"/>
    </w:r>
    <w:r w:rsidRPr="00AD5A14">
      <w:br/>
    </w:r>
    <w:r w:rsidRPr="00AD5A14">
      <w:fldChar w:fldCharType="begin" w:fldLock="1"/>
    </w:r>
    <w:r w:rsidRPr="00AD5A14">
      <w:instrText xml:space="preserve"> DOCPROPERTY "SvarFrasKort" *\charformat </w:instrText>
    </w:r>
    <w:r w:rsidRPr="00AD5A14">
      <w:fldChar w:fldCharType="end"/>
    </w:r>
  </w:p>
  <w:p w:rsidR="004C2EC2" w:rsidRPr="00AD5A14" w:rsidRDefault="004C2EC2">
    <w:pPr>
      <w:pStyle w:val="FSHTitel"/>
    </w:pPr>
    <w:r w:rsidRPr="00AD5A14">
      <w:fldChar w:fldCharType="begin" w:fldLock="1"/>
    </w:r>
    <w:r w:rsidRPr="00AD5A14">
      <w:instrText xml:space="preserve"> DOCPROPERTY</w:instrText>
    </w:r>
    <w:r w:rsidRPr="00AD5A14">
      <w:rPr>
        <w:sz w:val="18"/>
      </w:rPr>
      <w:instrText xml:space="preserve"> "RubrikSvar" *\charformat </w:instrText>
    </w:r>
    <w:r w:rsidRPr="00AD5A14">
      <w:fldChar w:fldCharType="separate"/>
    </w:r>
    <w:r w:rsidRPr="00AD5A14">
      <w:t>Åtgärder mot tiggeri och prostitution</w:t>
    </w:r>
    <w:r w:rsidRPr="00AD5A14">
      <w:fldChar w:fldCharType="end"/>
    </w:r>
  </w:p>
  <w:p w:rsidR="004C2EC2" w:rsidRPr="00AD5A14" w:rsidRDefault="004C2EC2">
    <w:pPr>
      <w:pStyle w:val="Normal00"/>
    </w:pPr>
  </w:p>
  <w:p w:rsidR="004C2EC2" w:rsidRPr="00AD5A14" w:rsidRDefault="004C2E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95B3F05"/>
    <w:multiLevelType w:val="hybridMultilevel"/>
    <w:tmpl w:val="FF445FFA"/>
    <w:lvl w:ilvl="0" w:tplc="F574211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1000748">
    <w:abstractNumId w:val="3"/>
  </w:num>
  <w:num w:numId="2" w16cid:durableId="18119426">
    <w:abstractNumId w:val="2"/>
  </w:num>
  <w:num w:numId="3" w16cid:durableId="1517887236">
    <w:abstractNumId w:val="1"/>
  </w:num>
  <w:num w:numId="4" w16cid:durableId="98261450">
    <w:abstractNumId w:val="0"/>
  </w:num>
  <w:num w:numId="5" w16cid:durableId="1484152070">
    <w:abstractNumId w:val="7"/>
  </w:num>
  <w:num w:numId="6" w16cid:durableId="1900700256">
    <w:abstractNumId w:val="6"/>
  </w:num>
  <w:num w:numId="7" w16cid:durableId="1151795622">
    <w:abstractNumId w:val="5"/>
  </w:num>
  <w:num w:numId="8" w16cid:durableId="2119376228">
    <w:abstractNumId w:val="4"/>
  </w:num>
  <w:num w:numId="9" w16cid:durableId="710958458">
    <w:abstractNumId w:val="8"/>
  </w:num>
  <w:num w:numId="10" w16cid:durableId="1845629624">
    <w:abstractNumId w:val="9"/>
  </w:num>
  <w:num w:numId="11" w16cid:durableId="1151141401">
    <w:abstractNumId w:val="10"/>
  </w:num>
  <w:num w:numId="12" w16cid:durableId="208568294">
    <w:abstractNumId w:val="13"/>
  </w:num>
  <w:num w:numId="13" w16cid:durableId="1985697347">
    <w:abstractNumId w:val="16"/>
  </w:num>
  <w:num w:numId="14" w16cid:durableId="98185462">
    <w:abstractNumId w:val="17"/>
  </w:num>
  <w:num w:numId="15" w16cid:durableId="71051767">
    <w:abstractNumId w:val="11"/>
  </w:num>
  <w:num w:numId="16" w16cid:durableId="861481326">
    <w:abstractNumId w:val="19"/>
  </w:num>
  <w:num w:numId="17" w16cid:durableId="229923497">
    <w:abstractNumId w:val="18"/>
  </w:num>
  <w:num w:numId="18" w16cid:durableId="1339238813">
    <w:abstractNumId w:val="15"/>
  </w:num>
  <w:num w:numId="19" w16cid:durableId="939526596">
    <w:abstractNumId w:val="12"/>
  </w:num>
  <w:num w:numId="20" w16cid:durableId="1336306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91552D3C-C99E-461F-B71B-0E113B8C02CC},{3D217574-0DDF-4581-95BF-BB95138898CF}"/>
  </w:docVars>
  <w:rsids>
    <w:rsidRoot w:val="002A0C83"/>
    <w:rsid w:val="002A0C83"/>
    <w:rsid w:val="004C2EC2"/>
    <w:rsid w:val="00A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C07111-5077-410D-86A3-171E32B9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SD181</vt:lpstr>
    </vt:vector>
  </TitlesOfParts>
  <Company>Riksdagen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SD181</dc:title>
  <dc:subject>SD181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2012-01-10T07:27:00Z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Åtgärder mot tiggeri och prostitution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tiggeri och prostitution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Mikael Jansson (SD)</vt:lpwstr>
  </property>
  <property fmtid="{D5CDD505-2E9C-101B-9397-08002B2CF9AE}" pid="26" name="MotionarLista">
    <vt:lpwstr>Lång, David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david.lang@riksdagen.se</vt:lpwstr>
  </property>
  <property fmtid="{D5CDD505-2E9C-101B-9397-08002B2CF9AE}" pid="45" name="ReservUID">
    <vt:lpwstr>dd1114aa</vt:lpwstr>
  </property>
  <property fmtid="{D5CDD505-2E9C-101B-9397-08002B2CF9AE}" pid="46" name="MotionID">
    <vt:lpwstr>20112012000000830068000001810069</vt:lpwstr>
  </property>
  <property fmtid="{D5CDD505-2E9C-101B-9397-08002B2CF9AE}" pid="47" name="datum">
    <vt:lpwstr>111005</vt:lpwstr>
  </property>
  <property fmtid="{D5CDD505-2E9C-101B-9397-08002B2CF9AE}" pid="48" name="avsändar-e-post">
    <vt:lpwstr>david.lang@riksdagen.se</vt:lpwstr>
  </property>
  <property fmtid="{D5CDD505-2E9C-101B-9397-08002B2CF9AE}" pid="49" name="id">
    <vt:lpwstr>20112012000000830068000001810069</vt:lpwstr>
  </property>
  <property fmtid="{D5CDD505-2E9C-101B-9397-08002B2CF9AE}" pid="50" name="nummer">
    <vt:lpwstr>354</vt:lpwstr>
  </property>
  <property fmtid="{D5CDD505-2E9C-101B-9397-08002B2CF9AE}" pid="51" name="utskottsbeteckning">
    <vt:lpwstr>Sf</vt:lpwstr>
  </property>
  <property fmtid="{D5CDD505-2E9C-101B-9397-08002B2CF9AE}" pid="52" name="GlobalUID">
    <vt:lpwstr>{7C584457-8181-4EDE-8671-EFB5420E8287}</vt:lpwstr>
  </property>
  <property fmtid="{D5CDD505-2E9C-101B-9397-08002B2CF9AE}" pid="53" name="Överföringar">
    <vt:i4>0</vt:i4>
  </property>
  <property fmtid="{D5CDD505-2E9C-101B-9397-08002B2CF9AE}" pid="54" name="Checksum">
    <vt:lpwstr>*0018714412002*</vt:lpwstr>
  </property>
  <property fmtid="{D5CDD505-2E9C-101B-9397-08002B2CF9AE}" pid="55" name="skuggnummer">
    <vt:lpwstr>3095</vt:lpwstr>
  </property>
  <property fmtid="{D5CDD505-2E9C-101B-9397-08002B2CF9AE}" pid="56" name="urixVersion">
    <vt:lpwstr>4.5.0.25</vt:lpwstr>
  </property>
  <property fmtid="{D5CDD505-2E9C-101B-9397-08002B2CF9AE}" pid="57" name="urixOrigin">
    <vt:lpwstr>120110 12:24:49.731</vt:lpwstr>
  </property>
  <property fmtid="{D5CDD505-2E9C-101B-9397-08002B2CF9AE}" pid="58" name="urixGuid">
    <vt:lpwstr>{6C9657E6-2AEE-4A2F-88EA-E754C8D4E98B}</vt:lpwstr>
  </property>
</Properties>
</file>