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205BD" w:rsidTr="003B57CE">
        <w:tblPrEx>
          <w:tblCellMar>
            <w:top w:w="0" w:type="dxa"/>
            <w:bottom w:w="0" w:type="dxa"/>
          </w:tblCellMar>
        </w:tblPrEx>
        <w:tc>
          <w:tcPr>
            <w:tcW w:w="2268" w:type="dxa"/>
          </w:tcPr>
          <w:p w:rsidR="006E4E11" w:rsidRPr="00D205B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205BD" w:rsidRDefault="006E4E11" w:rsidP="007242A3">
            <w:pPr>
              <w:framePr w:w="5035" w:h="1644" w:wrap="notBeside" w:vAnchor="page" w:hAnchor="page" w:x="6573" w:y="721"/>
              <w:rPr>
                <w:rFonts w:ascii="TradeGothic" w:hAnsi="TradeGothic"/>
                <w:i/>
                <w:sz w:val="18"/>
              </w:rPr>
            </w:pPr>
          </w:p>
        </w:tc>
      </w:tr>
      <w:tr w:rsidR="003B57CE" w:rsidRPr="00D205BD" w:rsidTr="003B57CE">
        <w:tblPrEx>
          <w:tblCellMar>
            <w:top w:w="0" w:type="dxa"/>
            <w:bottom w:w="0" w:type="dxa"/>
          </w:tblCellMar>
        </w:tblPrEx>
        <w:tc>
          <w:tcPr>
            <w:tcW w:w="5267" w:type="dxa"/>
            <w:gridSpan w:val="3"/>
          </w:tcPr>
          <w:p w:rsidR="003B57CE" w:rsidRPr="00D205BD" w:rsidRDefault="003B57CE" w:rsidP="007242A3">
            <w:pPr>
              <w:framePr w:w="5035" w:h="1644" w:wrap="notBeside" w:vAnchor="page" w:hAnchor="page" w:x="6573" w:y="721"/>
              <w:rPr>
                <w:rFonts w:ascii="TradeGothic" w:hAnsi="TradeGothic"/>
                <w:b/>
                <w:sz w:val="22"/>
              </w:rPr>
            </w:pPr>
            <w:r w:rsidRPr="00D205BD">
              <w:rPr>
                <w:rFonts w:ascii="TradeGothic" w:hAnsi="TradeGothic"/>
                <w:b/>
                <w:sz w:val="22"/>
              </w:rPr>
              <w:t>Rådspromemoria</w:t>
            </w:r>
          </w:p>
        </w:tc>
      </w:tr>
      <w:tr w:rsidR="006E4E11" w:rsidRPr="00D205BD" w:rsidTr="003B57CE">
        <w:tblPrEx>
          <w:tblCellMar>
            <w:top w:w="0" w:type="dxa"/>
            <w:bottom w:w="0" w:type="dxa"/>
          </w:tblCellMar>
        </w:tblPrEx>
        <w:tc>
          <w:tcPr>
            <w:tcW w:w="3402" w:type="dxa"/>
            <w:gridSpan w:val="2"/>
          </w:tcPr>
          <w:p w:rsidR="006E4E11" w:rsidRPr="00D205BD" w:rsidRDefault="006E4E11" w:rsidP="007242A3">
            <w:pPr>
              <w:framePr w:w="5035" w:h="1644" w:wrap="notBeside" w:vAnchor="page" w:hAnchor="page" w:x="6573" w:y="721"/>
            </w:pPr>
          </w:p>
        </w:tc>
        <w:tc>
          <w:tcPr>
            <w:tcW w:w="1865" w:type="dxa"/>
          </w:tcPr>
          <w:p w:rsidR="006E4E11" w:rsidRPr="00D205BD" w:rsidRDefault="006E4E11" w:rsidP="007242A3">
            <w:pPr>
              <w:framePr w:w="5035" w:h="1644" w:wrap="notBeside" w:vAnchor="page" w:hAnchor="page" w:x="6573" w:y="721"/>
            </w:pPr>
          </w:p>
        </w:tc>
      </w:tr>
      <w:tr w:rsidR="006E4E11" w:rsidRPr="00D205BD" w:rsidTr="003B57CE">
        <w:tblPrEx>
          <w:tblCellMar>
            <w:top w:w="0" w:type="dxa"/>
            <w:bottom w:w="0" w:type="dxa"/>
          </w:tblCellMar>
        </w:tblPrEx>
        <w:tc>
          <w:tcPr>
            <w:tcW w:w="2268" w:type="dxa"/>
          </w:tcPr>
          <w:p w:rsidR="006E4E11" w:rsidRPr="00D205BD" w:rsidRDefault="00055990" w:rsidP="007242A3">
            <w:pPr>
              <w:framePr w:w="5035" w:h="1644" w:wrap="notBeside" w:vAnchor="page" w:hAnchor="page" w:x="6573" w:y="721"/>
            </w:pPr>
            <w:r w:rsidRPr="00D205BD">
              <w:t>2011-11</w:t>
            </w:r>
            <w:r w:rsidR="003B57CE" w:rsidRPr="00D205BD">
              <w:t>-</w:t>
            </w:r>
            <w:r w:rsidRPr="00D205BD">
              <w:t>22</w:t>
            </w:r>
          </w:p>
        </w:tc>
        <w:tc>
          <w:tcPr>
            <w:tcW w:w="2999" w:type="dxa"/>
            <w:gridSpan w:val="2"/>
          </w:tcPr>
          <w:p w:rsidR="006E4E11" w:rsidRPr="00D205BD" w:rsidRDefault="006E4E11" w:rsidP="007242A3">
            <w:pPr>
              <w:framePr w:w="5035" w:h="1644" w:wrap="notBeside" w:vAnchor="page" w:hAnchor="page" w:x="6573" w:y="721"/>
              <w:rPr>
                <w:sz w:val="20"/>
              </w:rPr>
            </w:pPr>
          </w:p>
        </w:tc>
      </w:tr>
      <w:tr w:rsidR="006E4E11" w:rsidRPr="00D205BD" w:rsidTr="003B57CE">
        <w:tblPrEx>
          <w:tblCellMar>
            <w:top w:w="0" w:type="dxa"/>
            <w:bottom w:w="0" w:type="dxa"/>
          </w:tblCellMar>
        </w:tblPrEx>
        <w:tc>
          <w:tcPr>
            <w:tcW w:w="2268" w:type="dxa"/>
          </w:tcPr>
          <w:p w:rsidR="006E4E11" w:rsidRPr="00D205BD" w:rsidRDefault="006E4E11" w:rsidP="007242A3">
            <w:pPr>
              <w:framePr w:w="5035" w:h="1644" w:wrap="notBeside" w:vAnchor="page" w:hAnchor="page" w:x="6573" w:y="721"/>
            </w:pPr>
          </w:p>
        </w:tc>
        <w:tc>
          <w:tcPr>
            <w:tcW w:w="2999" w:type="dxa"/>
            <w:gridSpan w:val="2"/>
          </w:tcPr>
          <w:p w:rsidR="006E4E11" w:rsidRPr="00D205B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205BD">
        <w:tblPrEx>
          <w:tblCellMar>
            <w:top w:w="0" w:type="dxa"/>
            <w:bottom w:w="0" w:type="dxa"/>
          </w:tblCellMar>
        </w:tblPrEx>
        <w:trPr>
          <w:trHeight w:val="284"/>
        </w:trPr>
        <w:tc>
          <w:tcPr>
            <w:tcW w:w="4911" w:type="dxa"/>
          </w:tcPr>
          <w:p w:rsidR="006E4E11" w:rsidRPr="00D205BD" w:rsidRDefault="003B57CE">
            <w:pPr>
              <w:pStyle w:val="Avsndare"/>
              <w:framePr w:h="2483" w:wrap="notBeside" w:x="1504"/>
              <w:rPr>
                <w:b/>
                <w:i w:val="0"/>
                <w:sz w:val="22"/>
              </w:rPr>
            </w:pPr>
            <w:r w:rsidRPr="00D205BD">
              <w:rPr>
                <w:b/>
                <w:i w:val="0"/>
                <w:sz w:val="22"/>
              </w:rPr>
              <w:t>Justitiedepartementet</w:t>
            </w:r>
          </w:p>
        </w:tc>
      </w:tr>
      <w:tr w:rsidR="006E4E11" w:rsidRPr="00D205BD">
        <w:tblPrEx>
          <w:tblCellMar>
            <w:top w:w="0" w:type="dxa"/>
            <w:bottom w:w="0" w:type="dxa"/>
          </w:tblCellMar>
        </w:tblPrEx>
        <w:trPr>
          <w:trHeight w:val="284"/>
        </w:trPr>
        <w:tc>
          <w:tcPr>
            <w:tcW w:w="4911" w:type="dxa"/>
          </w:tcPr>
          <w:p w:rsidR="006E4E11" w:rsidRPr="00D205BD" w:rsidRDefault="006E4E11">
            <w:pPr>
              <w:pStyle w:val="Avsndare"/>
              <w:framePr w:h="2483" w:wrap="notBeside" w:x="1504"/>
              <w:rPr>
                <w:bCs/>
                <w:iCs/>
              </w:rPr>
            </w:pPr>
          </w:p>
        </w:tc>
      </w:tr>
      <w:tr w:rsidR="006E4E11" w:rsidRPr="00D205BD">
        <w:tblPrEx>
          <w:tblCellMar>
            <w:top w:w="0" w:type="dxa"/>
            <w:bottom w:w="0" w:type="dxa"/>
          </w:tblCellMar>
        </w:tblPrEx>
        <w:trPr>
          <w:trHeight w:val="284"/>
        </w:trPr>
        <w:tc>
          <w:tcPr>
            <w:tcW w:w="4911" w:type="dxa"/>
          </w:tcPr>
          <w:p w:rsidR="006E4E11" w:rsidRPr="00D205BD" w:rsidRDefault="003B57CE">
            <w:pPr>
              <w:pStyle w:val="Avsndare"/>
              <w:framePr w:h="2483" w:wrap="notBeside" w:x="1504"/>
              <w:rPr>
                <w:bCs/>
                <w:iCs/>
              </w:rPr>
            </w:pPr>
            <w:r w:rsidRPr="00D205BD">
              <w:rPr>
                <w:bCs/>
                <w:iCs/>
              </w:rPr>
              <w:t>Enheten för immaterialrätt och transporträtt</w:t>
            </w:r>
          </w:p>
        </w:tc>
      </w:tr>
      <w:tr w:rsidR="006E4E11" w:rsidRPr="00D205BD">
        <w:tblPrEx>
          <w:tblCellMar>
            <w:top w:w="0" w:type="dxa"/>
            <w:bottom w:w="0" w:type="dxa"/>
          </w:tblCellMar>
        </w:tblPrEx>
        <w:trPr>
          <w:trHeight w:val="284"/>
        </w:trPr>
        <w:tc>
          <w:tcPr>
            <w:tcW w:w="4911" w:type="dxa"/>
          </w:tcPr>
          <w:p w:rsidR="006E4E11" w:rsidRPr="00D205BD" w:rsidRDefault="006E4E11">
            <w:pPr>
              <w:pStyle w:val="Avsndare"/>
              <w:framePr w:h="2483" w:wrap="notBeside" w:x="1504"/>
              <w:rPr>
                <w:bCs/>
                <w:iCs/>
              </w:rPr>
            </w:pPr>
          </w:p>
        </w:tc>
      </w:tr>
      <w:tr w:rsidR="006E4E11" w:rsidRPr="00D205BD">
        <w:tblPrEx>
          <w:tblCellMar>
            <w:top w:w="0" w:type="dxa"/>
            <w:bottom w:w="0" w:type="dxa"/>
          </w:tblCellMar>
        </w:tblPrEx>
        <w:trPr>
          <w:trHeight w:val="284"/>
        </w:trPr>
        <w:tc>
          <w:tcPr>
            <w:tcW w:w="4911" w:type="dxa"/>
          </w:tcPr>
          <w:p w:rsidR="006E4E11" w:rsidRPr="00D205BD" w:rsidRDefault="006E4E11">
            <w:pPr>
              <w:pStyle w:val="Avsndare"/>
              <w:framePr w:h="2483" w:wrap="notBeside" w:x="1504"/>
              <w:rPr>
                <w:bCs/>
                <w:iCs/>
              </w:rPr>
            </w:pPr>
          </w:p>
        </w:tc>
      </w:tr>
      <w:tr w:rsidR="006E4E11" w:rsidRPr="00D205BD">
        <w:tblPrEx>
          <w:tblCellMar>
            <w:top w:w="0" w:type="dxa"/>
            <w:bottom w:w="0" w:type="dxa"/>
          </w:tblCellMar>
        </w:tblPrEx>
        <w:trPr>
          <w:trHeight w:val="284"/>
        </w:trPr>
        <w:tc>
          <w:tcPr>
            <w:tcW w:w="4911" w:type="dxa"/>
          </w:tcPr>
          <w:p w:rsidR="006E4E11" w:rsidRPr="00D205BD" w:rsidRDefault="006E4E11">
            <w:pPr>
              <w:pStyle w:val="Avsndare"/>
              <w:framePr w:h="2483" w:wrap="notBeside" w:x="1504"/>
              <w:rPr>
                <w:bCs/>
                <w:iCs/>
              </w:rPr>
            </w:pPr>
          </w:p>
        </w:tc>
      </w:tr>
      <w:tr w:rsidR="006E4E11" w:rsidRPr="00D205BD">
        <w:tblPrEx>
          <w:tblCellMar>
            <w:top w:w="0" w:type="dxa"/>
            <w:bottom w:w="0" w:type="dxa"/>
          </w:tblCellMar>
        </w:tblPrEx>
        <w:trPr>
          <w:trHeight w:val="284"/>
        </w:trPr>
        <w:tc>
          <w:tcPr>
            <w:tcW w:w="4911" w:type="dxa"/>
          </w:tcPr>
          <w:p w:rsidR="006E4E11" w:rsidRPr="00D205BD" w:rsidRDefault="006E4E11">
            <w:pPr>
              <w:pStyle w:val="Avsndare"/>
              <w:framePr w:h="2483" w:wrap="notBeside" w:x="1504"/>
              <w:rPr>
                <w:bCs/>
                <w:iCs/>
              </w:rPr>
            </w:pPr>
          </w:p>
        </w:tc>
      </w:tr>
      <w:tr w:rsidR="006E4E11" w:rsidRPr="00D205BD">
        <w:tblPrEx>
          <w:tblCellMar>
            <w:top w:w="0" w:type="dxa"/>
            <w:bottom w:w="0" w:type="dxa"/>
          </w:tblCellMar>
        </w:tblPrEx>
        <w:trPr>
          <w:trHeight w:val="284"/>
        </w:trPr>
        <w:tc>
          <w:tcPr>
            <w:tcW w:w="4911" w:type="dxa"/>
          </w:tcPr>
          <w:p w:rsidR="006E4E11" w:rsidRPr="00D205BD" w:rsidRDefault="006E4E11">
            <w:pPr>
              <w:pStyle w:val="Avsndare"/>
              <w:framePr w:h="2483" w:wrap="notBeside" w:x="1504"/>
              <w:rPr>
                <w:bCs/>
                <w:iCs/>
              </w:rPr>
            </w:pPr>
          </w:p>
        </w:tc>
      </w:tr>
      <w:tr w:rsidR="006E4E11" w:rsidRPr="00D205BD">
        <w:tblPrEx>
          <w:tblCellMar>
            <w:top w:w="0" w:type="dxa"/>
            <w:bottom w:w="0" w:type="dxa"/>
          </w:tblCellMar>
        </w:tblPrEx>
        <w:trPr>
          <w:trHeight w:val="284"/>
        </w:trPr>
        <w:tc>
          <w:tcPr>
            <w:tcW w:w="4911" w:type="dxa"/>
          </w:tcPr>
          <w:p w:rsidR="006E4E11" w:rsidRPr="00D205BD" w:rsidRDefault="006E4E11">
            <w:pPr>
              <w:pStyle w:val="Avsndare"/>
              <w:framePr w:h="2483" w:wrap="notBeside" w:x="1504"/>
              <w:rPr>
                <w:bCs/>
                <w:iCs/>
              </w:rPr>
            </w:pPr>
          </w:p>
        </w:tc>
      </w:tr>
    </w:tbl>
    <w:p w:rsidR="006E4E11" w:rsidRPr="00D205BD" w:rsidRDefault="006E4E11">
      <w:pPr>
        <w:framePr w:w="4400" w:h="2523" w:wrap="notBeside" w:vAnchor="page" w:hAnchor="page" w:x="6453" w:y="2445"/>
        <w:ind w:left="142"/>
        <w:rPr>
          <w:b/>
        </w:rPr>
      </w:pPr>
    </w:p>
    <w:p w:rsidR="003B57CE" w:rsidRPr="00D205BD" w:rsidRDefault="003B57CE">
      <w:pPr>
        <w:pStyle w:val="RKrubrik"/>
        <w:pBdr>
          <w:bottom w:val="single" w:sz="6" w:space="1" w:color="auto"/>
        </w:pBdr>
      </w:pPr>
      <w:bookmarkStart w:id="0" w:name="bRubrik"/>
      <w:bookmarkEnd w:id="0"/>
      <w:r w:rsidRPr="00D205BD">
        <w:t xml:space="preserve">Konkurrenskraftsrådet </w:t>
      </w:r>
      <w:r w:rsidR="00055990" w:rsidRPr="00D205BD">
        <w:t>5 december</w:t>
      </w:r>
      <w:r w:rsidRPr="00D205BD">
        <w:t xml:space="preserve"> 2011</w:t>
      </w:r>
    </w:p>
    <w:p w:rsidR="003B57CE" w:rsidRPr="00D205BD" w:rsidRDefault="003B57CE">
      <w:pPr>
        <w:pStyle w:val="RKnormal"/>
      </w:pPr>
    </w:p>
    <w:p w:rsidR="003B57CE" w:rsidRPr="00D205BD" w:rsidRDefault="003B57CE">
      <w:pPr>
        <w:pStyle w:val="RKnormal"/>
      </w:pPr>
      <w:r w:rsidRPr="00D205BD">
        <w:t xml:space="preserve">Dagordningspunkt </w:t>
      </w:r>
      <w:r w:rsidR="00647E6D" w:rsidRPr="00D205BD">
        <w:t>3</w:t>
      </w:r>
      <w:r w:rsidRPr="00D205BD">
        <w:t xml:space="preserve"> och </w:t>
      </w:r>
      <w:r w:rsidR="00647E6D" w:rsidRPr="00D205BD">
        <w:t>4</w:t>
      </w:r>
    </w:p>
    <w:p w:rsidR="003B57CE" w:rsidRPr="00D205BD" w:rsidRDefault="003B57CE">
      <w:pPr>
        <w:pStyle w:val="RKnormal"/>
      </w:pPr>
    </w:p>
    <w:p w:rsidR="003B57CE" w:rsidRPr="00D205BD" w:rsidRDefault="003B57CE" w:rsidP="003B57CE">
      <w:pPr>
        <w:ind w:left="540" w:hanging="540"/>
        <w:jc w:val="both"/>
        <w:rPr>
          <w:bCs/>
        </w:rPr>
      </w:pPr>
      <w:r w:rsidRPr="00D205BD">
        <w:t xml:space="preserve">Rubrik: </w:t>
      </w:r>
    </w:p>
    <w:p w:rsidR="003B57CE" w:rsidRPr="00D205BD" w:rsidRDefault="00BC6F7F" w:rsidP="00647E6D">
      <w:pPr>
        <w:rPr>
          <w:bCs/>
        </w:rPr>
      </w:pPr>
      <w:r w:rsidRPr="00D205BD">
        <w:t xml:space="preserve">Dagordningspunkt </w:t>
      </w:r>
      <w:r w:rsidR="00055990" w:rsidRPr="00D205BD">
        <w:t>3</w:t>
      </w:r>
      <w:r w:rsidRPr="00D205BD">
        <w:t xml:space="preserve">: </w:t>
      </w:r>
      <w:r w:rsidR="003B57CE" w:rsidRPr="00D205BD">
        <w:t>Förslag till Europaparlamentets och rådets förordning om genomförande av ett fördjupat samarbete för att skapa ett enhetligt patentskydd</w:t>
      </w:r>
      <w:r w:rsidR="003B57CE" w:rsidRPr="00D205BD">
        <w:rPr>
          <w:bCs/>
        </w:rPr>
        <w:t xml:space="preserve"> </w:t>
      </w:r>
    </w:p>
    <w:p w:rsidR="003B57CE" w:rsidRPr="00D205BD" w:rsidRDefault="003B57CE" w:rsidP="00647E6D">
      <w:pPr>
        <w:widowControl w:val="0"/>
        <w:overflowPunct/>
        <w:autoSpaceDE/>
        <w:autoSpaceDN/>
        <w:adjustRightInd/>
        <w:spacing w:line="240" w:lineRule="auto"/>
        <w:jc w:val="both"/>
        <w:textAlignment w:val="auto"/>
        <w:rPr>
          <w:b/>
        </w:rPr>
      </w:pPr>
      <w:r w:rsidRPr="00D205BD">
        <w:rPr>
          <w:i/>
        </w:rPr>
        <w:t xml:space="preserve">- </w:t>
      </w:r>
      <w:r w:rsidR="00AB559C" w:rsidRPr="00D205BD">
        <w:rPr>
          <w:i/>
        </w:rPr>
        <w:t>Riktlinjedebatt</w:t>
      </w:r>
    </w:p>
    <w:p w:rsidR="00647E6D" w:rsidRPr="00D205BD" w:rsidRDefault="00647E6D" w:rsidP="00647E6D">
      <w:pPr>
        <w:widowControl w:val="0"/>
        <w:overflowPunct/>
        <w:autoSpaceDE/>
        <w:autoSpaceDN/>
        <w:adjustRightInd/>
        <w:spacing w:line="240" w:lineRule="auto"/>
        <w:jc w:val="both"/>
        <w:textAlignment w:val="auto"/>
        <w:rPr>
          <w:b/>
        </w:rPr>
      </w:pPr>
    </w:p>
    <w:p w:rsidR="003B57CE" w:rsidRPr="00D205BD" w:rsidRDefault="003F78B7" w:rsidP="003B57CE">
      <w:pPr>
        <w:rPr>
          <w:bCs/>
        </w:rPr>
      </w:pPr>
      <w:r w:rsidRPr="00D205BD">
        <w:t>Dagordningspunkt 1</w:t>
      </w:r>
      <w:r w:rsidR="00BC6F7F" w:rsidRPr="00D205BD">
        <w:t xml:space="preserve">: </w:t>
      </w:r>
      <w:r w:rsidR="003B57CE" w:rsidRPr="00D205BD">
        <w:t>Förslag till rådets förordning om genomförande av ett fördjupat samarbete för att skapa ett enhetligt patentskydd när det gäller tillämpliga översättningsarrangemang</w:t>
      </w:r>
      <w:r w:rsidR="003B57CE" w:rsidRPr="00D205BD">
        <w:rPr>
          <w:bCs/>
        </w:rPr>
        <w:t xml:space="preserve"> </w:t>
      </w:r>
    </w:p>
    <w:p w:rsidR="00055990" w:rsidRPr="00D205BD" w:rsidRDefault="003B57CE" w:rsidP="00055990">
      <w:pPr>
        <w:rPr>
          <w:i/>
        </w:rPr>
      </w:pPr>
      <w:r w:rsidRPr="00D205BD">
        <w:rPr>
          <w:bCs/>
        </w:rPr>
        <w:t xml:space="preserve">- </w:t>
      </w:r>
      <w:r w:rsidR="00AB559C" w:rsidRPr="00D205BD">
        <w:rPr>
          <w:bCs/>
          <w:i/>
        </w:rPr>
        <w:t>Riktlinjedebatt</w:t>
      </w:r>
    </w:p>
    <w:p w:rsidR="00055990" w:rsidRPr="00D205BD" w:rsidRDefault="00055990" w:rsidP="00055990">
      <w:pPr>
        <w:rPr>
          <w:i/>
        </w:rPr>
      </w:pPr>
    </w:p>
    <w:p w:rsidR="003B57CE" w:rsidRPr="00D205BD" w:rsidRDefault="003B57CE" w:rsidP="00055990">
      <w:r w:rsidRPr="00D205BD">
        <w:t>Dokument:</w:t>
      </w:r>
      <w:r w:rsidR="00BC6F7F" w:rsidRPr="00D205BD">
        <w:t xml:space="preserve"> 9224/11 PI31 CODEC671, 9226/11 PI32</w:t>
      </w:r>
      <w:r w:rsidR="00CE4914" w:rsidRPr="00D205BD">
        <w:t xml:space="preserve"> (kommissionen</w:t>
      </w:r>
      <w:r w:rsidR="003F78B7" w:rsidRPr="00D205BD">
        <w:t xml:space="preserve">s grundläggande förslag) samt </w:t>
      </w:r>
      <w:r w:rsidR="00AB559C" w:rsidRPr="00D205BD">
        <w:t>xxxx/11</w:t>
      </w:r>
      <w:r w:rsidR="00055990" w:rsidRPr="00D205BD">
        <w:t xml:space="preserve"> (Förberedande dok., vilket ännu inte släppts. Det </w:t>
      </w:r>
      <w:r w:rsidR="003F78B7" w:rsidRPr="00D205BD">
        <w:t>kommer</w:t>
      </w:r>
      <w:r w:rsidR="00055990" w:rsidRPr="00D205BD">
        <w:t xml:space="preserve"> därefter att komma en</w:t>
      </w:r>
      <w:r w:rsidR="003F78B7" w:rsidRPr="00D205BD">
        <w:t xml:space="preserve"> ny text inför rådsmötet</w:t>
      </w:r>
      <w:r w:rsidR="00CE4914" w:rsidRPr="00D205BD">
        <w:t>)</w:t>
      </w:r>
    </w:p>
    <w:p w:rsidR="003B57CE" w:rsidRPr="00D205BD" w:rsidRDefault="003B57CE">
      <w:pPr>
        <w:pStyle w:val="RKnormal"/>
      </w:pPr>
    </w:p>
    <w:p w:rsidR="00BC6F7F" w:rsidRPr="00D205BD" w:rsidRDefault="003B57CE" w:rsidP="00BC6F7F">
      <w:pPr>
        <w:pStyle w:val="RKnormal"/>
      </w:pPr>
      <w:r w:rsidRPr="00D205BD">
        <w:t xml:space="preserve">Tidigare dokument:           </w:t>
      </w:r>
    </w:p>
    <w:p w:rsidR="00BC6F7F" w:rsidRPr="00D205BD" w:rsidRDefault="00BC6F7F" w:rsidP="00BC6F7F">
      <w:pPr>
        <w:pStyle w:val="RKnormal"/>
      </w:pPr>
      <w:r w:rsidRPr="00D205BD">
        <w:t>Fakta-PM Justitiedepartementet 2006/07:FPM 76</w:t>
      </w:r>
    </w:p>
    <w:p w:rsidR="00BC6F7F" w:rsidRPr="00D205BD" w:rsidRDefault="00BC6F7F" w:rsidP="00BC6F7F">
      <w:pPr>
        <w:pStyle w:val="RKnormal"/>
      </w:pPr>
      <w:r w:rsidRPr="00D205BD">
        <w:t>Fakta-PM Justitiedepartementet 2008/09:FPM108</w:t>
      </w:r>
    </w:p>
    <w:p w:rsidR="00BC6F7F" w:rsidRPr="00D205BD" w:rsidRDefault="00BC6F7F" w:rsidP="00BC6F7F">
      <w:pPr>
        <w:pStyle w:val="RKnormal"/>
      </w:pPr>
      <w:r w:rsidRPr="00D205BD">
        <w:t>Fakta-PM Justitiedepartementet 2009/10 FPM107</w:t>
      </w:r>
    </w:p>
    <w:p w:rsidR="00BC6F7F" w:rsidRPr="00D205BD" w:rsidRDefault="00BC6F7F" w:rsidP="00BC6F7F">
      <w:pPr>
        <w:pStyle w:val="RKnormal"/>
      </w:pPr>
      <w:r w:rsidRPr="00D205BD">
        <w:t>Fakta-PM Justitiedepartementet 2010/11:FPM71</w:t>
      </w:r>
    </w:p>
    <w:p w:rsidR="00BC6F7F" w:rsidRPr="00D205BD" w:rsidRDefault="00BC6F7F" w:rsidP="00BC6F7F">
      <w:pPr>
        <w:pStyle w:val="RKnormal"/>
      </w:pPr>
      <w:r w:rsidRPr="00D205BD">
        <w:t>Fakta-PM Justitiedepartementet 2010/11:FPM110</w:t>
      </w:r>
    </w:p>
    <w:p w:rsidR="003B57CE" w:rsidRPr="00D205BD" w:rsidRDefault="003B57CE">
      <w:pPr>
        <w:pStyle w:val="RKnormal"/>
      </w:pPr>
    </w:p>
    <w:p w:rsidR="00BC6F7F" w:rsidRPr="00D205BD" w:rsidRDefault="003B57CE">
      <w:pPr>
        <w:pStyle w:val="RKnormal"/>
      </w:pPr>
      <w:r w:rsidRPr="00D205BD">
        <w:t xml:space="preserve">Tidigare behandlad vid samråd med EU-nämnden: </w:t>
      </w:r>
    </w:p>
    <w:p w:rsidR="003B57CE" w:rsidRPr="00D205BD" w:rsidRDefault="003B57CE">
      <w:pPr>
        <w:pStyle w:val="RKnormal"/>
      </w:pPr>
      <w:r w:rsidRPr="00D205BD">
        <w:rPr>
          <w:rFonts w:cs="OrigGarmnd BT"/>
          <w:color w:val="000000"/>
          <w:szCs w:val="24"/>
          <w:lang w:eastAsia="sv-SE"/>
        </w:rPr>
        <w:t xml:space="preserve">Frågan har behandlats i EU-nämnden vid ett flertal tillfällen, senast den </w:t>
      </w:r>
      <w:r w:rsidR="003F78B7" w:rsidRPr="00D205BD">
        <w:rPr>
          <w:rFonts w:cs="OrigGarmnd BT"/>
          <w:color w:val="000000"/>
          <w:szCs w:val="24"/>
          <w:lang w:eastAsia="sv-SE"/>
        </w:rPr>
        <w:t>21</w:t>
      </w:r>
      <w:r w:rsidR="00CE4914" w:rsidRPr="00D205BD">
        <w:rPr>
          <w:rFonts w:cs="OrigGarmnd BT"/>
          <w:color w:val="000000"/>
          <w:szCs w:val="24"/>
          <w:lang w:eastAsia="sv-SE"/>
        </w:rPr>
        <w:t xml:space="preserve"> </w:t>
      </w:r>
      <w:r w:rsidR="003F78B7" w:rsidRPr="00D205BD">
        <w:rPr>
          <w:rFonts w:cs="OrigGarmnd BT"/>
          <w:color w:val="000000"/>
          <w:szCs w:val="24"/>
          <w:lang w:eastAsia="sv-SE"/>
        </w:rPr>
        <w:t>juni</w:t>
      </w:r>
      <w:r w:rsidR="00CE4914" w:rsidRPr="00D205BD">
        <w:rPr>
          <w:rFonts w:cs="OrigGarmnd BT"/>
          <w:color w:val="000000"/>
          <w:szCs w:val="24"/>
          <w:lang w:eastAsia="sv-SE"/>
        </w:rPr>
        <w:t xml:space="preserve"> samt </w:t>
      </w:r>
      <w:r w:rsidR="003F78B7" w:rsidRPr="00D205BD">
        <w:rPr>
          <w:rFonts w:cs="OrigGarmnd BT"/>
          <w:color w:val="000000"/>
          <w:szCs w:val="24"/>
          <w:lang w:eastAsia="sv-SE"/>
        </w:rPr>
        <w:t>den 27 maj</w:t>
      </w:r>
      <w:r w:rsidRPr="00D205BD">
        <w:rPr>
          <w:rFonts w:cs="OrigGarmnd BT"/>
          <w:color w:val="000000"/>
          <w:szCs w:val="24"/>
          <w:lang w:eastAsia="sv-SE"/>
        </w:rPr>
        <w:t>. Näringsutskottet informerades senast den 1</w:t>
      </w:r>
      <w:r w:rsidR="00055990" w:rsidRPr="00D205BD">
        <w:rPr>
          <w:rFonts w:cs="OrigGarmnd BT"/>
          <w:color w:val="000000"/>
          <w:szCs w:val="24"/>
          <w:lang w:eastAsia="sv-SE"/>
        </w:rPr>
        <w:t>7 maj och den 17 februari i år och kommer att informeras den 1 december.</w:t>
      </w:r>
    </w:p>
    <w:p w:rsidR="003B57CE" w:rsidRPr="00D205BD" w:rsidRDefault="003B57CE">
      <w:pPr>
        <w:pStyle w:val="RKrubrik"/>
      </w:pPr>
      <w:r w:rsidRPr="00D205BD">
        <w:lastRenderedPageBreak/>
        <w:t>Bakgrund</w:t>
      </w:r>
    </w:p>
    <w:p w:rsidR="00E17883" w:rsidRPr="00D205BD" w:rsidRDefault="00E17883" w:rsidP="00E17883">
      <w:pPr>
        <w:rPr>
          <w:iCs/>
        </w:rPr>
      </w:pPr>
      <w:r w:rsidRPr="00D205BD">
        <w:t>Förbättringarna av det europeiska patentsystemet är av central betydelse för att främja innovationsklimatet och stärka EU:s konkurrenskraft. Dagens europeiska patentsystem är dyrt och byråkratiskt. Ett europeiskt patent giltigt i 13 länder är mer än tio gånger så dyrt som ett motsvarande patent i USA.</w:t>
      </w:r>
      <w:r w:rsidRPr="00D205BD">
        <w:rPr>
          <w:rStyle w:val="Fotnotsreferens"/>
        </w:rPr>
        <w:footnoteReference w:id="1"/>
      </w:r>
      <w:r w:rsidRPr="00D205BD">
        <w:t xml:space="preserve"> Ett europeiskt patent giltigt i alla EU:s 27 medlemsstater är naturligtvis mångdubbelt dyrare. Att det inte finns en enhetlig europeisk patentdomstol innebär vidare att en tvist om ett europeiskt patent måste processas i varje land för sig där uppfinningen skyddas av ett patent. Förutom att det är mycket kostsamt för parterna så leder det till en divergerande praxis som i sin förlängning leder till rättsosäkerhet. För att komma till rätta med dessa problem förs det förhandlingar inom EU som syftar till att skapa </w:t>
      </w:r>
      <w:r w:rsidRPr="00D205BD">
        <w:rPr>
          <w:iCs/>
        </w:rPr>
        <w:t>ett enhetligt patentskydd</w:t>
      </w:r>
      <w:r w:rsidRPr="00D205BD">
        <w:t xml:space="preserve"> och att inrätta en </w:t>
      </w:r>
      <w:r w:rsidRPr="00D205BD">
        <w:rPr>
          <w:iCs/>
        </w:rPr>
        <w:t xml:space="preserve">enhetlig europeisk patentdomstol. Det enhetliga patentskyddet och den enhetliga patentdomstolen är två separata </w:t>
      </w:r>
      <w:r w:rsidR="001C032D" w:rsidRPr="00D205BD">
        <w:rPr>
          <w:iCs/>
        </w:rPr>
        <w:t>rätts</w:t>
      </w:r>
      <w:r w:rsidRPr="00D205BD">
        <w:rPr>
          <w:iCs/>
        </w:rPr>
        <w:t xml:space="preserve">akter. De är dock ömsesidigt beroende av varandra och förhandlas som ett paket. </w:t>
      </w:r>
    </w:p>
    <w:p w:rsidR="00CE4914" w:rsidRPr="00D205BD" w:rsidRDefault="00CE4914" w:rsidP="00E17883">
      <w:pPr>
        <w:rPr>
          <w:iCs/>
        </w:rPr>
      </w:pPr>
    </w:p>
    <w:p w:rsidR="00E17883" w:rsidRPr="00D205BD" w:rsidRDefault="00E17883" w:rsidP="00E17883">
      <w:r w:rsidRPr="00D205BD">
        <w:t>Ett förbättrat europeiskt patentsystem har diskuterats under lång tid och rådet har flera gånger tidigare varit nära en lösning. Förhandlingarna återupptogs senast genom ett initiativ från kommissionen år 2007 genom ett meddelande till Europaparlamentet och rådet om ett förbättrat patentsystem i Europa (KOM 2007 165)</w:t>
      </w:r>
      <w:bookmarkStart w:id="7" w:name="fnref1"/>
      <w:bookmarkEnd w:id="7"/>
      <w:r w:rsidRPr="00D205BD">
        <w:t xml:space="preserve">. </w:t>
      </w:r>
    </w:p>
    <w:p w:rsidR="00F02B26" w:rsidRPr="00D205BD" w:rsidRDefault="00F02B26" w:rsidP="00E17883"/>
    <w:p w:rsidR="004D49F3" w:rsidRPr="00D205BD" w:rsidRDefault="00E17883" w:rsidP="00E17883">
      <w:r w:rsidRPr="00D205BD">
        <w:t>I december 2009 kom rådet överens om en allmän inriktning vad gäller förslaget till EU-patentförordning (Rådsdok. 16113/09 ADD 1 PI122). Förslaget omfattade dock inte frågan om EU-patentets översättnings</w:t>
      </w:r>
      <w:r w:rsidRPr="00D205BD">
        <w:softHyphen/>
        <w:t xml:space="preserve">arrangemang, eftersom det krävdes en separat förordning i denna del efter Lissabonfördragets ikraftträdande. Lissabonfördraget </w:t>
      </w:r>
      <w:r w:rsidR="001C032D" w:rsidRPr="00D205BD">
        <w:t>innehåller en särskild</w:t>
      </w:r>
      <w:r w:rsidRPr="00D205BD">
        <w:t xml:space="preserve"> rättslig grund för översättningsfrågan med ett särskilt beslutsförfarande. Kommissionen presenterade ett sådant förslag till förordning under sommaren 2010 (KOM (2010) 350). Trots intensiva förhandlingar stod det under hösten klart att det var omöjligt att nå enighet om detta förslag inom en rimlig tid. Mot denna bakgrund beslutade konkurrenskraftsrådet den 10 mars 2011 att bemyndiga de medlemsstater som vill att inleda ett fördjupat samarbete om ett enhetligt patentskydd. Samtliga medlemsstater utom Spanien och Italien deltar i samarbetet. Beslutet var en milsto</w:t>
      </w:r>
      <w:r w:rsidR="00055990" w:rsidRPr="00D205BD">
        <w:t>lpe i förhandlingarna och inneba</w:t>
      </w:r>
      <w:r w:rsidRPr="00D205BD">
        <w:t>r bl.a. att den tidigare mycket svårlösta frågan om patentets översättningsregim löst</w:t>
      </w:r>
      <w:r w:rsidR="00055990" w:rsidRPr="00D205BD">
        <w:t>es</w:t>
      </w:r>
      <w:r w:rsidRPr="00D205BD">
        <w:t xml:space="preserve">. </w:t>
      </w:r>
    </w:p>
    <w:p w:rsidR="004D49F3" w:rsidRPr="00D205BD" w:rsidRDefault="004D49F3" w:rsidP="00E17883"/>
    <w:p w:rsidR="00823046" w:rsidRPr="00D205BD" w:rsidRDefault="00E17883" w:rsidP="00823046">
      <w:pPr>
        <w:spacing w:line="240" w:lineRule="auto"/>
        <w:rPr>
          <w:color w:val="000000"/>
          <w:szCs w:val="24"/>
          <w:lang w:eastAsia="en-GB"/>
        </w:rPr>
      </w:pPr>
      <w:r w:rsidRPr="00D205BD">
        <w:t>Kommissionen lämnade förslag till genomförande av det fördjupade samarbetet den 13 april.</w:t>
      </w:r>
      <w:r w:rsidR="00F02B26" w:rsidRPr="00D205BD">
        <w:t xml:space="preserve"> Förslagen </w:t>
      </w:r>
      <w:r w:rsidR="001C032D" w:rsidRPr="00D205BD">
        <w:t xml:space="preserve">har </w:t>
      </w:r>
      <w:r w:rsidR="00F02B26" w:rsidRPr="00D205BD">
        <w:t xml:space="preserve">förhandlats </w:t>
      </w:r>
      <w:r w:rsidR="00823046" w:rsidRPr="00D205BD">
        <w:t xml:space="preserve">i rådet </w:t>
      </w:r>
      <w:r w:rsidR="00F02B26" w:rsidRPr="00D205BD">
        <w:t xml:space="preserve">under våren och </w:t>
      </w:r>
      <w:r w:rsidR="00055990" w:rsidRPr="00D205BD">
        <w:t xml:space="preserve">den 27 juni enades rådet om en allmän inriktning </w:t>
      </w:r>
      <w:r w:rsidR="00823046" w:rsidRPr="00D205BD">
        <w:t>med avseende en reviderad version av förslaget. Förslagen bereds nu i EP. PL ORDF, KOM och EP för nu trilaterala diskussioner för att nå en överenskommelse. Ordf. ambition är att nå en principöverenskommelse med EP som ska kunna bekräftas vid KKR den 5 december.</w:t>
      </w:r>
      <w:r w:rsidR="00823046" w:rsidRPr="00D205BD">
        <w:rPr>
          <w:color w:val="000000"/>
          <w:szCs w:val="24"/>
          <w:lang w:eastAsia="en-GB"/>
        </w:rPr>
        <w:t xml:space="preserve">  </w:t>
      </w:r>
    </w:p>
    <w:p w:rsidR="003B57CE" w:rsidRPr="00D205BD" w:rsidRDefault="003B57CE">
      <w:pPr>
        <w:pStyle w:val="RKrubrik"/>
      </w:pPr>
      <w:r w:rsidRPr="00D205BD">
        <w:t>Rättslig grund och beslutsförfarande</w:t>
      </w:r>
    </w:p>
    <w:p w:rsidR="00E17883" w:rsidRPr="00D205BD" w:rsidRDefault="00E17883" w:rsidP="00E17883">
      <w:bookmarkStart w:id="8" w:name="Text8"/>
      <w:r w:rsidRPr="00D205BD">
        <w:t xml:space="preserve">Den rättsliga grunden för förordningen om det enhetliga patentskyddet är artikel 118(1) fördraget om den europeiska unionens funktionssätt, FEUF. Förordningen antas genom det ordinarie lagstiftningsförfarandet (kvalificerad majoritet, medbeslutande). Den rättsliga grunden för förordningen om det enhetliga patentskyddets översättningsarrangemang är artikel 118(2) FEUF. Förordningen antas genom ett särskilt lagstiftningsförfarande (enhällighet efter hörande). </w:t>
      </w:r>
      <w:bookmarkEnd w:id="8"/>
    </w:p>
    <w:p w:rsidR="00E17883" w:rsidRPr="00D205BD" w:rsidRDefault="00E17883" w:rsidP="00E17883">
      <w:pPr>
        <w:pStyle w:val="Normaltindrag"/>
      </w:pPr>
    </w:p>
    <w:p w:rsidR="00E17883" w:rsidRPr="00D205BD" w:rsidRDefault="00E17883" w:rsidP="00E17883">
      <w:r w:rsidRPr="00D205BD">
        <w:t xml:space="preserve">Den rättsliga grunden för det fördjupade samarbetet är artikel 20 EU-fördraget och artikel 326-334 FEUF. I dessa artiklar uppställs ett antal krav som ett fördjupat samarbete måste uppfylla. </w:t>
      </w:r>
    </w:p>
    <w:p w:rsidR="003B57CE" w:rsidRPr="00D205BD" w:rsidRDefault="003B57CE">
      <w:pPr>
        <w:pStyle w:val="RKrubrik"/>
        <w:rPr>
          <w:iCs/>
        </w:rPr>
      </w:pPr>
      <w:r w:rsidRPr="00D205BD">
        <w:rPr>
          <w:iCs/>
        </w:rPr>
        <w:t>Svensk ståndpunkt</w:t>
      </w:r>
    </w:p>
    <w:p w:rsidR="00823046" w:rsidRPr="00D205BD" w:rsidRDefault="00823046" w:rsidP="00823046">
      <w:pPr>
        <w:pStyle w:val="RKnormal"/>
      </w:pPr>
      <w:r w:rsidRPr="00D205BD">
        <w:t>För SE är det viktigt att rådet och EP når en snabb överenskommelse så att förhandlingarna kan slutföras. SE har ställt sig bakom det kompromissförslag som ordförandeskapet presenterat för EP den 21 november och kommer om en överenskommelse med EP kan slutas i enlighet med denna, vilket är oklart i skrivande stund, att välkomna att denna bekräftas vid KKR den 5 december.</w:t>
      </w:r>
    </w:p>
    <w:p w:rsidR="003B57CE" w:rsidRPr="00D205BD" w:rsidRDefault="003B57CE">
      <w:pPr>
        <w:pStyle w:val="RKrubrik"/>
      </w:pPr>
      <w:r w:rsidRPr="00D205BD">
        <w:t>Europaparlamentets inställning</w:t>
      </w:r>
    </w:p>
    <w:p w:rsidR="00AD7BD1" w:rsidRPr="00D205BD" w:rsidRDefault="00823046" w:rsidP="00AD7BD1">
      <w:r w:rsidRPr="00D205BD">
        <w:t>Rapportörernas förslag till ändringar är konstruktiva och man har i allt väsentligt accepterat rådets överenskommelse. Enligt EP:s officiella tidplan ska rapporterna antas i utskottet den 20 december och behandlas i plenum den 14 februari 2012.</w:t>
      </w:r>
    </w:p>
    <w:p w:rsidR="003B57CE" w:rsidRPr="00D205BD" w:rsidRDefault="00495E80">
      <w:pPr>
        <w:pStyle w:val="RKrubrik"/>
        <w:rPr>
          <w:iCs/>
        </w:rPr>
      </w:pPr>
      <w:r w:rsidRPr="00D205BD">
        <w:rPr>
          <w:iCs/>
        </w:rPr>
        <w:t>Förslagen</w:t>
      </w:r>
      <w:r w:rsidR="00DD6090" w:rsidRPr="00D205BD">
        <w:rPr>
          <w:iCs/>
        </w:rPr>
        <w:t xml:space="preserve"> om genomförande av det fördjupade samarbetet</w:t>
      </w:r>
    </w:p>
    <w:p w:rsidR="00F02B26" w:rsidRPr="00D205BD" w:rsidRDefault="00F02B26" w:rsidP="00F02B26">
      <w:pPr>
        <w:pStyle w:val="RKnormal"/>
        <w:rPr>
          <w:u w:val="single"/>
        </w:rPr>
      </w:pPr>
      <w:r w:rsidRPr="00D205BD">
        <w:rPr>
          <w:u w:val="single"/>
        </w:rPr>
        <w:t>Förordningen för det enhetliga patentskyddet, KOM(2011) 215</w:t>
      </w:r>
    </w:p>
    <w:p w:rsidR="00F02B26" w:rsidRPr="00D205BD" w:rsidRDefault="00F02B26" w:rsidP="00F02B26">
      <w:r w:rsidRPr="00D205BD">
        <w:t>Förslaget bygger på förslaget till EU-pate</w:t>
      </w:r>
      <w:r w:rsidR="003F2009" w:rsidRPr="00D205BD">
        <w:t xml:space="preserve">ntförordning som omfattades av </w:t>
      </w:r>
      <w:r w:rsidRPr="00D205BD">
        <w:t xml:space="preserve">en allmänna inriktningen från december 2009 och innebär, precis som tidigare, att det enhetliga patentskyddet ska inrymmas i det redan befintliga europeiska patentsystemet. </w:t>
      </w:r>
      <w:r w:rsidR="003F2009" w:rsidRPr="00D205BD">
        <w:t>F</w:t>
      </w:r>
      <w:r w:rsidRPr="00D205BD">
        <w:t xml:space="preserve">örslaget innehåller </w:t>
      </w:r>
      <w:r w:rsidR="003F2009" w:rsidRPr="00D205BD">
        <w:t xml:space="preserve">dock </w:t>
      </w:r>
      <w:r w:rsidRPr="00D205BD">
        <w:t xml:space="preserve">en del viktiga nyheter jämfört med </w:t>
      </w:r>
      <w:r w:rsidR="003F2009" w:rsidRPr="00D205BD">
        <w:t>EU-patentförordningen</w:t>
      </w:r>
      <w:r w:rsidRPr="00D205BD">
        <w:t xml:space="preserve">. Tanken är inte längre att EU ska ansluta sig till </w:t>
      </w:r>
      <w:r w:rsidR="003F2009" w:rsidRPr="00D205BD">
        <w:t xml:space="preserve">den </w:t>
      </w:r>
      <w:r w:rsidR="001C032D" w:rsidRPr="00D205BD">
        <w:t>e</w:t>
      </w:r>
      <w:r w:rsidR="003F2009" w:rsidRPr="00D205BD">
        <w:t>uropeiska patentkonventionen, EPC.</w:t>
      </w:r>
      <w:r w:rsidRPr="00D205BD">
        <w:t xml:space="preserve"> </w:t>
      </w:r>
      <w:r w:rsidR="003F2009" w:rsidRPr="00D205BD">
        <w:t>I</w:t>
      </w:r>
      <w:r w:rsidRPr="00D205BD">
        <w:t>stället föreslås att befintliga bestämmelser i EPC utnyttjas (avd. IX art.142-149a). Enligt dessa bestämmelser kan EPC:s medlemsstater ingå ett särskilt avtal som innebär att europeiska patent beviljade för dessa länder ska ha en enhetlig karaktär och alltså ge ett enhetligt skydd i de deltagande staterna.</w:t>
      </w:r>
      <w:r w:rsidRPr="00D205BD">
        <w:rPr>
          <w:sz w:val="16"/>
          <w:szCs w:val="16"/>
        </w:rPr>
        <w:t xml:space="preserve"> </w:t>
      </w:r>
      <w:r w:rsidRPr="00D205BD">
        <w:t xml:space="preserve">Förordningen för det enhetliga patentskyddet föreslås vara ett sådant särskilt avtal mellan de 25 medlemsstaterna </w:t>
      </w:r>
      <w:r w:rsidR="003F2009" w:rsidRPr="00D205BD">
        <w:t xml:space="preserve">som deltar </w:t>
      </w:r>
      <w:r w:rsidRPr="00D205BD">
        <w:t>i det fördjupade samarbetet.</w:t>
      </w:r>
      <w:r w:rsidR="00E608AE" w:rsidRPr="00D205BD">
        <w:t xml:space="preserve"> </w:t>
      </w:r>
      <w:r w:rsidRPr="00D205BD">
        <w:t xml:space="preserve">I ansökningsfasen och vid beviljandet är ansökan respektive patentet ett vanligt europeiskt patent och regleras alltså då helt av EPC. Patenthavaren kommer enligt förslaget att ha en månad på sig efter beviljandet att ansöka om enhetlig effekt enligt förordningen (art. 12.1). </w:t>
      </w:r>
    </w:p>
    <w:p w:rsidR="00F02B26" w:rsidRPr="00D205BD" w:rsidRDefault="00F02B26" w:rsidP="00F02B26"/>
    <w:p w:rsidR="00354E43" w:rsidRPr="00D205BD" w:rsidRDefault="00354E43" w:rsidP="00F02B26">
      <w:pPr>
        <w:rPr>
          <w:i/>
        </w:rPr>
      </w:pPr>
      <w:r w:rsidRPr="00D205BD">
        <w:rPr>
          <w:i/>
        </w:rPr>
        <w:t>Förslaget under processen i EP</w:t>
      </w:r>
    </w:p>
    <w:p w:rsidR="004D49F3" w:rsidRPr="00D205BD" w:rsidRDefault="00823046" w:rsidP="00F02B26">
      <w:r w:rsidRPr="00D205BD">
        <w:t xml:space="preserve">En viktig del i överenskommelsen i rådet var hur årsavgifterna för det enhetliga patentskyddet ska beslutas. </w:t>
      </w:r>
      <w:r w:rsidR="001C032D" w:rsidRPr="00D205BD">
        <w:t xml:space="preserve">Enligt </w:t>
      </w:r>
      <w:r w:rsidR="00F02B26" w:rsidRPr="00D205BD">
        <w:t>kommissione</w:t>
      </w:r>
      <w:r w:rsidRPr="00D205BD">
        <w:t xml:space="preserve">ns ursprungliga förslag </w:t>
      </w:r>
      <w:r w:rsidR="00F02B26" w:rsidRPr="00D205BD">
        <w:t xml:space="preserve"> </w:t>
      </w:r>
      <w:r w:rsidR="001C032D" w:rsidRPr="00D205BD">
        <w:t xml:space="preserve">skulle </w:t>
      </w:r>
      <w:r w:rsidR="00F02B26" w:rsidRPr="00D205BD">
        <w:t>kommis</w:t>
      </w:r>
      <w:r w:rsidRPr="00D205BD">
        <w:t xml:space="preserve">sionen få befogenhet att genom </w:t>
      </w:r>
      <w:r w:rsidR="00F02B26" w:rsidRPr="00D205BD">
        <w:t>så kallade delegerade akter fatta beslut om årsavgifterna</w:t>
      </w:r>
      <w:r w:rsidRPr="00D205BD">
        <w:t xml:space="preserve">. </w:t>
      </w:r>
      <w:r w:rsidR="00F02B26" w:rsidRPr="00D205BD">
        <w:t xml:space="preserve">Efter enhällig kritik från medlemsstaterna </w:t>
      </w:r>
      <w:r w:rsidRPr="00D205BD">
        <w:t xml:space="preserve">kom rådet överens om att gå tillbaka till den </w:t>
      </w:r>
      <w:r w:rsidR="008D225A" w:rsidRPr="00D205BD">
        <w:t xml:space="preserve">ordning som tidigare </w:t>
      </w:r>
      <w:r w:rsidR="00E608AE" w:rsidRPr="00D205BD">
        <w:t>varit aktuell</w:t>
      </w:r>
      <w:r w:rsidR="008D225A" w:rsidRPr="00D205BD">
        <w:t xml:space="preserve"> nämligen att dessa </w:t>
      </w:r>
      <w:r w:rsidR="00F02B26" w:rsidRPr="00D205BD">
        <w:t xml:space="preserve">beslut </w:t>
      </w:r>
      <w:r w:rsidR="008D225A" w:rsidRPr="00D205BD">
        <w:t xml:space="preserve">ska fattas av </w:t>
      </w:r>
      <w:r w:rsidR="00F02B26" w:rsidRPr="00D205BD">
        <w:t>en särskild urvalskommitté</w:t>
      </w:r>
      <w:r w:rsidR="008D225A" w:rsidRPr="00D205BD">
        <w:t xml:space="preserve"> bestående av de deltagande MS</w:t>
      </w:r>
      <w:r w:rsidR="00F02B26" w:rsidRPr="00D205BD">
        <w:t xml:space="preserve">. </w:t>
      </w:r>
      <w:r w:rsidR="008D225A" w:rsidRPr="00D205BD">
        <w:t xml:space="preserve">EP har accepterat denna lösning. </w:t>
      </w:r>
    </w:p>
    <w:p w:rsidR="0045533F" w:rsidRPr="00D205BD" w:rsidRDefault="0045533F" w:rsidP="00F02B26"/>
    <w:p w:rsidR="00E608AE" w:rsidRPr="00D205BD" w:rsidRDefault="008D225A" w:rsidP="00E608AE">
      <w:pPr>
        <w:overflowPunct/>
        <w:spacing w:line="240" w:lineRule="auto"/>
        <w:textAlignment w:val="auto"/>
      </w:pPr>
      <w:r w:rsidRPr="00D205BD">
        <w:t>En annan viktig del i den f</w:t>
      </w:r>
      <w:r w:rsidR="00E608AE" w:rsidRPr="00D205BD">
        <w:t>örväntade kompromissen med EP rör utformningen av</w:t>
      </w:r>
      <w:r w:rsidRPr="00D205BD">
        <w:t xml:space="preserve"> ikraftträdandebestämmelsen</w:t>
      </w:r>
      <w:r w:rsidR="00E608AE" w:rsidRPr="00D205BD">
        <w:t xml:space="preserve"> och dess koppling till förslaget om en enhetlig patentdomstol</w:t>
      </w:r>
      <w:r w:rsidRPr="00D205BD">
        <w:t xml:space="preserve">. Efter förslag från EP innebär den nu aktuella kompromissen att förordningen </w:t>
      </w:r>
      <w:r w:rsidR="00E608AE" w:rsidRPr="00D205BD">
        <w:t xml:space="preserve">träder i kraft och blir tillämplig </w:t>
      </w:r>
      <w:r w:rsidRPr="00D205BD">
        <w:t xml:space="preserve">vid det senaste av två alternativ; ett visst datum eller när domstolsavtalet träder i kraft. Enhetliga patent ska dock bara ges enhetlig effekt i de MS som vid tidpunkten för registrering av patentet har ratificerat domstolsavtalet. </w:t>
      </w:r>
      <w:r w:rsidR="00E608AE" w:rsidRPr="00D205BD">
        <w:t xml:space="preserve">Förslaget bygger på att det inte ska krävas att samtliga MS ratificerat domstolsavtalet för att detta ska träda i kraft. Lösningen innebär att det kommer att gå mycket snabbare att få ett tillämpligt enhetligt patent och en fungerande domstol än om det skulle krävas att samtliga 25 MS har ratificerat domstolsavtalet för att detta ska träda i kraft. </w:t>
      </w:r>
    </w:p>
    <w:p w:rsidR="00354E43" w:rsidRPr="00D205BD" w:rsidRDefault="00354E43" w:rsidP="00E608AE">
      <w:pPr>
        <w:overflowPunct/>
        <w:spacing w:line="240" w:lineRule="auto"/>
        <w:textAlignment w:val="auto"/>
      </w:pPr>
    </w:p>
    <w:p w:rsidR="00354E43" w:rsidRPr="00D205BD" w:rsidRDefault="00354E43" w:rsidP="00E608AE">
      <w:pPr>
        <w:overflowPunct/>
        <w:spacing w:line="240" w:lineRule="auto"/>
        <w:textAlignment w:val="auto"/>
      </w:pPr>
      <w:r w:rsidRPr="00D205BD">
        <w:t>På förslag från EP innehåller det nu aktuella kompromissförslaget skrivningar som ska göra det möjligt att överväga särskilda lägre årsavgifter får små och medelstora företag.</w:t>
      </w:r>
    </w:p>
    <w:p w:rsidR="00354E43" w:rsidRPr="00D205BD" w:rsidRDefault="00354E43" w:rsidP="00354E43">
      <w:pPr>
        <w:pStyle w:val="RKnormal"/>
      </w:pPr>
    </w:p>
    <w:p w:rsidR="00AD7BD1" w:rsidRPr="00D205BD" w:rsidRDefault="00AD7BD1" w:rsidP="00354E43">
      <w:pPr>
        <w:pStyle w:val="RKnormal"/>
        <w:rPr>
          <w:u w:val="single"/>
        </w:rPr>
      </w:pPr>
      <w:r w:rsidRPr="00D205BD">
        <w:rPr>
          <w:u w:val="single"/>
        </w:rPr>
        <w:t xml:space="preserve">Förordningen för det enhetliga patentskyddets </w:t>
      </w:r>
      <w:r w:rsidR="00354E43" w:rsidRPr="00D205BD">
        <w:rPr>
          <w:u w:val="single"/>
        </w:rPr>
        <w:t>ö</w:t>
      </w:r>
      <w:r w:rsidRPr="00D205BD">
        <w:rPr>
          <w:u w:val="single"/>
        </w:rPr>
        <w:t>versättnings</w:t>
      </w:r>
      <w:r w:rsidR="00354E43" w:rsidRPr="00D205BD">
        <w:rPr>
          <w:u w:val="single"/>
        </w:rPr>
        <w:t>-</w:t>
      </w:r>
      <w:r w:rsidRPr="00D205BD">
        <w:rPr>
          <w:u w:val="single"/>
        </w:rPr>
        <w:t>arrangemang, KOM(2011) 216</w:t>
      </w:r>
    </w:p>
    <w:p w:rsidR="004D49F3" w:rsidRPr="00D205BD" w:rsidRDefault="004D49F3" w:rsidP="004D49F3">
      <w:r w:rsidRPr="00D205BD">
        <w:t>Det enhetliga patentskyddet är ett europeiskt patent</w:t>
      </w:r>
      <w:r w:rsidR="003F2009" w:rsidRPr="00D205BD">
        <w:t xml:space="preserve"> i grunden och enhetligheten uppstår först efter beviljandet om patenthavaren ansöker </w:t>
      </w:r>
      <w:r w:rsidR="001C032D" w:rsidRPr="00D205BD">
        <w:t>om det</w:t>
      </w:r>
      <w:r w:rsidRPr="00D205BD">
        <w:t>. Detta innebär att ansökan behandlas och patentet beviljas på något av</w:t>
      </w:r>
      <w:r w:rsidRPr="00D205BD">
        <w:rPr>
          <w:i/>
        </w:rPr>
        <w:t xml:space="preserve"> </w:t>
      </w:r>
      <w:r w:rsidRPr="00D205BD">
        <w:t xml:space="preserve">de tre språk som idag används vid </w:t>
      </w:r>
      <w:r w:rsidR="00CE15B3" w:rsidRPr="00D205BD">
        <w:t xml:space="preserve">det Europeiska patentverket, </w:t>
      </w:r>
      <w:r w:rsidRPr="00D205BD">
        <w:t xml:space="preserve">EPO, </w:t>
      </w:r>
      <w:r w:rsidR="001C032D" w:rsidRPr="00D205BD">
        <w:t xml:space="preserve">dvs. </w:t>
      </w:r>
      <w:r w:rsidRPr="00D205BD">
        <w:t xml:space="preserve">engelska, franska eller tyska. Efter beviljandet </w:t>
      </w:r>
      <w:r w:rsidR="003F2009" w:rsidRPr="00D205BD">
        <w:t xml:space="preserve">ska </w:t>
      </w:r>
      <w:r w:rsidR="00CE15B3" w:rsidRPr="00D205BD">
        <w:t xml:space="preserve">en mindre del av patentskriften, </w:t>
      </w:r>
      <w:r w:rsidRPr="00D205BD">
        <w:t>de s.k. patentkraven</w:t>
      </w:r>
      <w:r w:rsidR="00CE15B3" w:rsidRPr="00D205BD">
        <w:t>,</w:t>
      </w:r>
      <w:r w:rsidRPr="00D205BD">
        <w:t xml:space="preserve"> </w:t>
      </w:r>
      <w:r w:rsidR="003F2009" w:rsidRPr="00D205BD">
        <w:t xml:space="preserve">översättas </w:t>
      </w:r>
      <w:r w:rsidRPr="00D205BD">
        <w:t>till de andra två språken. Dessa översättningar saknar rättslig effekt. Detta följer av befintliga bestämmelser i EPC</w:t>
      </w:r>
      <w:r w:rsidR="003F2009" w:rsidRPr="00D205BD">
        <w:t xml:space="preserve"> för de europeiska patenten</w:t>
      </w:r>
      <w:r w:rsidRPr="00D205BD">
        <w:t xml:space="preserve">. Förslaget </w:t>
      </w:r>
      <w:r w:rsidR="00CE15B3" w:rsidRPr="00D205BD">
        <w:t xml:space="preserve">till förordning som gäller efter beviljandet av patentet </w:t>
      </w:r>
      <w:r w:rsidRPr="00D205BD">
        <w:t xml:space="preserve">innebär att några ytterligare översättningar inte ska krävas </w:t>
      </w:r>
      <w:r w:rsidR="00354E43" w:rsidRPr="00D205BD">
        <w:t>för at</w:t>
      </w:r>
      <w:r w:rsidR="003F2009" w:rsidRPr="00D205BD">
        <w:t>t</w:t>
      </w:r>
      <w:r w:rsidR="00354E43" w:rsidRPr="00D205BD">
        <w:t xml:space="preserve"> </w:t>
      </w:r>
      <w:r w:rsidR="00CE15B3" w:rsidRPr="00D205BD">
        <w:t xml:space="preserve">ansöka om och </w:t>
      </w:r>
      <w:r w:rsidR="00354E43" w:rsidRPr="00D205BD">
        <w:t>få</w:t>
      </w:r>
      <w:r w:rsidRPr="00D205BD">
        <w:t xml:space="preserve"> </w:t>
      </w:r>
      <w:r w:rsidR="00CE15B3" w:rsidRPr="00D205BD">
        <w:t>enhetlig effekt</w:t>
      </w:r>
      <w:r w:rsidRPr="00D205BD">
        <w:t xml:space="preserve">. Det finns dock två undantag. </w:t>
      </w:r>
      <w:r w:rsidR="00CE15B3" w:rsidRPr="00D205BD">
        <w:t>U</w:t>
      </w:r>
      <w:r w:rsidRPr="00D205BD">
        <w:t xml:space="preserve">nder en övergångsperiod om maximalt tolv år </w:t>
      </w:r>
      <w:r w:rsidR="00CE15B3" w:rsidRPr="00D205BD">
        <w:t xml:space="preserve">ska patentskriften </w:t>
      </w:r>
      <w:r w:rsidRPr="00D205BD">
        <w:t>översättas till ytterligare ett språk. Inte heller dessa översättningar ska h</w:t>
      </w:r>
      <w:r w:rsidR="00CE15B3" w:rsidRPr="00D205BD">
        <w:t>a någon rättslig effekt</w:t>
      </w:r>
      <w:r w:rsidRPr="00D205BD">
        <w:t>. För det fall patentet beviljas på tyska eller franska ska översättning ske till engelska och för det fall patentet beviljas på engelska ska översättning ske till valfritt officiellt EU-språk. Övergångsperioden kan avslutas i förtid om det konstateras att maskinöversättningssystemet vid EPO håller en tillfredställande standard. Vid tvist som berör patentet finns en skyldighet för patenthavaren att på begäran tillhandahålla en översättning av patentet. Enligt nuvarande bestämmelser i EPC kan en ansökan om ett europeiskt patent ges in på valfritt språk. En översättning till något av EPO:s tre arbetsspråk måste dock därefter ges in. Av förslaget följer att ersättning upp till ett visst takbelopp kommer att kunna utgå för kostnaden för en sådan översättning från ett officiellt EU-språk</w:t>
      </w:r>
      <w:r w:rsidR="00493BD4" w:rsidRPr="00D205BD">
        <w:t xml:space="preserve">. </w:t>
      </w:r>
      <w:r w:rsidRPr="00D205BD">
        <w:t>Förslaget bygger på kommissionens tidigare förslag till förordning för EU-patentets översättningsarrangemang samt de kompromisslösningar som föreslogs under det belgiska EU-ordförandeskapet.</w:t>
      </w:r>
    </w:p>
    <w:p w:rsidR="00DD6090" w:rsidRPr="00D205BD" w:rsidRDefault="00DD6090" w:rsidP="00AD7BD1"/>
    <w:p w:rsidR="00E01BE0" w:rsidRPr="00D205BD" w:rsidRDefault="00493BD4" w:rsidP="004D49F3">
      <w:pPr>
        <w:rPr>
          <w:i/>
        </w:rPr>
      </w:pPr>
      <w:r w:rsidRPr="00D205BD">
        <w:rPr>
          <w:i/>
        </w:rPr>
        <w:t>Förslaget under processen i EP</w:t>
      </w:r>
    </w:p>
    <w:p w:rsidR="00480581" w:rsidRPr="00D205BD" w:rsidRDefault="00493BD4" w:rsidP="004D49F3">
      <w:r w:rsidRPr="00D205BD">
        <w:t>EP har inte medbeslutanderätt när det gäller förordningen om översättningsarrangemanget utan ska enbart höras. EP ser förordningarna som ett paket och har föreslagit ändringar. EP har visat stor förståelse för överenskommelsens känsliga natur.</w:t>
      </w:r>
      <w:r w:rsidR="00480581" w:rsidRPr="00D205BD">
        <w:t xml:space="preserve"> Med anledning av EP:s förslag har ordf. föreslagit två ändringar i det kompromissförslag som presenterats för EP. </w:t>
      </w:r>
    </w:p>
    <w:p w:rsidR="00480581" w:rsidRPr="00D205BD" w:rsidRDefault="00480581" w:rsidP="004D49F3"/>
    <w:p w:rsidR="00493BD4" w:rsidRPr="00D205BD" w:rsidRDefault="00480581" w:rsidP="004D49F3">
      <w:r w:rsidRPr="00D205BD">
        <w:t xml:space="preserve">En referens till </w:t>
      </w:r>
      <w:r w:rsidR="00495E80" w:rsidRPr="00D205BD">
        <w:t xml:space="preserve">bl.a. fysiska personer och </w:t>
      </w:r>
      <w:r w:rsidRPr="00D205BD">
        <w:t>små och medelstora företag har lagts till i artikel 4 som innehåller en bestämmelse som medför en skyldighet för domstol som prövar en skadeståndstalan att ta hänsyn till om den påstådde intrångsgöraren fått del av en översättning av patentskriften.</w:t>
      </w:r>
    </w:p>
    <w:p w:rsidR="00480581" w:rsidRPr="00D205BD" w:rsidRDefault="00480581" w:rsidP="004D49F3"/>
    <w:p w:rsidR="00480581" w:rsidRPr="00D205BD" w:rsidRDefault="00480581" w:rsidP="004D49F3">
      <w:r w:rsidRPr="00D205BD">
        <w:t>Den möjlighet som enligt rådets överenskommelse finns att upptill ett visst takbelopp få ersättning för kostnaderna för översättningen om sökanden utnyttjar möjligheten att söka på ett annat språk än något av EPO:s arbetsspråk</w:t>
      </w:r>
      <w:r w:rsidR="00495E80" w:rsidRPr="00D205BD">
        <w:t xml:space="preserve"> har begränsats till att gälla bl.a. fysiska personer och små och medelstora företag. </w:t>
      </w:r>
    </w:p>
    <w:p w:rsidR="003B57CE" w:rsidRPr="00D205BD" w:rsidRDefault="003B57CE">
      <w:pPr>
        <w:pStyle w:val="RKrubrik"/>
        <w:rPr>
          <w:i/>
          <w:iCs/>
        </w:rPr>
      </w:pPr>
      <w:r w:rsidRPr="00D205BD">
        <w:rPr>
          <w:i/>
          <w:iCs/>
        </w:rPr>
        <w:t>Gällande svenska regler och förslagets effekter på dessa</w:t>
      </w:r>
    </w:p>
    <w:p w:rsidR="00AD7BD1" w:rsidRPr="00D205BD" w:rsidRDefault="00AD7BD1" w:rsidP="00AD7BD1">
      <w:r w:rsidRPr="00D205BD">
        <w:t xml:space="preserve">Det fördjupade samarbetet om det enhetliga patentskyddet kommer inte att få någon omedelbar effekt på svenska regler. Förordningarna är direkt tillämpliga och det enhetliga patentskyddet kommer att vara en helt självständig rättighet som inte påverkar det svenska nationella patentsystemet. Det kommer dock att krävas vissa följdändringar i patentlagen. </w:t>
      </w:r>
    </w:p>
    <w:p w:rsidR="00AD7BD1" w:rsidRPr="00D205BD" w:rsidRDefault="00AD7BD1" w:rsidP="00AD7BD1">
      <w:pPr>
        <w:pStyle w:val="Normaltindrag"/>
      </w:pPr>
    </w:p>
    <w:p w:rsidR="00AD7BD1" w:rsidRPr="00D205BD" w:rsidRDefault="00AD7BD1" w:rsidP="00AD7BD1">
      <w:r w:rsidRPr="00D205BD">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 enhetliga patentskyddet kommer att hanteras av en ny enhetlig europeisk patentdomstol och inte av nationella domstolar. Det föreligger därför ingen konflikt mellan förslaget och språklagen.</w:t>
      </w:r>
    </w:p>
    <w:p w:rsidR="003B57CE" w:rsidRPr="00D205BD" w:rsidRDefault="003B57CE">
      <w:pPr>
        <w:pStyle w:val="RKrubrik"/>
      </w:pPr>
      <w:r w:rsidRPr="00D205BD">
        <w:t>Ekonomiska konsekvenser</w:t>
      </w:r>
    </w:p>
    <w:p w:rsidR="00AD7BD1" w:rsidRPr="00D205BD" w:rsidRDefault="00AD7BD1" w:rsidP="00AD7BD1">
      <w:r w:rsidRPr="00D205BD">
        <w:t xml:space="preserve">Det enhetliga patentskyddet ska vara helt avgiftsfinansierat och kommer inte att belasta vare sig medlemsstaternas nationella budgetar eller EU:s budget. </w:t>
      </w:r>
    </w:p>
    <w:p w:rsidR="004D49F3" w:rsidRPr="00D205BD" w:rsidRDefault="004D49F3" w:rsidP="00AD7BD1"/>
    <w:p w:rsidR="00AD7BD1" w:rsidRPr="00D205BD" w:rsidRDefault="00AD7BD1" w:rsidP="00AD7BD1">
      <w:r w:rsidRPr="00D205BD">
        <w:t xml:space="preserve">Överskottet från årsavgifterna för det enhetliga patentskyddet ska enligt förslaget fördelas mellan EPO och medlemsstaterna med hälften vardera (art. 16 förordningen om det enhetliga patentskyddet). Förslaget följer vad som idag gäller för de befintliga europeiska patenten där hälften av årsavgifterna går till EPO och hälften till medlemsstaterna och är i enlighet med rådslutsatserna från 2009. Enligt den expertutredning som kommissionen inhämtat är det sannolikt att ett enhetligt patentskydd kommer att innebära ökade intäkter för såväl EPO som medlemsstaterna. Detta beror på att patenthavare sannolikt kommer att upprätthålla skyddet under längre tid än vad som sker idag. Antagandet baseras på att de befintliga europeiska patenten idag upprätthålls längst på den största marknaden, dvs. i Tyskland. </w:t>
      </w:r>
      <w:r w:rsidRPr="00D205BD">
        <w:rPr>
          <w:rStyle w:val="Fotnotsreferens"/>
        </w:rPr>
        <w:footnoteReference w:id="2"/>
      </w:r>
    </w:p>
    <w:p w:rsidR="004D49F3" w:rsidRPr="00D205BD" w:rsidRDefault="004D49F3" w:rsidP="00AD7BD1"/>
    <w:p w:rsidR="00AD7BD1" w:rsidRPr="00D205BD" w:rsidRDefault="00AD7BD1" w:rsidP="00AD7BD1">
      <w:r w:rsidRPr="00D205BD">
        <w:t>Ett förbättrat europeiskt patentsystem i enlighet med förslagen kommer att innebära stora besparingar för europeiska innovatörer. Det kommer  vidare att ge en reell tillgång till patentsystemet för aktörer med mindre finansiella resurser och alltså ha stor betydelse för små och medelstora företag. Kommissionen gör i sin konsekvensanalys bedömningen att användarnas kostnader för patentskydd skulle uppgå till bara 20 procent av dagens kostnad vid ett genomförande av förslagen och att den totala besparingen för användarna skulle kunna uppgå till 50 miljoner EUR per år.</w:t>
      </w:r>
      <w:r w:rsidRPr="00D205BD">
        <w:rPr>
          <w:rStyle w:val="Fotnotsreferens"/>
        </w:rPr>
        <w:footnoteReference w:id="3"/>
      </w:r>
      <w:r w:rsidRPr="00D205BD">
        <w:t xml:space="preserve"> </w:t>
      </w:r>
    </w:p>
    <w:p w:rsidR="006E4E11" w:rsidRPr="00D205BD" w:rsidRDefault="006E4E11">
      <w:pPr>
        <w:pStyle w:val="RKrubrik"/>
        <w:spacing w:before="0" w:after="0"/>
      </w:pPr>
    </w:p>
    <w:p w:rsidR="006E4E11" w:rsidRPr="00D205BD" w:rsidRDefault="006E4E11">
      <w:pPr>
        <w:pStyle w:val="RKnormal"/>
      </w:pPr>
    </w:p>
    <w:p w:rsidR="003B57CE" w:rsidRPr="00D205BD" w:rsidRDefault="003B57CE">
      <w:pPr>
        <w:pStyle w:val="RKnormal"/>
      </w:pPr>
    </w:p>
    <w:sectPr w:rsidR="003B57CE" w:rsidRPr="00D205B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BCD" w:rsidRPr="00D205BD" w:rsidRDefault="00446BCD">
      <w:r w:rsidRPr="00D205BD">
        <w:separator/>
      </w:r>
    </w:p>
  </w:endnote>
  <w:endnote w:type="continuationSeparator" w:id="0">
    <w:p w:rsidR="00446BCD" w:rsidRPr="00D205BD" w:rsidRDefault="00446BCD">
      <w:r w:rsidRPr="00D20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BCD" w:rsidRPr="00D205BD" w:rsidRDefault="00446BCD">
      <w:r w:rsidRPr="00D205BD">
        <w:separator/>
      </w:r>
    </w:p>
  </w:footnote>
  <w:footnote w:type="continuationSeparator" w:id="0">
    <w:p w:rsidR="00446BCD" w:rsidRPr="00D205BD" w:rsidRDefault="00446BCD">
      <w:r w:rsidRPr="00D205BD">
        <w:continuationSeparator/>
      </w:r>
    </w:p>
  </w:footnote>
  <w:footnote w:id="1">
    <w:p w:rsidR="00F2737D" w:rsidRPr="00D205BD" w:rsidRDefault="00F2737D" w:rsidP="00E17883">
      <w:pPr>
        <w:pStyle w:val="Fotnotstext"/>
        <w:rPr>
          <w:rPrChange w:id="1" w:author="Lars Brink" w:date="2025-12-17T22:39:00Z" w16du:dateUtc="2025-12-17T21:39:00Z">
            <w:rPr/>
          </w:rPrChange>
        </w:rPr>
      </w:pPr>
      <w:r w:rsidRPr="00D205BD">
        <w:rPr>
          <w:rStyle w:val="Fotnotsreferens"/>
          <w:rPrChange w:id="2" w:author="Lars Brink" w:date="2025-12-17T22:39:00Z" w16du:dateUtc="2025-12-17T21:39:00Z">
            <w:rPr>
              <w:rStyle w:val="Fotnotsreferens"/>
            </w:rPr>
          </w:rPrChange>
        </w:rPr>
        <w:footnoteRef/>
      </w:r>
      <w:r w:rsidRPr="00D205BD">
        <w:rPr>
          <w:rPrChange w:id="3" w:author="Lars Brink" w:date="2025-12-17T22:39:00Z" w16du:dateUtc="2025-12-17T21:39:00Z">
            <w:rPr/>
          </w:rPrChange>
        </w:rPr>
        <w:t xml:space="preserve"> Economic Cost-Benefit Analysis of the Community Patent by Bruno van Pottelsberghe and Jérôme</w:t>
      </w:r>
    </w:p>
    <w:p w:rsidR="00F2737D" w:rsidRPr="00D205BD" w:rsidRDefault="00F2737D" w:rsidP="00E17883">
      <w:pPr>
        <w:pStyle w:val="Fotnotstext"/>
        <w:rPr>
          <w:rPrChange w:id="4" w:author="Lars Brink" w:date="2025-12-17T22:39:00Z" w16du:dateUtc="2025-12-17T21:39:00Z">
            <w:rPr/>
          </w:rPrChange>
        </w:rPr>
      </w:pPr>
      <w:r w:rsidRPr="00D205BD">
        <w:rPr>
          <w:rPrChange w:id="5" w:author="Lars Brink" w:date="2025-12-17T22:39:00Z" w16du:dateUtc="2025-12-17T21:39:00Z">
            <w:rPr/>
          </w:rPrChange>
        </w:rPr>
        <w:t xml:space="preserve">Danguy, </w:t>
      </w:r>
      <w:r w:rsidRPr="00D205BD">
        <w:rPr>
          <w:color w:val="0000FF"/>
          <w:rPrChange w:id="6" w:author="Lars Brink" w:date="2025-12-17T22:39:00Z" w16du:dateUtc="2025-12-17T21:39:00Z">
            <w:rPr>
              <w:color w:val="0000FF"/>
            </w:rPr>
          </w:rPrChange>
        </w:rPr>
        <w:t>http://ec.europa.eu/internal_market/indprop/patent/index_en.htm</w:t>
      </w:r>
    </w:p>
  </w:footnote>
  <w:footnote w:id="2">
    <w:p w:rsidR="00F2737D" w:rsidRPr="00D205BD" w:rsidRDefault="00F2737D" w:rsidP="00AD7BD1">
      <w:pPr>
        <w:pStyle w:val="Fotnotstext"/>
        <w:rPr>
          <w:rPrChange w:id="9" w:author="Lars Brink" w:date="2025-12-17T22:39:00Z" w16du:dateUtc="2025-12-17T21:39:00Z">
            <w:rPr/>
          </w:rPrChange>
        </w:rPr>
      </w:pPr>
      <w:r w:rsidRPr="00D205BD">
        <w:rPr>
          <w:rStyle w:val="Fotnotsreferens"/>
          <w:rPrChange w:id="10" w:author="Lars Brink" w:date="2025-12-17T22:39:00Z" w16du:dateUtc="2025-12-17T21:39:00Z">
            <w:rPr>
              <w:rStyle w:val="Fotnotsreferens"/>
            </w:rPr>
          </w:rPrChange>
        </w:rPr>
        <w:footnoteRef/>
      </w:r>
      <w:r w:rsidRPr="00D205BD">
        <w:rPr>
          <w:rPrChange w:id="11" w:author="Lars Brink" w:date="2025-12-17T22:39:00Z" w16du:dateUtc="2025-12-17T21:39:00Z">
            <w:rPr/>
          </w:rPrChange>
        </w:rPr>
        <w:t xml:space="preserve"> Economic Cost-Benefit Analysis of the Community Patent by Bruno van Pottelsberghe and Jérôme</w:t>
      </w:r>
    </w:p>
    <w:p w:rsidR="00F2737D" w:rsidRPr="00D205BD" w:rsidRDefault="00F2737D" w:rsidP="00AD7BD1">
      <w:pPr>
        <w:pStyle w:val="Fotnotstext"/>
        <w:rPr>
          <w:rPrChange w:id="12" w:author="Lars Brink" w:date="2025-12-17T22:39:00Z" w16du:dateUtc="2025-12-17T21:39:00Z">
            <w:rPr/>
          </w:rPrChange>
        </w:rPr>
      </w:pPr>
      <w:r w:rsidRPr="00D205BD">
        <w:rPr>
          <w:rPrChange w:id="13" w:author="Lars Brink" w:date="2025-12-17T22:39:00Z" w16du:dateUtc="2025-12-17T21:39:00Z">
            <w:rPr/>
          </w:rPrChange>
        </w:rPr>
        <w:t xml:space="preserve">Danguy, </w:t>
      </w:r>
      <w:r w:rsidRPr="00D205BD">
        <w:rPr>
          <w:color w:val="0000FF"/>
          <w:rPrChange w:id="14" w:author="Lars Brink" w:date="2025-12-17T22:39:00Z" w16du:dateUtc="2025-12-17T21:39:00Z">
            <w:rPr>
              <w:color w:val="0000FF"/>
            </w:rPr>
          </w:rPrChange>
        </w:rPr>
        <w:t>http://ec.europa.eu/internal_market/indprop/patent/index_en.htm</w:t>
      </w:r>
    </w:p>
  </w:footnote>
  <w:footnote w:id="3">
    <w:p w:rsidR="00F2737D" w:rsidRPr="00D205BD" w:rsidRDefault="00F2737D" w:rsidP="00AD7BD1">
      <w:pPr>
        <w:pStyle w:val="Fotnotstext"/>
        <w:rPr>
          <w:rPrChange w:id="15" w:author="Lars Brink" w:date="2025-12-17T22:39:00Z" w16du:dateUtc="2025-12-17T21:39:00Z">
            <w:rPr/>
          </w:rPrChange>
        </w:rPr>
      </w:pPr>
      <w:r w:rsidRPr="00D205BD">
        <w:rPr>
          <w:rStyle w:val="Fotnotsreferens"/>
          <w:rPrChange w:id="16" w:author="Lars Brink" w:date="2025-12-17T22:39:00Z" w16du:dateUtc="2025-12-17T21:39:00Z">
            <w:rPr>
              <w:rStyle w:val="Fotnotsreferens"/>
            </w:rPr>
          </w:rPrChange>
        </w:rPr>
        <w:footnoteRef/>
      </w:r>
      <w:r w:rsidRPr="00D205BD">
        <w:rPr>
          <w:rPrChange w:id="17" w:author="Lars Brink" w:date="2025-12-17T22:39:00Z" w16du:dateUtc="2025-12-17T21:39:00Z">
            <w:rPr/>
          </w:rPrChange>
        </w:rPr>
        <w:t xml:space="preserve"> KOM:s sammanfattning av sin konsekvensanalys s 5SEC(2011) 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7D" w:rsidRPr="00D205BD" w:rsidRDefault="00F2737D">
    <w:pPr>
      <w:pStyle w:val="Sidhuvud"/>
      <w:framePr w:wrap="around" w:vAnchor="text" w:hAnchor="margin" w:xAlign="right" w:y="1"/>
      <w:rPr>
        <w:rStyle w:val="Sidnummer"/>
        <w:rPrChange w:id="18" w:author="Lars Brink" w:date="2025-12-17T22:39:00Z" w16du:dateUtc="2025-12-17T21:39:00Z">
          <w:rPr>
            <w:rStyle w:val="Sidnummer"/>
          </w:rPr>
        </w:rPrChange>
      </w:rPr>
    </w:pPr>
    <w:r w:rsidRPr="00D205BD">
      <w:rPr>
        <w:rStyle w:val="Sidnummer"/>
      </w:rPr>
      <w:fldChar w:fldCharType="begin" w:fldLock="1"/>
    </w:r>
    <w:r w:rsidRPr="00D205BD">
      <w:rPr>
        <w:rStyle w:val="Sidnummer"/>
      </w:rPr>
      <w:instrText xml:space="preserve">PAGE  </w:instrText>
    </w:r>
    <w:r w:rsidRPr="00D205BD">
      <w:rPr>
        <w:rStyle w:val="Sidnummer"/>
      </w:rPr>
      <w:fldChar w:fldCharType="separate"/>
    </w:r>
    <w:r w:rsidR="006C6E13" w:rsidRPr="00D205BD">
      <w:rPr>
        <w:rStyle w:val="Sidnummer"/>
        <w:rPrChange w:id="19" w:author="Lars Brink" w:date="2025-12-17T22:39:00Z" w16du:dateUtc="2025-12-17T21:39:00Z">
          <w:rPr>
            <w:rStyle w:val="Sidnummer"/>
            <w:noProof/>
          </w:rPr>
        </w:rPrChange>
      </w:rPr>
      <w:t>6</w:t>
    </w:r>
    <w:r w:rsidRPr="00D205BD">
      <w:rPr>
        <w:rStyle w:val="Sidnummer"/>
        <w:rPrChange w:id="20" w:author="Lars Brink" w:date="2025-12-17T22:39:00Z" w16du:dateUtc="2025-12-17T21:3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2737D" w:rsidRPr="00D205BD">
      <w:tblPrEx>
        <w:tblCellMar>
          <w:top w:w="0" w:type="dxa"/>
          <w:bottom w:w="0" w:type="dxa"/>
        </w:tblCellMar>
      </w:tblPrEx>
      <w:trPr>
        <w:cantSplit/>
      </w:trPr>
      <w:tc>
        <w:tcPr>
          <w:tcW w:w="3119" w:type="dxa"/>
        </w:tcPr>
        <w:p w:rsidR="00F2737D" w:rsidRPr="00D205BD" w:rsidRDefault="00F2737D">
          <w:pPr>
            <w:pStyle w:val="Sidhuvud"/>
            <w:spacing w:line="200" w:lineRule="atLeast"/>
            <w:ind w:right="357"/>
            <w:rPr>
              <w:rFonts w:ascii="TradeGothic" w:hAnsi="TradeGothic"/>
              <w:b/>
              <w:bCs/>
              <w:sz w:val="16"/>
              <w:rPrChange w:id="21" w:author="Lars Brink" w:date="2025-12-17T22:39:00Z" w16du:dateUtc="2025-12-17T21:39:00Z">
                <w:rPr>
                  <w:rFonts w:ascii="TradeGothic" w:hAnsi="TradeGothic"/>
                  <w:b/>
                  <w:bCs/>
                  <w:sz w:val="16"/>
                </w:rPr>
              </w:rPrChange>
            </w:rPr>
          </w:pPr>
        </w:p>
      </w:tc>
      <w:tc>
        <w:tcPr>
          <w:tcW w:w="4111" w:type="dxa"/>
          <w:tcMar>
            <w:left w:w="567" w:type="dxa"/>
          </w:tcMar>
        </w:tcPr>
        <w:p w:rsidR="00F2737D" w:rsidRPr="00D205BD" w:rsidRDefault="00F2737D">
          <w:pPr>
            <w:pStyle w:val="Sidhuvud"/>
            <w:ind w:right="360"/>
            <w:rPr>
              <w:rPrChange w:id="22" w:author="Lars Brink" w:date="2025-12-17T22:39:00Z" w16du:dateUtc="2025-12-17T21:39:00Z">
                <w:rPr/>
              </w:rPrChange>
            </w:rPr>
          </w:pPr>
        </w:p>
      </w:tc>
      <w:tc>
        <w:tcPr>
          <w:tcW w:w="1525" w:type="dxa"/>
        </w:tcPr>
        <w:p w:rsidR="00F2737D" w:rsidRPr="00D205BD" w:rsidRDefault="00F2737D">
          <w:pPr>
            <w:pStyle w:val="Sidhuvud"/>
            <w:ind w:right="360"/>
            <w:rPr>
              <w:rPrChange w:id="23" w:author="Lars Brink" w:date="2025-12-17T22:39:00Z" w16du:dateUtc="2025-12-17T21:39:00Z">
                <w:rPr/>
              </w:rPrChange>
            </w:rPr>
          </w:pPr>
        </w:p>
      </w:tc>
    </w:tr>
  </w:tbl>
  <w:p w:rsidR="00F2737D" w:rsidRPr="00D205BD" w:rsidRDefault="00F2737D">
    <w:pPr>
      <w:pStyle w:val="Sidhuvud"/>
      <w:ind w:right="357" w:firstLine="357"/>
      <w:rPr>
        <w:rPrChange w:id="24" w:author="Lars Brink" w:date="2025-12-17T22:39:00Z" w16du:dateUtc="2025-12-17T21:3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7D" w:rsidRPr="00D205BD" w:rsidRDefault="00F2737D">
    <w:pPr>
      <w:pStyle w:val="Sidhuvud"/>
      <w:framePr w:wrap="around" w:vAnchor="text" w:hAnchor="margin" w:xAlign="right" w:y="1"/>
      <w:rPr>
        <w:rStyle w:val="Sidnummer"/>
        <w:rPrChange w:id="25" w:author="Lars Brink" w:date="2025-12-17T22:39:00Z" w16du:dateUtc="2025-12-17T21:39:00Z">
          <w:rPr>
            <w:rStyle w:val="Sidnummer"/>
          </w:rPr>
        </w:rPrChange>
      </w:rPr>
    </w:pPr>
    <w:r w:rsidRPr="00D205BD">
      <w:rPr>
        <w:rStyle w:val="Sidnummer"/>
      </w:rPr>
      <w:fldChar w:fldCharType="begin" w:fldLock="1"/>
    </w:r>
    <w:r w:rsidRPr="00D205BD">
      <w:rPr>
        <w:rStyle w:val="Sidnummer"/>
      </w:rPr>
      <w:instrText xml:space="preserve">PAGE  </w:instrText>
    </w:r>
    <w:r w:rsidRPr="00D205BD">
      <w:rPr>
        <w:rStyle w:val="Sidnummer"/>
      </w:rPr>
      <w:fldChar w:fldCharType="separate"/>
    </w:r>
    <w:r w:rsidR="006C6E13" w:rsidRPr="00D205BD">
      <w:rPr>
        <w:rStyle w:val="Sidnummer"/>
        <w:rPrChange w:id="26" w:author="Lars Brink" w:date="2025-12-17T22:39:00Z" w16du:dateUtc="2025-12-17T21:39:00Z">
          <w:rPr>
            <w:rStyle w:val="Sidnummer"/>
            <w:noProof/>
          </w:rPr>
        </w:rPrChange>
      </w:rPr>
      <w:t>7</w:t>
    </w:r>
    <w:r w:rsidRPr="00D205BD">
      <w:rPr>
        <w:rStyle w:val="Sidnummer"/>
        <w:rPrChange w:id="27" w:author="Lars Brink" w:date="2025-12-17T22:39:00Z" w16du:dateUtc="2025-12-17T21:3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2737D" w:rsidRPr="00D205BD">
      <w:tblPrEx>
        <w:tblCellMar>
          <w:top w:w="0" w:type="dxa"/>
          <w:bottom w:w="0" w:type="dxa"/>
        </w:tblCellMar>
      </w:tblPrEx>
      <w:trPr>
        <w:cantSplit/>
      </w:trPr>
      <w:tc>
        <w:tcPr>
          <w:tcW w:w="3119" w:type="dxa"/>
        </w:tcPr>
        <w:p w:rsidR="00F2737D" w:rsidRPr="00D205BD" w:rsidRDefault="00F2737D">
          <w:pPr>
            <w:pStyle w:val="Sidhuvud"/>
            <w:spacing w:line="200" w:lineRule="atLeast"/>
            <w:ind w:right="357"/>
            <w:rPr>
              <w:rFonts w:ascii="TradeGothic" w:hAnsi="TradeGothic"/>
              <w:b/>
              <w:bCs/>
              <w:sz w:val="16"/>
              <w:rPrChange w:id="28" w:author="Lars Brink" w:date="2025-12-17T22:39:00Z" w16du:dateUtc="2025-12-17T21:39:00Z">
                <w:rPr>
                  <w:rFonts w:ascii="TradeGothic" w:hAnsi="TradeGothic"/>
                  <w:b/>
                  <w:bCs/>
                  <w:sz w:val="16"/>
                </w:rPr>
              </w:rPrChange>
            </w:rPr>
          </w:pPr>
        </w:p>
      </w:tc>
      <w:tc>
        <w:tcPr>
          <w:tcW w:w="4111" w:type="dxa"/>
          <w:tcMar>
            <w:left w:w="567" w:type="dxa"/>
          </w:tcMar>
        </w:tcPr>
        <w:p w:rsidR="00F2737D" w:rsidRPr="00D205BD" w:rsidRDefault="00F2737D">
          <w:pPr>
            <w:pStyle w:val="Sidhuvud"/>
            <w:ind w:right="360"/>
            <w:rPr>
              <w:rPrChange w:id="29" w:author="Lars Brink" w:date="2025-12-17T22:39:00Z" w16du:dateUtc="2025-12-17T21:39:00Z">
                <w:rPr/>
              </w:rPrChange>
            </w:rPr>
          </w:pPr>
        </w:p>
      </w:tc>
      <w:tc>
        <w:tcPr>
          <w:tcW w:w="1525" w:type="dxa"/>
        </w:tcPr>
        <w:p w:rsidR="00F2737D" w:rsidRPr="00D205BD" w:rsidRDefault="00F2737D">
          <w:pPr>
            <w:pStyle w:val="Sidhuvud"/>
            <w:ind w:right="360"/>
            <w:rPr>
              <w:rPrChange w:id="30" w:author="Lars Brink" w:date="2025-12-17T22:39:00Z" w16du:dateUtc="2025-12-17T21:39:00Z">
                <w:rPr/>
              </w:rPrChange>
            </w:rPr>
          </w:pPr>
        </w:p>
      </w:tc>
    </w:tr>
  </w:tbl>
  <w:p w:rsidR="00F2737D" w:rsidRPr="00D205BD" w:rsidRDefault="00F2737D">
    <w:pPr>
      <w:pStyle w:val="Sidhuvud"/>
      <w:ind w:right="357" w:firstLine="357"/>
      <w:rPr>
        <w:rPrChange w:id="31" w:author="Lars Brink" w:date="2025-12-17T22:39:00Z" w16du:dateUtc="2025-12-17T21:3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7D" w:rsidRPr="00D205BD" w:rsidRDefault="00D205BD">
    <w:pPr>
      <w:framePr w:w="2948" w:h="1321" w:hRule="exact" w:wrap="notBeside" w:vAnchor="page" w:hAnchor="page" w:x="1362" w:y="653"/>
    </w:pPr>
    <w:r w:rsidRPr="00D205B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2737D" w:rsidRPr="00D205BD" w:rsidRDefault="00F2737D">
    <w:pPr>
      <w:pStyle w:val="RKrubrik"/>
      <w:keepNext w:val="0"/>
      <w:tabs>
        <w:tab w:val="clear" w:pos="1134"/>
        <w:tab w:val="clear" w:pos="2835"/>
      </w:tabs>
      <w:spacing w:before="0" w:after="0" w:line="320" w:lineRule="atLeast"/>
      <w:rPr>
        <w:bCs/>
      </w:rPr>
    </w:pPr>
  </w:p>
  <w:p w:rsidR="00F2737D" w:rsidRPr="00D205BD" w:rsidRDefault="00F2737D">
    <w:pPr>
      <w:rPr>
        <w:rFonts w:ascii="TradeGothic" w:hAnsi="TradeGothic"/>
        <w:b/>
        <w:bCs/>
        <w:spacing w:val="12"/>
        <w:sz w:val="22"/>
      </w:rPr>
    </w:pPr>
  </w:p>
  <w:p w:rsidR="00F2737D" w:rsidRPr="00D205BD" w:rsidRDefault="00F2737D">
    <w:pPr>
      <w:pStyle w:val="RKrubrik"/>
      <w:keepNext w:val="0"/>
      <w:tabs>
        <w:tab w:val="clear" w:pos="1134"/>
        <w:tab w:val="clear" w:pos="2835"/>
      </w:tabs>
      <w:spacing w:before="0" w:after="0" w:line="320" w:lineRule="atLeast"/>
      <w:rPr>
        <w:bCs/>
      </w:rPr>
    </w:pPr>
  </w:p>
  <w:p w:rsidR="00F2737D" w:rsidRPr="00D205BD" w:rsidRDefault="00F2737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1" w15:restartNumberingAfterBreak="0">
    <w:nsid w:val="66A50BE4"/>
    <w:multiLevelType w:val="hybridMultilevel"/>
    <w:tmpl w:val="E1F04416"/>
    <w:lvl w:ilvl="0" w:tplc="5290DC60">
      <w:start w:val="2008"/>
      <w:numFmt w:val="bullet"/>
      <w:lvlText w:val="-"/>
      <w:lvlJc w:val="left"/>
      <w:pPr>
        <w:ind w:left="900" w:hanging="360"/>
      </w:pPr>
      <w:rPr>
        <w:rFonts w:ascii="Calibri" w:eastAsia="Times New Roman" w:hAnsi="Calibri" w:hint="default"/>
      </w:rPr>
    </w:lvl>
    <w:lvl w:ilvl="1" w:tplc="040E0019">
      <w:start w:val="1"/>
      <w:numFmt w:val="bullet"/>
      <w:lvlText w:val="o"/>
      <w:lvlJc w:val="left"/>
      <w:pPr>
        <w:ind w:left="2520" w:hanging="360"/>
      </w:pPr>
      <w:rPr>
        <w:rFonts w:ascii="Courier New" w:hAnsi="Courier New" w:hint="default"/>
      </w:rPr>
    </w:lvl>
    <w:lvl w:ilvl="2" w:tplc="040E001B">
      <w:start w:val="1"/>
      <w:numFmt w:val="bullet"/>
      <w:lvlText w:val=""/>
      <w:lvlJc w:val="left"/>
      <w:pPr>
        <w:ind w:left="3240" w:hanging="360"/>
      </w:pPr>
      <w:rPr>
        <w:rFonts w:ascii="Wingdings" w:hAnsi="Wingdings" w:hint="default"/>
      </w:rPr>
    </w:lvl>
    <w:lvl w:ilvl="3" w:tplc="040E000F" w:tentative="1">
      <w:start w:val="1"/>
      <w:numFmt w:val="bullet"/>
      <w:lvlText w:val=""/>
      <w:lvlJc w:val="left"/>
      <w:pPr>
        <w:ind w:left="3960" w:hanging="360"/>
      </w:pPr>
      <w:rPr>
        <w:rFonts w:ascii="Symbol" w:hAnsi="Symbol" w:hint="default"/>
      </w:rPr>
    </w:lvl>
    <w:lvl w:ilvl="4" w:tplc="040E0019" w:tentative="1">
      <w:start w:val="1"/>
      <w:numFmt w:val="bullet"/>
      <w:lvlText w:val="o"/>
      <w:lvlJc w:val="left"/>
      <w:pPr>
        <w:ind w:left="4680" w:hanging="360"/>
      </w:pPr>
      <w:rPr>
        <w:rFonts w:ascii="Courier New" w:hAnsi="Courier New" w:hint="default"/>
      </w:rPr>
    </w:lvl>
    <w:lvl w:ilvl="5" w:tplc="040E001B" w:tentative="1">
      <w:start w:val="1"/>
      <w:numFmt w:val="bullet"/>
      <w:lvlText w:val=""/>
      <w:lvlJc w:val="left"/>
      <w:pPr>
        <w:ind w:left="5400" w:hanging="360"/>
      </w:pPr>
      <w:rPr>
        <w:rFonts w:ascii="Wingdings" w:hAnsi="Wingdings" w:hint="default"/>
      </w:rPr>
    </w:lvl>
    <w:lvl w:ilvl="6" w:tplc="040E000F" w:tentative="1">
      <w:start w:val="1"/>
      <w:numFmt w:val="bullet"/>
      <w:lvlText w:val=""/>
      <w:lvlJc w:val="left"/>
      <w:pPr>
        <w:ind w:left="6120" w:hanging="360"/>
      </w:pPr>
      <w:rPr>
        <w:rFonts w:ascii="Symbol" w:hAnsi="Symbol" w:hint="default"/>
      </w:rPr>
    </w:lvl>
    <w:lvl w:ilvl="7" w:tplc="040E0019" w:tentative="1">
      <w:start w:val="1"/>
      <w:numFmt w:val="bullet"/>
      <w:lvlText w:val="o"/>
      <w:lvlJc w:val="left"/>
      <w:pPr>
        <w:ind w:left="6840" w:hanging="360"/>
      </w:pPr>
      <w:rPr>
        <w:rFonts w:ascii="Courier New" w:hAnsi="Courier New" w:hint="default"/>
      </w:rPr>
    </w:lvl>
    <w:lvl w:ilvl="8" w:tplc="040E001B" w:tentative="1">
      <w:start w:val="1"/>
      <w:numFmt w:val="bullet"/>
      <w:lvlText w:val=""/>
      <w:lvlJc w:val="left"/>
      <w:pPr>
        <w:ind w:left="7560" w:hanging="360"/>
      </w:pPr>
      <w:rPr>
        <w:rFonts w:ascii="Wingdings" w:hAnsi="Wingdings" w:hint="default"/>
      </w:rPr>
    </w:lvl>
  </w:abstractNum>
  <w:num w:numId="1" w16cid:durableId="1757899694">
    <w:abstractNumId w:val="1"/>
  </w:num>
  <w:num w:numId="2" w16cid:durableId="1382828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3B57CE"/>
    <w:rsid w:val="00055990"/>
    <w:rsid w:val="00082A56"/>
    <w:rsid w:val="00150384"/>
    <w:rsid w:val="001805B7"/>
    <w:rsid w:val="001C032D"/>
    <w:rsid w:val="00324346"/>
    <w:rsid w:val="00354E43"/>
    <w:rsid w:val="00361126"/>
    <w:rsid w:val="00365AC6"/>
    <w:rsid w:val="003B57CE"/>
    <w:rsid w:val="003F2009"/>
    <w:rsid w:val="003F78B7"/>
    <w:rsid w:val="00446BCD"/>
    <w:rsid w:val="0045533F"/>
    <w:rsid w:val="00480581"/>
    <w:rsid w:val="00493BD4"/>
    <w:rsid w:val="00495E80"/>
    <w:rsid w:val="004A328D"/>
    <w:rsid w:val="004D49F3"/>
    <w:rsid w:val="004F773B"/>
    <w:rsid w:val="0058762B"/>
    <w:rsid w:val="005B25F7"/>
    <w:rsid w:val="00647E6D"/>
    <w:rsid w:val="006C6E13"/>
    <w:rsid w:val="006E4E11"/>
    <w:rsid w:val="007242A3"/>
    <w:rsid w:val="007A6855"/>
    <w:rsid w:val="00823046"/>
    <w:rsid w:val="008D225A"/>
    <w:rsid w:val="008F5FD1"/>
    <w:rsid w:val="00AB559C"/>
    <w:rsid w:val="00AD7BD1"/>
    <w:rsid w:val="00BC6F7F"/>
    <w:rsid w:val="00CE15B3"/>
    <w:rsid w:val="00CE4914"/>
    <w:rsid w:val="00D133D7"/>
    <w:rsid w:val="00D205BD"/>
    <w:rsid w:val="00D303A6"/>
    <w:rsid w:val="00D34401"/>
    <w:rsid w:val="00D71D17"/>
    <w:rsid w:val="00DD6090"/>
    <w:rsid w:val="00E01BE0"/>
    <w:rsid w:val="00E17883"/>
    <w:rsid w:val="00E326C2"/>
    <w:rsid w:val="00E608AE"/>
    <w:rsid w:val="00E95FAD"/>
    <w:rsid w:val="00EC25F9"/>
    <w:rsid w:val="00ED583F"/>
    <w:rsid w:val="00F02B26"/>
    <w:rsid w:val="00F2737D"/>
    <w:rsid w:val="00F719C9"/>
    <w:rsid w:val="00FD0A22"/>
    <w:rsid w:val="00FE33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6CD34A-506D-4523-B88E-E84095A0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BC6F7F"/>
    <w:pPr>
      <w:overflowPunct/>
      <w:autoSpaceDE/>
      <w:autoSpaceDN/>
      <w:adjustRightInd/>
      <w:spacing w:line="245" w:lineRule="exact"/>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E17883"/>
    <w:rPr>
      <w:vertAlign w:val="superscript"/>
    </w:rPr>
  </w:style>
  <w:style w:type="paragraph" w:styleId="Fotnotstext">
    <w:name w:val="footnote text"/>
    <w:basedOn w:val="Normal"/>
    <w:link w:val="FotnotstextChar"/>
    <w:semiHidden/>
    <w:rsid w:val="00E17883"/>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basedOn w:val="Standardstycketeckensnitt"/>
    <w:link w:val="Fotnotstext"/>
    <w:semiHidden/>
    <w:rsid w:val="00E17883"/>
    <w:rPr>
      <w:sz w:val="17"/>
      <w:lang w:val="sv-SE" w:eastAsia="sv-SE" w:bidi="ar-SA"/>
    </w:rPr>
  </w:style>
  <w:style w:type="paragraph" w:styleId="Normaltindrag">
    <w:name w:val="Normal Indent"/>
    <w:basedOn w:val="Normal"/>
    <w:rsid w:val="00E1788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F02B26"/>
    <w:rPr>
      <w:rFonts w:ascii="OrigGarmnd BT" w:hAnsi="OrigGarmnd BT"/>
      <w:sz w:val="24"/>
      <w:lang w:val="sv-SE" w:eastAsia="en-US" w:bidi="ar-SA"/>
    </w:rPr>
  </w:style>
  <w:style w:type="paragraph" w:customStyle="1" w:styleId="Par-number1">
    <w:name w:val="Par-number 1)"/>
    <w:basedOn w:val="Normal"/>
    <w:next w:val="Normal"/>
    <w:rsid w:val="00055990"/>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EntEmet">
    <w:name w:val="EntEmet"/>
    <w:basedOn w:val="Normal"/>
    <w:rsid w:val="00055990"/>
    <w:pPr>
      <w:widowControl w:val="0"/>
      <w:numPr>
        <w:numId w:val="2"/>
      </w:numPr>
      <w:tabs>
        <w:tab w:val="left" w:pos="284"/>
        <w:tab w:val="left" w:pos="567"/>
        <w:tab w:val="left" w:pos="851"/>
        <w:tab w:val="left" w:pos="1134"/>
        <w:tab w:val="left" w:pos="1418"/>
      </w:tabs>
      <w:overflowPunct/>
      <w:autoSpaceDE/>
      <w:autoSpaceDN/>
      <w:adjustRightInd/>
      <w:spacing w:before="40" w:line="240" w:lineRule="auto"/>
      <w:ind w:left="0" w:firstLine="0"/>
      <w:textAlignment w:val="auto"/>
    </w:pPr>
    <w:rPr>
      <w:rFonts w:ascii="Times New Roman" w:hAnsi="Times New Roman"/>
      <w:lang w:val="en-GB" w:eastAsia="fr-BE"/>
    </w:rPr>
  </w:style>
  <w:style w:type="paragraph" w:styleId="Revision">
    <w:name w:val="Revision"/>
    <w:hidden/>
    <w:uiPriority w:val="99"/>
    <w:semiHidden/>
    <w:rsid w:val="00D205BD"/>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1968</Words>
  <Characters>12050</Characters>
  <Application>Microsoft Office Word</Application>
  <DocSecurity>4</DocSecurity>
  <Lines>256</Lines>
  <Paragraphs>60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2011-11-28T15:12:00Z</cp:lastPrinted>
  <dcterms:created xsi:type="dcterms:W3CDTF">2025-12-17T21:39:00Z</dcterms:created>
  <dcterms:modified xsi:type="dcterms:W3CDTF">2025-12-17T21:39:00Z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